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0E2" w:rsidRPr="00F570E2" w:rsidRDefault="00A0143A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b/>
          <w:noProof w:val="0"/>
          <w:sz w:val="24"/>
          <w:szCs w:val="20"/>
        </w:rPr>
      </w:pPr>
      <w:bookmarkStart w:id="0" w:name="_GoBack"/>
      <w:bookmarkEnd w:id="0"/>
      <w:r>
        <w:rPr>
          <w:rFonts w:ascii="Arial" w:eastAsia="SimSun" w:hAnsi="Arial" w:cs="Arial"/>
          <w:b/>
          <w:noProof w:val="0"/>
          <w:sz w:val="24"/>
          <w:szCs w:val="20"/>
        </w:rPr>
        <w:t>3GPP TSG RAN WG3 Meeting #10</w:t>
      </w:r>
      <w:r w:rsidR="004C386B">
        <w:rPr>
          <w:rFonts w:ascii="Arial" w:eastAsia="SimSun" w:hAnsi="Arial" w:cs="Arial"/>
          <w:b/>
          <w:noProof w:val="0"/>
          <w:sz w:val="24"/>
          <w:szCs w:val="20"/>
        </w:rPr>
        <w:t>3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t xml:space="preserve"> </w:t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 xml:space="preserve">       </w:t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  <w:t xml:space="preserve">            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t>R3-1</w:t>
      </w:r>
      <w:r w:rsidR="004C386B">
        <w:rPr>
          <w:rFonts w:ascii="Arial" w:eastAsia="SimSun" w:hAnsi="Arial" w:cs="Arial"/>
          <w:b/>
          <w:noProof w:val="0"/>
          <w:sz w:val="24"/>
          <w:szCs w:val="20"/>
        </w:rPr>
        <w:t>90912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br/>
      </w:r>
      <w:r w:rsidR="004C386B" w:rsidRPr="004C386B">
        <w:rPr>
          <w:rFonts w:ascii="Arial" w:eastAsia="SimSun" w:hAnsi="Arial" w:cs="Arial"/>
          <w:b/>
          <w:noProof w:val="0"/>
          <w:sz w:val="24"/>
          <w:szCs w:val="20"/>
        </w:rPr>
        <w:t>Athens, Greece, 25 February-1 March 2019</w:t>
      </w:r>
    </w:p>
    <w:p w:rsidR="00DE0064" w:rsidRPr="00406224" w:rsidRDefault="00DE0064" w:rsidP="00DE006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</w:pPr>
    </w:p>
    <w:p w:rsidR="00DE0064" w:rsidRPr="00406224" w:rsidRDefault="00F570E2" w:rsidP="00DE0064">
      <w:pPr>
        <w:spacing w:after="120" w:line="240" w:lineRule="auto"/>
        <w:rPr>
          <w:rFonts w:ascii="Arial" w:eastAsia="SimSun" w:hAnsi="Arial" w:cs="Arial"/>
          <w:b/>
          <w:bCs/>
          <w:noProof w:val="0"/>
          <w:sz w:val="24"/>
          <w:szCs w:val="20"/>
        </w:rPr>
      </w:pPr>
      <w:r>
        <w:rPr>
          <w:rFonts w:ascii="Arial" w:eastAsia="MS Mincho" w:hAnsi="Arial" w:cs="Arial"/>
          <w:b/>
          <w:bCs/>
          <w:noProof w:val="0"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noProof w:val="0"/>
          <w:sz w:val="24"/>
          <w:szCs w:val="20"/>
        </w:rPr>
        <w:tab/>
        <w:t>23</w:t>
      </w:r>
    </w:p>
    <w:p w:rsidR="00DE0064" w:rsidRPr="00406224" w:rsidRDefault="00DE0064" w:rsidP="00DE006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Source: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hAnsi="Arial" w:cs="Arial"/>
          <w:b/>
          <w:bCs/>
          <w:sz w:val="24"/>
        </w:rPr>
        <w:t>Vice-Chairman (Intel Corporation)</w:t>
      </w:r>
    </w:p>
    <w:p w:rsidR="00DE0064" w:rsidRPr="00406224" w:rsidRDefault="00DE0064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Title: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="00F570E2">
        <w:rPr>
          <w:rFonts w:ascii="Arial" w:hAnsi="Arial" w:cs="Arial"/>
          <w:b/>
          <w:bCs/>
          <w:sz w:val="24"/>
        </w:rPr>
        <w:t>V2X</w:t>
      </w:r>
      <w:r>
        <w:rPr>
          <w:rFonts w:ascii="Arial" w:hAnsi="Arial" w:cs="Arial"/>
          <w:b/>
          <w:bCs/>
          <w:sz w:val="24"/>
        </w:rPr>
        <w:t xml:space="preserve"> session report</w:t>
      </w:r>
    </w:p>
    <w:p w:rsidR="00DE0064" w:rsidRPr="00406224" w:rsidRDefault="00DE0064" w:rsidP="00DE00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Docume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>nt for: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agreement</w:t>
      </w:r>
    </w:p>
    <w:p w:rsidR="00DE0064" w:rsidRDefault="00DE0064" w:rsidP="00DE0064"/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1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Agreements</w:t>
      </w:r>
    </w:p>
    <w:p w:rsidR="00DE0064" w:rsidRPr="00406224" w:rsidRDefault="00DE0064" w:rsidP="00DE006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1" w:name="_Toc474247438"/>
    </w:p>
    <w:p w:rsidR="00DE0064" w:rsidRDefault="00A0143A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Agreements:</w:t>
      </w:r>
    </w:p>
    <w:p w:rsidR="00A0143A" w:rsidRDefault="00A0143A" w:rsidP="00A0143A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sz w:val="18"/>
          <w:szCs w:val="18"/>
        </w:rPr>
      </w:pPr>
      <w:bookmarkStart w:id="2" w:name="_Hlk2321755"/>
      <w:r w:rsidRPr="00A54E93">
        <w:rPr>
          <w:rFonts w:cs="Calibri"/>
          <w:b/>
          <w:color w:val="00B050"/>
          <w:sz w:val="18"/>
          <w:szCs w:val="18"/>
        </w:rPr>
        <w:t>The V2X service authorization information is PC5 RAT specific. The cross-RAT PC5 control authorization information (implicit or explicit) is necessary in NG-RAN</w:t>
      </w:r>
      <w:r w:rsidRPr="00A54E93">
        <w:rPr>
          <w:rFonts w:cs="Calibri"/>
          <w:b/>
          <w:sz w:val="18"/>
          <w:szCs w:val="18"/>
        </w:rPr>
        <w:t>.</w:t>
      </w:r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sz w:val="18"/>
          <w:szCs w:val="18"/>
        </w:rPr>
      </w:pPr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18"/>
        </w:rPr>
      </w:pPr>
      <w:r w:rsidRPr="00A54E93">
        <w:rPr>
          <w:rFonts w:cs="Calibri"/>
          <w:b/>
          <w:color w:val="00B050"/>
          <w:sz w:val="18"/>
          <w:szCs w:val="18"/>
        </w:rPr>
        <w:t>The UE sidelink AMBR is PC5 RAT specific.</w:t>
      </w:r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18"/>
        </w:rPr>
      </w:pPr>
    </w:p>
    <w:p w:rsidR="00581C91" w:rsidRPr="00A54E93" w:rsidRDefault="00581C91" w:rsidP="00581C91">
      <w:pPr>
        <w:widowControl w:val="0"/>
        <w:spacing w:after="0"/>
        <w:ind w:left="144" w:hanging="144"/>
        <w:rPr>
          <w:rFonts w:eastAsia="Malgun Gothic"/>
          <w:b/>
          <w:color w:val="00B050"/>
          <w:sz w:val="18"/>
          <w:szCs w:val="18"/>
          <w:lang w:eastAsia="ko-KR"/>
        </w:rPr>
      </w:pPr>
      <w:r w:rsidRPr="00A54E93">
        <w:rPr>
          <w:rFonts w:eastAsia="Malgun Gothic"/>
          <w:b/>
          <w:color w:val="00B050"/>
          <w:sz w:val="18"/>
          <w:szCs w:val="18"/>
          <w:lang w:eastAsia="ko-KR"/>
        </w:rPr>
        <w:t>Whether the resource pool for side link communication is configured in the gNB-CU or gNB-DU is to be decided in WI phase.</w:t>
      </w:r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18"/>
        </w:rPr>
      </w:pPr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18"/>
        </w:rPr>
      </w:pPr>
      <w:r w:rsidRPr="00A54E93">
        <w:rPr>
          <w:rFonts w:cs="Calibri"/>
          <w:b/>
          <w:color w:val="00B050"/>
          <w:sz w:val="18"/>
          <w:szCs w:val="18"/>
        </w:rPr>
        <w:t>For NR V2X Mode 1 (dynamic case), gNB-DU is responsible for the scheduling of sidelink resource. gNB-DU transmits the V2X SL configuration information to the gNB-CU, which uses it to generate the RRC message and forwards it to the UE.</w:t>
      </w:r>
    </w:p>
    <w:bookmarkEnd w:id="2"/>
    <w:p w:rsidR="00581C91" w:rsidRPr="00A54E93" w:rsidRDefault="00581C91" w:rsidP="00581C91">
      <w:pPr>
        <w:widowControl w:val="0"/>
        <w:spacing w:after="0"/>
        <w:rPr>
          <w:rFonts w:cs="Calibri"/>
          <w:bCs/>
          <w:color w:val="000000" w:themeColor="text1"/>
          <w:sz w:val="18"/>
          <w:szCs w:val="18"/>
        </w:rPr>
      </w:pPr>
    </w:p>
    <w:p w:rsidR="00581C91" w:rsidRDefault="00581C91" w:rsidP="00581C91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18"/>
        </w:rPr>
      </w:pPr>
      <w:r w:rsidRPr="00A54E93">
        <w:rPr>
          <w:rFonts w:cs="Calibri"/>
          <w:b/>
          <w:bCs/>
          <w:color w:val="00B050"/>
          <w:sz w:val="18"/>
          <w:szCs w:val="18"/>
        </w:rPr>
        <w:t>Resource pool coordination between NG-RAN nodes (e.g., ng-eNB and gNB) is beneficial.</w:t>
      </w:r>
    </w:p>
    <w:p w:rsidR="00581C91" w:rsidRDefault="00581C91" w:rsidP="00581C91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18"/>
        </w:rPr>
      </w:pPr>
    </w:p>
    <w:p w:rsidR="00581C91" w:rsidRPr="00581C91" w:rsidRDefault="00581C91" w:rsidP="00581C91">
      <w:pPr>
        <w:widowControl w:val="0"/>
        <w:spacing w:after="0"/>
        <w:ind w:left="144" w:hanging="144"/>
        <w:rPr>
          <w:rFonts w:cs="Calibri"/>
          <w:b/>
          <w:bCs/>
          <w:color w:val="FF0000"/>
          <w:sz w:val="18"/>
          <w:szCs w:val="18"/>
        </w:rPr>
      </w:pPr>
      <w:r w:rsidRPr="00581C91">
        <w:rPr>
          <w:rFonts w:cs="Calibri"/>
          <w:b/>
          <w:bCs/>
          <w:color w:val="FF0000"/>
          <w:sz w:val="18"/>
          <w:szCs w:val="18"/>
        </w:rPr>
        <w:t>MCC to minute: “For NR V2X mode 2, potential F1 signalling is to be decided in WI phase.”</w:t>
      </w:r>
    </w:p>
    <w:p w:rsidR="00581C91" w:rsidRPr="00581C91" w:rsidRDefault="00581C91" w:rsidP="00581C91">
      <w:pPr>
        <w:widowControl w:val="0"/>
        <w:spacing w:after="0"/>
        <w:ind w:left="144" w:hanging="144"/>
        <w:rPr>
          <w:rFonts w:cs="Calibri"/>
          <w:b/>
          <w:color w:val="FF0000"/>
          <w:sz w:val="18"/>
          <w:szCs w:val="18"/>
        </w:rPr>
      </w:pPr>
      <w:r w:rsidRPr="00581C91">
        <w:rPr>
          <w:rFonts w:cs="Calibri"/>
          <w:b/>
          <w:color w:val="FF0000"/>
          <w:sz w:val="18"/>
          <w:szCs w:val="18"/>
        </w:rPr>
        <w:t xml:space="preserve">MCC to minute: “Authorization details in CU/DU split architecture and the issue of configured grant are to be continued in the WI phase.” </w:t>
      </w:r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18"/>
        </w:rPr>
      </w:pPr>
    </w:p>
    <w:p w:rsidR="00581C91" w:rsidRDefault="00581C91" w:rsidP="00A0143A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 xml:space="preserve">R3-191057 was revised in R3-191071 and </w:t>
      </w:r>
      <w:r w:rsidRPr="00581C91">
        <w:rPr>
          <w:b/>
          <w:color w:val="00B050"/>
          <w:sz w:val="18"/>
          <w:szCs w:val="24"/>
        </w:rPr>
        <w:t>agreed unseen</w:t>
      </w:r>
      <w:r w:rsidRPr="00581C91">
        <w:rPr>
          <w:bCs/>
          <w:color w:val="00B050"/>
          <w:sz w:val="18"/>
          <w:szCs w:val="24"/>
        </w:rPr>
        <w:t xml:space="preserve"> </w:t>
      </w:r>
      <w:r>
        <w:rPr>
          <w:bCs/>
          <w:sz w:val="18"/>
          <w:szCs w:val="24"/>
        </w:rPr>
        <w:t>with the following changes:</w:t>
      </w:r>
    </w:p>
    <w:p w:rsidR="00581C91" w:rsidRPr="00865BEB" w:rsidRDefault="00581C91" w:rsidP="00581C91">
      <w:pPr>
        <w:pStyle w:val="ListParagraph"/>
        <w:widowControl w:val="0"/>
        <w:numPr>
          <w:ilvl w:val="0"/>
          <w:numId w:val="8"/>
        </w:numPr>
        <w:suppressAutoHyphens/>
        <w:spacing w:after="0"/>
        <w:rPr>
          <w:rFonts w:cs="Calibri"/>
          <w:b/>
          <w:color w:val="00B050"/>
          <w:sz w:val="18"/>
          <w:szCs w:val="24"/>
        </w:rPr>
      </w:pPr>
      <w:r w:rsidRPr="00865BEB">
        <w:rPr>
          <w:rFonts w:cs="Calibri"/>
          <w:b/>
          <w:color w:val="00B050"/>
          <w:sz w:val="18"/>
          <w:szCs w:val="24"/>
        </w:rPr>
        <w:t>Reword “The benefit of resource pool coordination between NG-RAN nodes (e.g., ng-eNB and gNB) was discussed and is considered a specification detail which does not affect overall feasibility” -&gt; “Resource pool coordination between NG-RAN nodes (e.g., ng-eNB and gNB) was discussed and is considered beneficial.”</w:t>
      </w:r>
    </w:p>
    <w:p w:rsidR="00581C91" w:rsidRPr="00865BEB" w:rsidRDefault="00581C91" w:rsidP="00581C91">
      <w:pPr>
        <w:pStyle w:val="ListParagraph"/>
        <w:widowControl w:val="0"/>
        <w:numPr>
          <w:ilvl w:val="0"/>
          <w:numId w:val="8"/>
        </w:numPr>
        <w:suppressAutoHyphens/>
        <w:spacing w:after="0"/>
        <w:rPr>
          <w:b/>
          <w:color w:val="00B050"/>
        </w:rPr>
      </w:pPr>
      <w:r w:rsidRPr="00865BEB">
        <w:rPr>
          <w:rFonts w:cs="Calibri"/>
          <w:b/>
          <w:color w:val="00B050"/>
          <w:sz w:val="18"/>
          <w:szCs w:val="24"/>
        </w:rPr>
        <w:t xml:space="preserve">Remove “For NR V2X mode 2, the node responsible for encoding of SIB and potential F1 signalling impact is considered a specification detail which does not affect overall feasibility.” </w:t>
      </w:r>
    </w:p>
    <w:p w:rsidR="00581C91" w:rsidRDefault="00581C91" w:rsidP="00A0143A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F570E2" w:rsidRPr="00DE0064" w:rsidRDefault="00F570E2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Only the following papers have been treated:</w:t>
      </w:r>
      <w:r w:rsidR="00581C91">
        <w:rPr>
          <w:bCs/>
          <w:sz w:val="18"/>
          <w:szCs w:val="24"/>
        </w:rPr>
        <w:t xml:space="preserve"> R3-190012, R3-191060, R3-191057</w:t>
      </w:r>
      <w:r w:rsidR="00A0143A">
        <w:rPr>
          <w:bCs/>
          <w:sz w:val="18"/>
          <w:szCs w:val="24"/>
        </w:rPr>
        <w:t>.</w:t>
      </w: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2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Comebacks</w:t>
      </w:r>
      <w:bookmarkEnd w:id="1"/>
    </w:p>
    <w:p w:rsidR="00581C91" w:rsidRPr="00A54E93" w:rsidRDefault="00581C91" w:rsidP="00581C91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18"/>
        </w:rPr>
      </w:pPr>
      <w:r w:rsidRPr="00A54E93">
        <w:rPr>
          <w:rFonts w:cs="Calibri"/>
          <w:b/>
          <w:color w:val="FF00FF"/>
          <w:sz w:val="18"/>
          <w:szCs w:val="18"/>
        </w:rPr>
        <w:t># V2X_CB_1</w:t>
      </w:r>
    </w:p>
    <w:p w:rsidR="00581C91" w:rsidRPr="00A54E93" w:rsidRDefault="00581C91" w:rsidP="00581C91">
      <w:pPr>
        <w:pStyle w:val="ListParagraph"/>
        <w:widowControl w:val="0"/>
        <w:numPr>
          <w:ilvl w:val="0"/>
          <w:numId w:val="7"/>
        </w:numPr>
        <w:suppressAutoHyphens/>
        <w:spacing w:after="0"/>
        <w:rPr>
          <w:rFonts w:cs="Calibri"/>
          <w:b/>
          <w:color w:val="FF00FF"/>
          <w:sz w:val="18"/>
          <w:szCs w:val="18"/>
        </w:rPr>
      </w:pPr>
      <w:r w:rsidRPr="00A54E93">
        <w:rPr>
          <w:rFonts w:cs="Calibri"/>
          <w:b/>
          <w:color w:val="FF00FF"/>
          <w:sz w:val="18"/>
          <w:szCs w:val="18"/>
        </w:rPr>
        <w:t>LS to RAN1</w:t>
      </w:r>
    </w:p>
    <w:p w:rsidR="00581C91" w:rsidRPr="00A54E93" w:rsidRDefault="00581C91" w:rsidP="00581C91">
      <w:pPr>
        <w:pStyle w:val="ListParagraph"/>
        <w:widowControl w:val="0"/>
        <w:numPr>
          <w:ilvl w:val="0"/>
          <w:numId w:val="7"/>
        </w:numPr>
        <w:suppressAutoHyphens/>
        <w:spacing w:after="0"/>
        <w:rPr>
          <w:rFonts w:cs="Calibri"/>
          <w:b/>
          <w:color w:val="FF00FF"/>
          <w:sz w:val="18"/>
          <w:szCs w:val="18"/>
        </w:rPr>
      </w:pPr>
      <w:r w:rsidRPr="00A54E93">
        <w:rPr>
          <w:rFonts w:cs="Calibri"/>
          <w:b/>
          <w:color w:val="FF00FF"/>
          <w:sz w:val="18"/>
          <w:szCs w:val="18"/>
        </w:rPr>
        <w:t>Notify about RAN3 agreements and conclusions</w:t>
      </w:r>
    </w:p>
    <w:p w:rsidR="00581C91" w:rsidRPr="00A54E93" w:rsidRDefault="00581C91" w:rsidP="00581C91">
      <w:pPr>
        <w:pStyle w:val="ListParagraph"/>
        <w:widowControl w:val="0"/>
        <w:numPr>
          <w:ilvl w:val="0"/>
          <w:numId w:val="7"/>
        </w:numPr>
        <w:suppressAutoHyphens/>
        <w:spacing w:after="0"/>
        <w:rPr>
          <w:rFonts w:cs="Calibri"/>
          <w:b/>
          <w:color w:val="FF00FF"/>
          <w:sz w:val="18"/>
          <w:szCs w:val="18"/>
        </w:rPr>
      </w:pPr>
      <w:r w:rsidRPr="00A54E93">
        <w:rPr>
          <w:rFonts w:cs="Calibri"/>
          <w:b/>
          <w:color w:val="FF00FF"/>
          <w:sz w:val="18"/>
          <w:szCs w:val="18"/>
        </w:rPr>
        <w:t>Attach agreed TP</w:t>
      </w:r>
    </w:p>
    <w:p w:rsidR="00581C91" w:rsidRPr="00A54E93" w:rsidRDefault="00581C91" w:rsidP="00581C91">
      <w:pPr>
        <w:rPr>
          <w:sz w:val="18"/>
          <w:szCs w:val="18"/>
        </w:rPr>
      </w:pPr>
      <w:r w:rsidRPr="00A54E93">
        <w:rPr>
          <w:sz w:val="18"/>
          <w:szCs w:val="18"/>
        </w:rPr>
        <w:t>(LGE)</w:t>
      </w:r>
    </w:p>
    <w:p w:rsidR="00581C91" w:rsidRDefault="00581C91" w:rsidP="00581C91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sz w:val="18"/>
          <w:szCs w:val="18"/>
        </w:rPr>
        <w:t xml:space="preserve">Ls out in </w:t>
      </w:r>
      <w:r w:rsidRPr="00A54E93">
        <w:rPr>
          <w:sz w:val="18"/>
          <w:szCs w:val="18"/>
        </w:rPr>
        <w:t>R3-191072</w:t>
      </w:r>
    </w:p>
    <w:p w:rsidR="00DE0064" w:rsidRDefault="00DE0064" w:rsidP="00DE006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lastRenderedPageBreak/>
        <w:t>3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Minutes</w:t>
      </w:r>
    </w:p>
    <w:p w:rsidR="00581C91" w:rsidRDefault="00581C91" w:rsidP="00DE006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</w:p>
    <w:tbl>
      <w:tblPr>
        <w:tblW w:w="99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0"/>
        <w:gridCol w:w="4566"/>
      </w:tblGrid>
      <w:tr w:rsidR="00581C91" w:rsidRPr="0086654D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581C91" w:rsidRDefault="00581C91" w:rsidP="00581C91">
            <w:pPr>
              <w:pStyle w:val="Heading1"/>
              <w:keepNext w:val="0"/>
              <w:widowControl w:val="0"/>
              <w:tabs>
                <w:tab w:val="num" w:pos="0"/>
              </w:tabs>
              <w:suppressAutoHyphens/>
            </w:pPr>
            <w:r>
              <w:rPr>
                <w:lang w:val="en-US"/>
              </w:rPr>
              <w:t>23. Study on NR V2X</w:t>
            </w:r>
          </w:p>
          <w:p w:rsidR="00581C91" w:rsidRPr="0086654D" w:rsidRDefault="00581C91" w:rsidP="00160199">
            <w:pPr>
              <w:pStyle w:val="NoSpacing"/>
              <w:widowContro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SID [NR_V2X]: </w:t>
            </w:r>
            <w:hyperlink r:id="rId5" w:history="1">
              <w:r w:rsidRPr="0086654D">
                <w:rPr>
                  <w:rStyle w:val="Hyperlink"/>
                  <w:sz w:val="18"/>
                  <w:szCs w:val="18"/>
                  <w:lang w:val="en-US"/>
                </w:rPr>
                <w:t>RP-182491</w:t>
              </w:r>
            </w:hyperlink>
            <w:r>
              <w:rPr>
                <w:sz w:val="18"/>
                <w:szCs w:val="18"/>
                <w:lang w:val="en-US"/>
              </w:rPr>
              <w:t xml:space="preserve"> (target: RAN #83) [TU: 0.5 (0.5)]</w:t>
            </w:r>
          </w:p>
        </w:tc>
      </w:tr>
      <w:tr w:rsidR="00581C91" w:rsidRPr="00CA1D7C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CB: # 8_V2X_Session_Rep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>(VC – Sasha)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hyperlink r:id="rId6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R3-190912</w:t>
              </w:r>
            </w:hyperlink>
            <w:r>
              <w:rPr>
                <w:rFonts w:cs="Calibri"/>
                <w:color w:val="000000"/>
                <w:sz w:val="18"/>
                <w:szCs w:val="24"/>
              </w:rPr>
              <w:t xml:space="preserve"> Report</w:t>
            </w:r>
          </w:p>
          <w:p w:rsidR="00581C91" w:rsidRPr="00CA1D7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</w:p>
        </w:tc>
      </w:tr>
      <w:tr w:rsidR="00581C91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581C91" w:rsidRDefault="00581C91" w:rsidP="00581C91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23.1. General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Scenarios, time plan, skeletons, BLs</w:t>
            </w:r>
          </w:p>
          <w:p w:rsidR="00581C91" w:rsidRDefault="00581C91" w:rsidP="00160199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 xml:space="preserve">Previous summary of offline disc in </w:t>
            </w:r>
            <w:hyperlink r:id="rId7" w:history="1">
              <w:r w:rsidRPr="00871458">
                <w:rPr>
                  <w:rStyle w:val="Hyperlink"/>
                  <w:i/>
                  <w:sz w:val="16"/>
                  <w:szCs w:val="16"/>
                </w:rPr>
                <w:t>R3-187223</w:t>
              </w:r>
            </w:hyperlink>
            <w:r>
              <w:rPr>
                <w:i/>
                <w:color w:val="FF0000"/>
                <w:sz w:val="16"/>
                <w:szCs w:val="16"/>
              </w:rPr>
              <w:t>, noted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R3-190012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on NR V2X agreements (RAN WG2)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in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23.1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Default="00581C91" w:rsidP="00160199">
            <w:pPr>
              <w:widowControl w:val="0"/>
              <w:spacing w:after="0"/>
              <w:ind w:left="144" w:hanging="144"/>
              <w:rPr>
                <w:rStyle w:val="Hyperlink"/>
                <w:rFonts w:cs="Calibri"/>
                <w:sz w:val="18"/>
                <w:szCs w:val="24"/>
                <w:highlight w:val="yellow"/>
              </w:rPr>
            </w:pPr>
            <w:hyperlink r:id="rId9" w:history="1">
              <w:r w:rsidRPr="00FD47AE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R3-181060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FD47AE">
              <w:rPr>
                <w:rFonts w:cs="Calibri"/>
                <w:sz w:val="18"/>
                <w:szCs w:val="24"/>
              </w:rPr>
              <w:t>Summary of Offline Discussion: (WF) Potential agreements in RAN3#103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18"/>
              </w:rPr>
            </w:pPr>
            <w:r w:rsidRPr="00A54E93">
              <w:rPr>
                <w:rFonts w:cs="Calibri"/>
                <w:sz w:val="18"/>
                <w:szCs w:val="18"/>
              </w:rPr>
              <w:t>LG Electronics Inc.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sz w:val="18"/>
                <w:szCs w:val="18"/>
              </w:rPr>
            </w:pPr>
            <w:r w:rsidRPr="00A54E93">
              <w:rPr>
                <w:rFonts w:cs="Calibri"/>
                <w:b/>
                <w:color w:val="00B050"/>
                <w:sz w:val="18"/>
                <w:szCs w:val="18"/>
              </w:rPr>
              <w:t>The V2X service authorization information is PC5 RAT specific. The cross-RAT PC5 control authorization information (implicit or explicit) is necessary in NG-RAN</w:t>
            </w:r>
            <w:r w:rsidRPr="00A54E93">
              <w:rPr>
                <w:rFonts w:cs="Calibri"/>
                <w:b/>
                <w:sz w:val="18"/>
                <w:szCs w:val="18"/>
              </w:rPr>
              <w:t>.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18"/>
              </w:rPr>
            </w:pPr>
            <w:r w:rsidRPr="00A54E93">
              <w:rPr>
                <w:rFonts w:cs="Calibri"/>
                <w:b/>
                <w:color w:val="00B050"/>
                <w:sz w:val="18"/>
                <w:szCs w:val="18"/>
              </w:rPr>
              <w:t>The UE sidelink AMBR is PC5 RAT specific.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eastAsia="Malgun Gothic"/>
                <w:b/>
                <w:color w:val="00B050"/>
                <w:sz w:val="18"/>
                <w:szCs w:val="18"/>
                <w:lang w:eastAsia="ko-KR"/>
              </w:rPr>
            </w:pPr>
            <w:r w:rsidRPr="00A54E93">
              <w:rPr>
                <w:rFonts w:eastAsia="Malgun Gothic"/>
                <w:b/>
                <w:color w:val="00B050"/>
                <w:sz w:val="18"/>
                <w:szCs w:val="18"/>
                <w:lang w:eastAsia="ko-KR"/>
              </w:rPr>
              <w:t>Whether the resource pool for side link communication is configured in the gNB-CU or gNB-DU is to be decided in WI phase.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18"/>
              </w:rPr>
            </w:pPr>
            <w:r w:rsidRPr="00A54E93">
              <w:rPr>
                <w:rFonts w:cs="Calibri"/>
                <w:b/>
                <w:color w:val="00B050"/>
                <w:sz w:val="18"/>
                <w:szCs w:val="18"/>
              </w:rPr>
              <w:t>For NR V2X Mode 1 (dynamic case), gNB-DU is responsible for the scheduling of sidelink resource. gNB-DU transmits the V2X SL configuration information to the gNB-CU, which uses it to generate the RRC message and forwards it to the UE.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18"/>
              </w:rPr>
            </w:pPr>
            <w:bookmarkStart w:id="3" w:name="_Hlk2321807"/>
            <w:r w:rsidRPr="00A54E93">
              <w:rPr>
                <w:rFonts w:cs="Calibri"/>
                <w:b/>
                <w:color w:val="00B050"/>
                <w:sz w:val="18"/>
                <w:szCs w:val="18"/>
              </w:rPr>
              <w:t xml:space="preserve">MCC to minute: “Authorization details in CU/DU split architecture and the issue of configured grant are to be continued in the WI phase.” </w:t>
            </w:r>
          </w:p>
          <w:bookmarkEnd w:id="3"/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  <w:r w:rsidRPr="00A54E93">
              <w:rPr>
                <w:rFonts w:cs="Calibri"/>
                <w:bCs/>
                <w:color w:val="000000" w:themeColor="text1"/>
                <w:sz w:val="18"/>
                <w:szCs w:val="18"/>
              </w:rPr>
              <w:t>ZTE: proposal is ok, but authorization should be sent from CU to DU.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  <w:r w:rsidRPr="00A54E93">
              <w:rPr>
                <w:rFonts w:cs="Calibri"/>
                <w:bCs/>
                <w:color w:val="000000" w:themeColor="text1"/>
                <w:sz w:val="18"/>
                <w:szCs w:val="18"/>
              </w:rPr>
              <w:t>LGE: authorization is received by gNB from AMF, how and whether it is sent to DU can be discussed in WI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  <w:r w:rsidRPr="00A54E93">
              <w:rPr>
                <w:rFonts w:cs="Calibri"/>
                <w:bCs/>
                <w:color w:val="000000" w:themeColor="text1"/>
                <w:sz w:val="18"/>
                <w:szCs w:val="18"/>
              </w:rPr>
              <w:t>ZTE: configured grant to be discussed in WI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  <w:r w:rsidRPr="00A54E93">
              <w:rPr>
                <w:rFonts w:cs="Calibri"/>
                <w:bCs/>
                <w:color w:val="000000" w:themeColor="text1"/>
                <w:sz w:val="18"/>
                <w:szCs w:val="18"/>
              </w:rPr>
              <w:t>HW: we should not list FFS in TR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bookmarkStart w:id="4" w:name="_Hlk2321801"/>
            <w:r w:rsidRPr="00A54E93">
              <w:rPr>
                <w:rFonts w:cs="Calibri"/>
                <w:b/>
                <w:bCs/>
                <w:color w:val="00B050"/>
                <w:sz w:val="18"/>
                <w:szCs w:val="18"/>
              </w:rPr>
              <w:t>MCC to minute: “For NR V2X mode 2, potential F1 signalling is to be decided in WI phase.”</w:t>
            </w:r>
          </w:p>
          <w:bookmarkEnd w:id="4"/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  <w:r w:rsidRPr="00A54E93">
              <w:rPr>
                <w:rFonts w:cs="Calibri"/>
                <w:bCs/>
                <w:color w:val="000000" w:themeColor="text1"/>
                <w:sz w:val="18"/>
                <w:szCs w:val="18"/>
              </w:rPr>
              <w:t>ZTE: also mode 1 require SIBs</w:t>
            </w: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  <w:bookmarkStart w:id="5" w:name="_Hlk2321790"/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18"/>
              </w:rPr>
            </w:pPr>
            <w:r w:rsidRPr="00A54E93">
              <w:rPr>
                <w:rFonts w:cs="Calibri"/>
                <w:b/>
                <w:bCs/>
                <w:color w:val="00B050"/>
                <w:sz w:val="18"/>
                <w:szCs w:val="18"/>
              </w:rPr>
              <w:t xml:space="preserve">Resource pool coordination between NG-RAN nodes (e.g., </w:t>
            </w:r>
            <w:r w:rsidRPr="00A54E93">
              <w:rPr>
                <w:rFonts w:cs="Calibri"/>
                <w:b/>
                <w:bCs/>
                <w:color w:val="00B050"/>
                <w:sz w:val="18"/>
                <w:szCs w:val="18"/>
              </w:rPr>
              <w:lastRenderedPageBreak/>
              <w:t>ng-eNB and gNB) is beneficial.</w:t>
            </w:r>
          </w:p>
          <w:bookmarkEnd w:id="5"/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18"/>
              </w:rPr>
            </w:pPr>
          </w:p>
          <w:p w:rsidR="00581C91" w:rsidRPr="00A54E93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18"/>
              </w:rPr>
            </w:pPr>
            <w:bookmarkStart w:id="6" w:name="_Hlk2321852"/>
            <w:r w:rsidRPr="00A54E93">
              <w:rPr>
                <w:rFonts w:cs="Calibri"/>
                <w:b/>
                <w:color w:val="FF00FF"/>
                <w:sz w:val="18"/>
                <w:szCs w:val="18"/>
              </w:rPr>
              <w:t># V2X_CB_1</w:t>
            </w:r>
          </w:p>
          <w:p w:rsidR="00581C91" w:rsidRPr="00A54E93" w:rsidRDefault="00581C91" w:rsidP="00581C91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18"/>
              </w:rPr>
            </w:pPr>
            <w:r w:rsidRPr="00A54E93">
              <w:rPr>
                <w:rFonts w:cs="Calibri"/>
                <w:b/>
                <w:color w:val="FF00FF"/>
                <w:sz w:val="18"/>
                <w:szCs w:val="18"/>
              </w:rPr>
              <w:t>LS to RAN1</w:t>
            </w:r>
          </w:p>
          <w:p w:rsidR="00581C91" w:rsidRPr="00A54E93" w:rsidRDefault="00581C91" w:rsidP="00581C91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18"/>
              </w:rPr>
            </w:pPr>
            <w:r w:rsidRPr="00A54E93">
              <w:rPr>
                <w:rFonts w:cs="Calibri"/>
                <w:b/>
                <w:color w:val="FF00FF"/>
                <w:sz w:val="18"/>
                <w:szCs w:val="18"/>
              </w:rPr>
              <w:t>Notify about RAN3 agreements and conclusions</w:t>
            </w:r>
          </w:p>
          <w:p w:rsidR="00581C91" w:rsidRPr="00A54E93" w:rsidRDefault="00581C91" w:rsidP="00581C91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18"/>
              </w:rPr>
            </w:pPr>
            <w:r w:rsidRPr="00A54E93">
              <w:rPr>
                <w:rFonts w:cs="Calibri"/>
                <w:b/>
                <w:color w:val="FF00FF"/>
                <w:sz w:val="18"/>
                <w:szCs w:val="18"/>
              </w:rPr>
              <w:t>Attach agreed TP</w:t>
            </w:r>
          </w:p>
          <w:p w:rsidR="00581C91" w:rsidRPr="00A54E93" w:rsidRDefault="00581C91" w:rsidP="00160199">
            <w:pPr>
              <w:rPr>
                <w:sz w:val="18"/>
                <w:szCs w:val="18"/>
              </w:rPr>
            </w:pPr>
            <w:r w:rsidRPr="00A54E93">
              <w:rPr>
                <w:sz w:val="18"/>
                <w:szCs w:val="18"/>
              </w:rPr>
              <w:t>(LGE)</w:t>
            </w:r>
          </w:p>
          <w:p w:rsidR="00581C91" w:rsidRPr="00A54E93" w:rsidRDefault="00581C91" w:rsidP="00160199">
            <w:pPr>
              <w:rPr>
                <w:sz w:val="18"/>
                <w:szCs w:val="18"/>
              </w:rPr>
            </w:pPr>
            <w:r w:rsidRPr="00A54E93">
              <w:rPr>
                <w:sz w:val="18"/>
                <w:szCs w:val="18"/>
              </w:rPr>
              <w:t>R3-191072</w:t>
            </w:r>
            <w:bookmarkEnd w:id="6"/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Default="00581C91" w:rsidP="00160199">
            <w:pPr>
              <w:widowControl w:val="0"/>
              <w:spacing w:after="0"/>
              <w:ind w:left="144" w:hanging="144"/>
              <w:rPr>
                <w:rStyle w:val="Hyperlink"/>
                <w:rFonts w:cs="Calibri"/>
                <w:sz w:val="18"/>
                <w:szCs w:val="24"/>
                <w:highlight w:val="yellow"/>
              </w:rPr>
            </w:pPr>
            <w:hyperlink r:id="rId10" w:history="1">
              <w:r w:rsidRPr="00865F11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R3-181057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FD47AE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865F11">
              <w:rPr>
                <w:rFonts w:cs="Calibri"/>
                <w:sz w:val="18"/>
                <w:szCs w:val="24"/>
              </w:rPr>
              <w:t>Merged TP for V2X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865F11">
              <w:rPr>
                <w:rFonts w:cs="Calibri"/>
                <w:sz w:val="18"/>
                <w:szCs w:val="24"/>
              </w:rPr>
              <w:t>Huawei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resource coordination and F1 shall be considered based on contributions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HW: the text should be reworded, the benefits have been discussed, but not the detailed solutions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CATT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581C91" w:rsidRPr="00865BEB" w:rsidRDefault="00581C91" w:rsidP="00581C91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spacing w:after="0"/>
              <w:rPr>
                <w:rFonts w:cs="Calibri"/>
                <w:b/>
                <w:color w:val="00B050"/>
                <w:sz w:val="18"/>
                <w:szCs w:val="24"/>
              </w:rPr>
            </w:pPr>
            <w:bookmarkStart w:id="7" w:name="_Hlk2321938"/>
            <w:r w:rsidRPr="00865BEB">
              <w:rPr>
                <w:rFonts w:cs="Calibri"/>
                <w:b/>
                <w:color w:val="00B050"/>
                <w:sz w:val="18"/>
                <w:szCs w:val="24"/>
              </w:rPr>
              <w:t>Reword “The benefit of resource pool coordination between NG-RAN nodes (e.g., ng-eNB and gNB) was discussed and is considered a specification detail which does not affect overall feasibility” -&gt; “Resource pool coordination between NG-RAN nodes (e.g., ng-eNB and gNB) was discussed and is considered beneficial.”</w:t>
            </w:r>
          </w:p>
          <w:p w:rsidR="00581C91" w:rsidRPr="00865BEB" w:rsidRDefault="00581C91" w:rsidP="00581C91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spacing w:after="0"/>
              <w:rPr>
                <w:b/>
                <w:color w:val="00B050"/>
              </w:rPr>
            </w:pPr>
            <w:r w:rsidRPr="00865BEB">
              <w:rPr>
                <w:rFonts w:cs="Calibri"/>
                <w:b/>
                <w:color w:val="00B050"/>
                <w:sz w:val="18"/>
                <w:szCs w:val="24"/>
              </w:rPr>
              <w:t xml:space="preserve">Remove “For NR V2X mode 2, the node responsible for encoding of SIB and potential F1 signalling impact is considered a specification detail which does not affect overall feasibility.” </w:t>
            </w:r>
          </w:p>
          <w:bookmarkEnd w:id="7"/>
          <w:p w:rsidR="00581C91" w:rsidRDefault="00581C91" w:rsidP="00160199">
            <w:pPr>
              <w:widowControl w:val="0"/>
              <w:spacing w:after="0"/>
            </w:pPr>
            <w:r>
              <w:t xml:space="preserve">Revised in </w:t>
            </w:r>
            <w:hyperlink r:id="rId11" w:history="1">
              <w:r w:rsidRPr="00865BEB">
                <w:rPr>
                  <w:rStyle w:val="Hyperlink"/>
                </w:rPr>
                <w:t>R3-1</w:t>
              </w:r>
              <w:r>
                <w:rPr>
                  <w:rStyle w:val="Hyperlink"/>
                </w:rPr>
                <w:t>9</w:t>
              </w:r>
              <w:r w:rsidRPr="00865BEB">
                <w:rPr>
                  <w:rStyle w:val="Hyperlink"/>
                </w:rPr>
                <w:t>1071</w:t>
              </w:r>
            </w:hyperlink>
          </w:p>
          <w:p w:rsidR="00581C91" w:rsidRPr="00865BEB" w:rsidRDefault="00581C91" w:rsidP="00160199">
            <w:pPr>
              <w:widowControl w:val="0"/>
              <w:spacing w:after="0"/>
              <w:rPr>
                <w:b/>
                <w:color w:val="00B050"/>
              </w:rPr>
            </w:pPr>
            <w:r w:rsidRPr="00865BEB">
              <w:rPr>
                <w:b/>
                <w:color w:val="00B050"/>
              </w:rPr>
              <w:t>Agreed unseen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R3-190818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NR V2X Work Item scope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R3-190555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 for the conclusion of TR 38.885 on RAN3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871458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581C91" w:rsidRDefault="00581C91" w:rsidP="00581C91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23.2. Service Authorization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NR V2X service authorization in NG-RAN</w:t>
            </w:r>
          </w:p>
          <w:p w:rsidR="00581C91" w:rsidRPr="00871458" w:rsidRDefault="00581C91" w:rsidP="00160199">
            <w:pPr>
              <w:spacing w:after="0"/>
              <w:rPr>
                <w:color w:val="00B050"/>
                <w:sz w:val="16"/>
                <w:szCs w:val="16"/>
              </w:rPr>
            </w:pPr>
            <w:r w:rsidRPr="00871458">
              <w:rPr>
                <w:color w:val="00B050"/>
                <w:sz w:val="16"/>
                <w:szCs w:val="16"/>
              </w:rPr>
              <w:t>V2X-capable UE shall transmit in the sidelink only if authorized by the serving gNB; this authorization</w:t>
            </w:r>
            <w:r>
              <w:rPr>
                <w:color w:val="00B050"/>
                <w:sz w:val="16"/>
                <w:szCs w:val="16"/>
              </w:rPr>
              <w:t xml:space="preserve"> is signaled over NGAP and XnAP</w:t>
            </w:r>
          </w:p>
          <w:p w:rsidR="00581C91" w:rsidRPr="00871458" w:rsidRDefault="00581C91" w:rsidP="00160199">
            <w:pPr>
              <w:spacing w:after="0"/>
              <w:rPr>
                <w:color w:val="00B050"/>
                <w:sz w:val="16"/>
                <w:szCs w:val="16"/>
              </w:rPr>
            </w:pPr>
            <w:r w:rsidRPr="00871458">
              <w:rPr>
                <w:color w:val="00B050"/>
                <w:sz w:val="16"/>
                <w:szCs w:val="16"/>
              </w:rPr>
              <w:t>NR V2X UE authorization should allow at least “vehicle” and “pedestrian” services authorization, not precluding a UE being autho</w:t>
            </w:r>
            <w:r>
              <w:rPr>
                <w:color w:val="00B050"/>
                <w:sz w:val="16"/>
                <w:szCs w:val="16"/>
              </w:rPr>
              <w:t>rized for both at the same time</w:t>
            </w:r>
          </w:p>
          <w:p w:rsidR="00581C91" w:rsidRPr="00871458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FFS whether the authorization is per PC5 RAT, i.e. per gNB/eNB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R3-190559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authorization in NR V2X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R3-190236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Service Authorization for NR V2X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R3-190133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 on Service Authorization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R3-190623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NR V2X Service Authorization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871458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581C91" w:rsidRDefault="00581C91" w:rsidP="00581C91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 xml:space="preserve">23.3. UE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AMBR in NG-RAN</w:t>
            </w:r>
          </w:p>
          <w:p w:rsidR="00581C91" w:rsidRDefault="00581C91" w:rsidP="00160199">
            <w:pPr>
              <w:spacing w:after="0"/>
              <w:rPr>
                <w:color w:val="00B050"/>
                <w:sz w:val="16"/>
                <w:szCs w:val="16"/>
              </w:rPr>
            </w:pPr>
            <w:r w:rsidRPr="00871458">
              <w:rPr>
                <w:color w:val="00B050"/>
                <w:sz w:val="16"/>
                <w:szCs w:val="16"/>
              </w:rPr>
              <w:t>Signaling the UE sidelink AMBR to NG-RAN should be supported in NGAP and XnAP</w:t>
            </w:r>
          </w:p>
          <w:p w:rsidR="00581C91" w:rsidRPr="00871458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FFS whether the UE sidelink AMBR is per PC5 RAT, i.e. per gNB/eNB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R3-190237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UE Sidelink AMBR for NR V2X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R3-190135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 on UE sidelink AMBR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R3-190624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UE Sidelink AMBR in NG-RAN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R3-190819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Signaling of UE sidelink AMBR in NG-RAN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2E4972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581C91" w:rsidRDefault="00581C91" w:rsidP="00581C91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23.4. Support for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Resource Allocation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FFS whether the resource pool for sidelink is configured in the CU or in the DU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F1 signaling impacts, including: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- For Mode 1, whether DU is responsible for sidelink scheduling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- For Mode 2, SIB details, and how to support on-demand broadcast</w:t>
            </w:r>
          </w:p>
          <w:p w:rsidR="00581C91" w:rsidRPr="002E4972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Resource pool coordination between neighbor nodes (if any)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R3-190548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Support of NR V2X in case of CU-DU split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R3-190238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F1 issues for NR V2X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R3-190132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 on support of sidelink resource allocation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R3-190625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Principles for resource pool assignment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NR V2X Sidelink Resource pool configuration in NG-RAN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Signalling of cross-RAT PC5 and PC5 control parameters in NG-RAN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Resource coordination for cross-RAT V2X sidelink communication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38.885 v1.0.0, Rel-16, Cat. 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2E4972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581C91" w:rsidRDefault="00581C91" w:rsidP="00581C91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  <w:rPr>
                <w:lang w:val="en-US"/>
              </w:rPr>
            </w:pPr>
            <w:r>
              <w:rPr>
                <w:lang w:val="en-US"/>
              </w:rPr>
              <w:t>23.5. Slicing Aspects</w:t>
            </w:r>
          </w:p>
          <w:p w:rsidR="00581C91" w:rsidRPr="002E4972" w:rsidRDefault="00581C91" w:rsidP="00160199">
            <w:pPr>
              <w:spacing w:after="0"/>
              <w:rPr>
                <w:color w:val="00B050"/>
                <w:sz w:val="16"/>
                <w:szCs w:val="16"/>
              </w:rPr>
            </w:pPr>
            <w:r>
              <w:rPr>
                <w:color w:val="00B050"/>
                <w:sz w:val="16"/>
                <w:szCs w:val="16"/>
              </w:rPr>
              <w:t>NR V2X shall support the use of slicing similarly to what is done in NG-RAN, i.e. the same general principles as captured in 38.300 shall apply</w:t>
            </w:r>
          </w:p>
        </w:tc>
      </w:tr>
      <w:tr w:rsidR="00581C91" w:rsidRPr="00130E74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581C91" w:rsidRDefault="00581C91" w:rsidP="00581C91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  <w:rPr>
                <w:lang w:val="en-US"/>
              </w:rPr>
            </w:pPr>
            <w:r>
              <w:rPr>
                <w:lang w:val="en-US"/>
              </w:rPr>
              <w:t>23.6. Others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Other issues, including:</w:t>
            </w:r>
          </w:p>
          <w:p w:rsidR="00581C91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- RAT and interface selection (pending RAN2)</w:t>
            </w:r>
          </w:p>
          <w:p w:rsidR="00581C91" w:rsidRPr="00130E74" w:rsidRDefault="00581C91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- QoS aspects (pending SA2)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R3-190016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on RAT selection for SL (RAN WG2)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in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23.6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cc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R3-190113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Reply LS on RAT selection for SL (SA WG2)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in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23.6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cc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R3-190036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Combinations of Uu QoS characteristics values for V2X services (SA WG2)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in</w:t>
            </w:r>
          </w:p>
          <w:p w:rsidR="00581C91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23.6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cc</w:t>
            </w: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R3-190239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Resource Co-ordination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581C91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R3-190554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Considerations on the issues for MR-DC based NR V2X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581C91" w:rsidRPr="0070714C" w:rsidRDefault="00581C91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</w:tbl>
    <w:p w:rsidR="00581C91" w:rsidRDefault="00581C91" w:rsidP="00581C91"/>
    <w:p w:rsidR="00DE0064" w:rsidRDefault="00DE0064" w:rsidP="00DE0064"/>
    <w:p w:rsidR="00DE0064" w:rsidRPr="0028124E" w:rsidRDefault="00DE0064" w:rsidP="00DE0064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DE0064" w:rsidRPr="0028124E" w:rsidTr="007E0F52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DE0064" w:rsidRPr="0028124E" w:rsidRDefault="00DE0064" w:rsidP="007E0F52">
            <w:pPr>
              <w:spacing w:before="120" w:after="120" w:line="240" w:lineRule="auto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DE0064" w:rsidRPr="0028124E" w:rsidTr="007E0F52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DE0064" w:rsidRPr="0028124E" w:rsidRDefault="00DE0064" w:rsidP="007E0F52">
            <w:pPr>
              <w:spacing w:before="60" w:after="60" w:line="240" w:lineRule="auto"/>
              <w:ind w:firstLineChars="100" w:firstLine="22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lastRenderedPageBreak/>
              <w:t>10.1. Sub Agenda Item</w:t>
            </w:r>
          </w:p>
        </w:tc>
      </w:tr>
      <w:tr w:rsidR="00DE0064" w:rsidRPr="0028124E" w:rsidTr="007E0F52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DE0064" w:rsidRPr="0028124E" w:rsidRDefault="00DE0064" w:rsidP="007E0F52">
            <w:pPr>
              <w:spacing w:before="60" w:after="0" w:line="240" w:lineRule="auto"/>
              <w:ind w:firstLineChars="100" w:firstLine="201"/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 xml:space="preserve"> Sub-sub Agenda Item</w:t>
            </w:r>
          </w:p>
        </w:tc>
      </w:tr>
      <w:tr w:rsidR="00DE0064" w:rsidRPr="0028124E" w:rsidTr="007E0F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DE0064" w:rsidRPr="0028124E" w:rsidRDefault="00DE0064" w:rsidP="007E0F52">
            <w:pPr>
              <w:pStyle w:val="Heading5"/>
              <w:ind w:left="195"/>
              <w:rPr>
                <w:noProof/>
              </w:rPr>
            </w:pPr>
            <w:r w:rsidRPr="0028124E">
              <w:rPr>
                <w:noProof/>
              </w:rPr>
              <w:t>10.</w:t>
            </w:r>
            <w:r>
              <w:rPr>
                <w:noProof/>
              </w:rPr>
              <w:t>1.1.1.</w:t>
            </w:r>
            <w:r w:rsidRPr="0028124E">
              <w:rPr>
                <w:noProof/>
              </w:rPr>
              <w:t xml:space="preserve"> </w:t>
            </w:r>
            <w:r>
              <w:rPr>
                <w:noProof/>
              </w:rPr>
              <w:t>Sub-sub-sub Agenda Item</w:t>
            </w:r>
          </w:p>
        </w:tc>
      </w:tr>
      <w:tr w:rsidR="00DE0064" w:rsidRPr="0028124E" w:rsidTr="007E0F52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DE0064" w:rsidRPr="0028124E" w:rsidRDefault="00DE0064" w:rsidP="007E0F52">
            <w:pPr>
              <w:spacing w:after="0" w:line="240" w:lineRule="auto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>topic, but it is not an Agenda Item)</w:t>
            </w:r>
          </w:p>
        </w:tc>
      </w:tr>
    </w:tbl>
    <w:p w:rsidR="00DE0064" w:rsidRPr="0028124E" w:rsidRDefault="00DE0064" w:rsidP="00DE0064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230"/>
        <w:gridCol w:w="4320"/>
      </w:tblGrid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Agreed (or approved) proposal: e.g. Working Assumption, tdoc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tdoc allocation by MCC for next meeting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tdoc agreed to be merge in a BL CR or TR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ComeBack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 xml:space="preserve"> a Come Back is required during the meeting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>CB: # n_FolderName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DE0064" w:rsidRPr="0028124E" w:rsidRDefault="00DE0064" w:rsidP="00DE0064"/>
    <w:p w:rsidR="00DE0064" w:rsidRPr="00E36768" w:rsidRDefault="00DE0064" w:rsidP="00DE0064"/>
    <w:p w:rsidR="00DE0064" w:rsidRDefault="00DE0064" w:rsidP="00DE0064"/>
    <w:p w:rsidR="00B07599" w:rsidRPr="00DE0064" w:rsidRDefault="00B07599">
      <w:pPr>
        <w:rPr>
          <w:lang w:val="ru-RU"/>
        </w:rPr>
      </w:pPr>
    </w:p>
    <w:sectPr w:rsidR="00B07599" w:rsidRPr="00DE00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93A15"/>
    <w:multiLevelType w:val="hybridMultilevel"/>
    <w:tmpl w:val="EDBA9552"/>
    <w:lvl w:ilvl="0" w:tplc="DB84D9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F4D98"/>
    <w:multiLevelType w:val="hybridMultilevel"/>
    <w:tmpl w:val="4AA29D46"/>
    <w:lvl w:ilvl="0" w:tplc="CB38DD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2D7F"/>
    <w:multiLevelType w:val="hybridMultilevel"/>
    <w:tmpl w:val="22C67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26DCF"/>
    <w:multiLevelType w:val="hybridMultilevel"/>
    <w:tmpl w:val="66E01938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34135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F5B18"/>
    <w:multiLevelType w:val="hybridMultilevel"/>
    <w:tmpl w:val="707A7CAE"/>
    <w:lvl w:ilvl="0" w:tplc="43904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C7600"/>
    <w:multiLevelType w:val="hybridMultilevel"/>
    <w:tmpl w:val="62C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3900ED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D9B"/>
    <w:rsid w:val="00011CBA"/>
    <w:rsid w:val="00034D9B"/>
    <w:rsid w:val="001161C2"/>
    <w:rsid w:val="001926F9"/>
    <w:rsid w:val="0031691B"/>
    <w:rsid w:val="004C386B"/>
    <w:rsid w:val="0054005F"/>
    <w:rsid w:val="00581C91"/>
    <w:rsid w:val="00632DAA"/>
    <w:rsid w:val="0069392B"/>
    <w:rsid w:val="007F229C"/>
    <w:rsid w:val="00A0143A"/>
    <w:rsid w:val="00B07599"/>
    <w:rsid w:val="00DE0064"/>
    <w:rsid w:val="00ED7199"/>
    <w:rsid w:val="00F5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502D"/>
  <w15:chartTrackingRefBased/>
  <w15:docId w15:val="{8458BAB8-B9C1-47A5-8FB8-8493AD43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064"/>
    <w:pPr>
      <w:spacing w:after="200" w:line="276" w:lineRule="auto"/>
    </w:pPr>
    <w:rPr>
      <w:rFonts w:ascii="Calibri" w:eastAsia="Calibri" w:hAnsi="Calibri" w:cs="Times New Roman"/>
      <w:noProof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064"/>
    <w:pPr>
      <w:keepNext/>
      <w:spacing w:before="120" w:after="120" w:line="120" w:lineRule="auto"/>
      <w:outlineLvl w:val="0"/>
    </w:pPr>
    <w:rPr>
      <w:rFonts w:eastAsia="Times New Roman"/>
      <w:b/>
      <w:bCs/>
      <w:noProof w:val="0"/>
      <w:color w:val="800000"/>
      <w:kern w:val="32"/>
      <w:sz w:val="24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064"/>
    <w:pPr>
      <w:keepNext/>
      <w:spacing w:before="60" w:after="60"/>
      <w:outlineLvl w:val="1"/>
    </w:pPr>
    <w:rPr>
      <w:rFonts w:eastAsia="Times New Roman"/>
      <w:b/>
      <w:bCs/>
      <w:iCs/>
      <w:noProof w:val="0"/>
      <w:color w:val="800000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06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064"/>
    <w:rPr>
      <w:rFonts w:ascii="Calibri" w:eastAsia="Times New Roman" w:hAnsi="Calibri" w:cs="Times New Roman"/>
      <w:b/>
      <w:bCs/>
      <w:color w:val="800000"/>
      <w:kern w:val="32"/>
      <w:sz w:val="24"/>
      <w:szCs w:val="32"/>
      <w:lang w:val="x-none" w:eastAsia="x-none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E0064"/>
    <w:rPr>
      <w:rFonts w:ascii="Calibri" w:eastAsia="Times New Roman" w:hAnsi="Calibri" w:cs="Times New Roman"/>
      <w:b/>
      <w:bCs/>
      <w:iCs/>
      <w:color w:val="800000"/>
      <w:szCs w:val="28"/>
      <w:lang w:val="x-none" w:eastAsia="x-none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06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unhideWhenUsed/>
    <w:rsid w:val="00DE0064"/>
    <w:rPr>
      <w:color w:val="0000FF"/>
      <w:u w:val="single"/>
    </w:rPr>
  </w:style>
  <w:style w:type="paragraph" w:styleId="NoSpacing">
    <w:name w:val="No Spacing"/>
    <w:basedOn w:val="Normal"/>
    <w:qFormat/>
    <w:rsid w:val="00DE0064"/>
    <w:pPr>
      <w:spacing w:after="0" w:line="240" w:lineRule="auto"/>
    </w:pPr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DE006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014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LSin/R3-190012.zip" TargetMode="External"/><Relationship Id="rId13" Type="http://schemas.openxmlformats.org/officeDocument/2006/relationships/hyperlink" Target="../../Docs/R3-190555%20TP%20for%20TR%20conclusion%20on%20RAN3.docx" TargetMode="External"/><Relationship Id="rId18" Type="http://schemas.openxmlformats.org/officeDocument/2006/relationships/hyperlink" Target="../../Docs/R3-190237.doc" TargetMode="External"/><Relationship Id="rId26" Type="http://schemas.openxmlformats.org/officeDocument/2006/relationships/hyperlink" Target="../../Docs/R3-190820%20NR%20V2X%20Sidelink%20Resource%20pool%20configuration%20in%20NG-RAN.docx" TargetMode="External"/><Relationship Id="rId3" Type="http://schemas.openxmlformats.org/officeDocument/2006/relationships/settings" Target="settings.xml"/><Relationship Id="rId21" Type="http://schemas.openxmlformats.org/officeDocument/2006/relationships/hyperlink" Target="../../Docs/R3-190819%20Signalling%20of%20UE%20sidelink%20AMBR%20in%20NG-RAN.docx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3gpp.org/ftp/tsg_ran/WG3_Iu/TSGR3_102/Docs/R3-187223.zip" TargetMode="External"/><Relationship Id="rId12" Type="http://schemas.openxmlformats.org/officeDocument/2006/relationships/hyperlink" Target="../../Docs/R3-190818%20Discussion%20on%20NR%20V2X%20Work%20Item%20scope.docx" TargetMode="External"/><Relationship Id="rId17" Type="http://schemas.openxmlformats.org/officeDocument/2006/relationships/hyperlink" Target="../../Docs/R3-190623%20NR%20V2X%20Service%20Authorization%20in%20NG-RAN.doc" TargetMode="External"/><Relationship Id="rId25" Type="http://schemas.openxmlformats.org/officeDocument/2006/relationships/hyperlink" Target="../../Docs/R3-190625%20Principles%20for%20resource%20pool%20assignment.doc" TargetMode="External"/><Relationship Id="rId33" Type="http://schemas.openxmlformats.org/officeDocument/2006/relationships/hyperlink" Target="../../Docs/R3-190554%20Considerations%20on%20the%20issues%20for%20MR-DC%20based%20NR%20V2X.docx" TargetMode="External"/><Relationship Id="rId2" Type="http://schemas.openxmlformats.org/officeDocument/2006/relationships/styles" Target="styles.xml"/><Relationship Id="rId16" Type="http://schemas.openxmlformats.org/officeDocument/2006/relationships/hyperlink" Target="../../Docs/R3-190133%20Text%20Proposal%20on%20Service%20Authorization.docx" TargetMode="External"/><Relationship Id="rId20" Type="http://schemas.openxmlformats.org/officeDocument/2006/relationships/hyperlink" Target="../../Docs/R3-190624%20UE%20Sidelink%20AMBR%20in%20NG-RAN.doc" TargetMode="External"/><Relationship Id="rId29" Type="http://schemas.openxmlformats.org/officeDocument/2006/relationships/hyperlink" Target="../../LSin/R3-190016.zip" TargetMode="External"/><Relationship Id="rId1" Type="http://schemas.openxmlformats.org/officeDocument/2006/relationships/numbering" Target="numbering.xml"/><Relationship Id="rId6" Type="http://schemas.openxmlformats.org/officeDocument/2006/relationships/hyperlink" Target="Inbox\R3-190912.zip" TargetMode="External"/><Relationship Id="rId11" Type="http://schemas.openxmlformats.org/officeDocument/2006/relationships/hyperlink" Target="Docs\R3-181071.zip" TargetMode="External"/><Relationship Id="rId24" Type="http://schemas.openxmlformats.org/officeDocument/2006/relationships/hyperlink" Target="../../Docs/R3-190132%20Text%20Proposal%20on%20support%20of%20sidelink%20resource%20allocation.docx" TargetMode="External"/><Relationship Id="rId32" Type="http://schemas.openxmlformats.org/officeDocument/2006/relationships/hyperlink" Target="../../Docs/R3-190239.doc" TargetMode="External"/><Relationship Id="rId5" Type="http://schemas.openxmlformats.org/officeDocument/2006/relationships/hyperlink" Target="http://www.3gpp.org/ftp/tsg_ran/TSG_RAN/TSGR_82/Docs/RP-182491.zip" TargetMode="External"/><Relationship Id="rId15" Type="http://schemas.openxmlformats.org/officeDocument/2006/relationships/hyperlink" Target="../../Docs/R3-190236.doc" TargetMode="External"/><Relationship Id="rId23" Type="http://schemas.openxmlformats.org/officeDocument/2006/relationships/hyperlink" Target="../../Docs/R3-190238.doc" TargetMode="External"/><Relationship Id="rId28" Type="http://schemas.openxmlformats.org/officeDocument/2006/relationships/hyperlink" Target="../../Docs/R3-190822%20Resource%20coordination%20for%20cross-RAT%20V2X%20sidelink%20communication.docx" TargetMode="External"/><Relationship Id="rId10" Type="http://schemas.openxmlformats.org/officeDocument/2006/relationships/hyperlink" Target="Docs\R3-181057.zip" TargetMode="External"/><Relationship Id="rId19" Type="http://schemas.openxmlformats.org/officeDocument/2006/relationships/hyperlink" Target="../../Docs/R3-190135-Text%20Proposal%20on%20UE%20sidelink%20AMBR.docx" TargetMode="External"/><Relationship Id="rId31" Type="http://schemas.openxmlformats.org/officeDocument/2006/relationships/hyperlink" Target="../../LSin/R3-19003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Docs\R3-181060.zip" TargetMode="External"/><Relationship Id="rId14" Type="http://schemas.openxmlformats.org/officeDocument/2006/relationships/hyperlink" Target="../../Docs/R3-190559.doc" TargetMode="External"/><Relationship Id="rId22" Type="http://schemas.openxmlformats.org/officeDocument/2006/relationships/hyperlink" Target="../../Docs/R3-190548%20Support%20of%20NR%20V2X%20in%20case%20of%20CU-DU%20split.doc" TargetMode="External"/><Relationship Id="rId27" Type="http://schemas.openxmlformats.org/officeDocument/2006/relationships/hyperlink" Target="../../Docs/R3-190821%20Signalling%20of%20cross-RAT%20PC5%20and%20PC5%20control%20parameters%20in%20NG-RAN.docx" TargetMode="External"/><Relationship Id="rId30" Type="http://schemas.openxmlformats.org/officeDocument/2006/relationships/hyperlink" Target="../../LSin/R3-190113.zip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1437</Words>
  <Characters>7567</Characters>
  <Application>Microsoft Office Word</Application>
  <DocSecurity>0</DocSecurity>
  <Lines>323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Sirotkin, Sasha</dc:creator>
  <cp:keywords>CTPClassification=CTP_NT</cp:keywords>
  <dc:description/>
  <cp:lastModifiedBy>Sirotkin, Sasha</cp:lastModifiedBy>
  <cp:revision>3</cp:revision>
  <dcterms:created xsi:type="dcterms:W3CDTF">2019-03-01T06:33:00Z</dcterms:created>
  <dcterms:modified xsi:type="dcterms:W3CDTF">2019-03-01T06:40:00Z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3404178d-7f98-4f51-bc55-7b2618e88c20</vt:lpwstr>
  </property>
  <property fmtid="{D5CDD505-2E9C-101B-9397-08002B2CF9AE}" pid="3" name="CTP_TimeStamp">
    <vt:lpwstr>2019-03-01 06:40:29Z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