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DDE4B1" w14:textId="1C6AE35D" w:rsidR="000F7211" w:rsidRPr="0065689B" w:rsidRDefault="000F7211" w:rsidP="000F7211">
      <w:pPr>
        <w:pStyle w:val="CRCoverPage"/>
        <w:tabs>
          <w:tab w:val="right" w:pos="9639"/>
        </w:tabs>
        <w:spacing w:after="0"/>
        <w:rPr>
          <w:b/>
          <w:noProof/>
          <w:sz w:val="28"/>
        </w:rPr>
      </w:pPr>
      <w:r>
        <w:rPr>
          <w:b/>
          <w:noProof/>
          <w:sz w:val="24"/>
        </w:rPr>
        <w:t>3GPP TSG-RAN2 Meeting #99bis</w:t>
      </w:r>
      <w:r w:rsidRPr="00815BDA">
        <w:rPr>
          <w:b/>
          <w:i/>
          <w:noProof/>
          <w:sz w:val="28"/>
        </w:rPr>
        <w:tab/>
      </w:r>
      <w:bookmarkStart w:id="0" w:name="_GoBack"/>
      <w:r w:rsidR="0065689B" w:rsidRPr="0065689B">
        <w:rPr>
          <w:b/>
          <w:noProof/>
          <w:sz w:val="28"/>
        </w:rPr>
        <w:t>R2-1710487</w:t>
      </w:r>
      <w:bookmarkEnd w:id="0"/>
    </w:p>
    <w:p w14:paraId="309B3A0F" w14:textId="77777777" w:rsidR="000F7211" w:rsidRDefault="000F7211" w:rsidP="000F7211">
      <w:pPr>
        <w:pStyle w:val="CRCoverPage"/>
        <w:outlineLvl w:val="0"/>
        <w:rPr>
          <w:b/>
          <w:noProof/>
          <w:sz w:val="24"/>
        </w:rPr>
      </w:pPr>
      <w:r w:rsidRPr="00CD3A88">
        <w:rPr>
          <w:b/>
          <w:noProof/>
          <w:sz w:val="24"/>
        </w:rPr>
        <w:t>Prague, Czech Republic, October 9 - 13, 2017</w:t>
      </w:r>
    </w:p>
    <w:p w14:paraId="2A7F17AC" w14:textId="77777777" w:rsidR="008023D7" w:rsidRPr="00B67E23" w:rsidRDefault="008023D7" w:rsidP="00311702">
      <w:pPr>
        <w:pStyle w:val="3GPPHeader"/>
        <w:rPr>
          <w:rFonts w:ascii="Arial" w:hAnsi="Arial" w:cs="Arial"/>
          <w:sz w:val="22"/>
          <w:lang w:val="en-US"/>
        </w:rPr>
      </w:pPr>
    </w:p>
    <w:p w14:paraId="0DBA3ED9" w14:textId="0938BF54" w:rsidR="00E90E49" w:rsidRPr="008023D7" w:rsidRDefault="00E90E49" w:rsidP="00311702">
      <w:pPr>
        <w:pStyle w:val="3GPPHeader"/>
        <w:rPr>
          <w:rFonts w:ascii="Arial" w:hAnsi="Arial" w:cs="Arial"/>
          <w:sz w:val="22"/>
        </w:rPr>
      </w:pPr>
      <w:r w:rsidRPr="008023D7">
        <w:rPr>
          <w:rFonts w:ascii="Arial" w:hAnsi="Arial" w:cs="Arial"/>
          <w:sz w:val="22"/>
        </w:rPr>
        <w:t>Agenda Item:</w:t>
      </w:r>
      <w:r w:rsidRPr="008023D7">
        <w:rPr>
          <w:rFonts w:ascii="Arial" w:hAnsi="Arial" w:cs="Arial"/>
          <w:sz w:val="22"/>
        </w:rPr>
        <w:tab/>
      </w:r>
      <w:r w:rsidR="00B67E23" w:rsidRPr="00B67E23">
        <w:rPr>
          <w:rFonts w:ascii="Arial" w:hAnsi="Arial" w:cs="Arial"/>
          <w:sz w:val="22"/>
        </w:rPr>
        <w:t>9.13.8</w:t>
      </w:r>
    </w:p>
    <w:p w14:paraId="3D09BB9C" w14:textId="77777777" w:rsidR="00E90E49" w:rsidRPr="008023D7" w:rsidRDefault="003D3C45" w:rsidP="00F64C2B">
      <w:pPr>
        <w:pStyle w:val="3GPPHeader"/>
        <w:rPr>
          <w:rFonts w:ascii="Arial" w:hAnsi="Arial" w:cs="Arial"/>
          <w:sz w:val="22"/>
          <w:lang w:val="en-US"/>
        </w:rPr>
      </w:pPr>
      <w:r w:rsidRPr="008023D7">
        <w:rPr>
          <w:rFonts w:ascii="Arial" w:hAnsi="Arial" w:cs="Arial"/>
          <w:sz w:val="22"/>
          <w:lang w:val="en-US"/>
        </w:rPr>
        <w:t>Source:</w:t>
      </w:r>
      <w:r w:rsidR="00E90E49" w:rsidRPr="008023D7">
        <w:rPr>
          <w:rFonts w:ascii="Arial" w:hAnsi="Arial" w:cs="Arial"/>
          <w:sz w:val="22"/>
          <w:lang w:val="en-US"/>
        </w:rPr>
        <w:tab/>
      </w:r>
      <w:r w:rsidR="00F64C2B" w:rsidRPr="008023D7">
        <w:rPr>
          <w:rFonts w:ascii="Arial" w:hAnsi="Arial" w:cs="Arial"/>
          <w:sz w:val="22"/>
          <w:lang w:val="en-US"/>
        </w:rPr>
        <w:t>Ericsson</w:t>
      </w:r>
    </w:p>
    <w:p w14:paraId="396F3307" w14:textId="2202C8D0" w:rsidR="00E90E49" w:rsidRPr="008023D7" w:rsidRDefault="003D3C45" w:rsidP="00311702">
      <w:pPr>
        <w:pStyle w:val="3GPPHeader"/>
        <w:rPr>
          <w:rFonts w:ascii="Arial" w:hAnsi="Arial" w:cs="Arial"/>
          <w:sz w:val="22"/>
          <w:lang w:val="en-US"/>
        </w:rPr>
      </w:pPr>
      <w:r w:rsidRPr="008023D7">
        <w:rPr>
          <w:rFonts w:ascii="Arial" w:hAnsi="Arial" w:cs="Arial"/>
          <w:sz w:val="22"/>
          <w:lang w:val="en-US"/>
        </w:rPr>
        <w:t>Title:</w:t>
      </w:r>
      <w:r w:rsidR="00E90E49" w:rsidRPr="008023D7">
        <w:rPr>
          <w:rFonts w:ascii="Arial" w:hAnsi="Arial" w:cs="Arial"/>
          <w:sz w:val="22"/>
          <w:lang w:val="en-US"/>
        </w:rPr>
        <w:tab/>
      </w:r>
      <w:r w:rsidR="00A2639A">
        <w:rPr>
          <w:rFonts w:ascii="Arial" w:hAnsi="Arial" w:cs="Arial"/>
          <w:sz w:val="22"/>
          <w:lang w:val="en-US"/>
        </w:rPr>
        <w:t xml:space="preserve">Study of </w:t>
      </w:r>
      <w:r w:rsidR="00DE7363" w:rsidRPr="008023D7">
        <w:rPr>
          <w:rFonts w:ascii="Arial" w:hAnsi="Arial" w:cs="Arial"/>
          <w:sz w:val="22"/>
          <w:lang w:val="en-US"/>
        </w:rPr>
        <w:t>TDD NPRACH</w:t>
      </w:r>
      <w:r w:rsidR="001B0A34" w:rsidRPr="008023D7">
        <w:rPr>
          <w:rFonts w:ascii="Arial" w:hAnsi="Arial" w:cs="Arial"/>
          <w:sz w:val="22"/>
          <w:lang w:val="en-US"/>
        </w:rPr>
        <w:t xml:space="preserve"> and RA-RNTI</w:t>
      </w:r>
      <w:r w:rsidR="00922088">
        <w:rPr>
          <w:rFonts w:ascii="Arial" w:hAnsi="Arial" w:cs="Arial"/>
          <w:sz w:val="22"/>
          <w:lang w:val="en-US"/>
        </w:rPr>
        <w:t xml:space="preserve"> </w:t>
      </w:r>
      <w:r w:rsidR="00922088" w:rsidRPr="00922088">
        <w:rPr>
          <w:rFonts w:ascii="Arial" w:hAnsi="Arial" w:cs="Arial"/>
          <w:sz w:val="22"/>
          <w:lang w:val="en-US"/>
        </w:rPr>
        <w:t>impacts due to TDD</w:t>
      </w:r>
    </w:p>
    <w:p w14:paraId="7A0567D6" w14:textId="77777777" w:rsidR="00E90E49" w:rsidRPr="008023D7" w:rsidRDefault="00E90E49" w:rsidP="00D546FF">
      <w:pPr>
        <w:pStyle w:val="3GPPHeader"/>
        <w:rPr>
          <w:rFonts w:ascii="Arial" w:hAnsi="Arial" w:cs="Arial"/>
          <w:sz w:val="22"/>
          <w:lang w:val="en-US"/>
        </w:rPr>
      </w:pPr>
      <w:r w:rsidRPr="008023D7">
        <w:rPr>
          <w:rFonts w:ascii="Arial" w:hAnsi="Arial" w:cs="Arial"/>
          <w:sz w:val="22"/>
          <w:lang w:val="en-US"/>
        </w:rPr>
        <w:t>Document for:</w:t>
      </w:r>
      <w:r w:rsidRPr="008023D7">
        <w:rPr>
          <w:rFonts w:ascii="Arial" w:hAnsi="Arial" w:cs="Arial"/>
          <w:sz w:val="22"/>
          <w:lang w:val="en-US"/>
        </w:rPr>
        <w:tab/>
      </w:r>
      <w:r w:rsidRPr="00B67E23">
        <w:rPr>
          <w:rFonts w:ascii="Arial" w:hAnsi="Arial" w:cs="Arial"/>
          <w:sz w:val="22"/>
          <w:lang w:val="en-US"/>
        </w:rPr>
        <w:t>Discussion, Decision</w:t>
      </w:r>
    </w:p>
    <w:p w14:paraId="3C6D63D8" w14:textId="77777777" w:rsidR="00E90E49" w:rsidRPr="00D17933" w:rsidRDefault="00E90E49" w:rsidP="00E90E49">
      <w:pPr>
        <w:rPr>
          <w:lang w:val="en-US"/>
        </w:rPr>
      </w:pPr>
    </w:p>
    <w:p w14:paraId="04B9CC0B" w14:textId="47CF03F8" w:rsidR="00C24345" w:rsidRDefault="00E90E49" w:rsidP="00A2052C">
      <w:pPr>
        <w:pStyle w:val="Heading1"/>
      </w:pPr>
      <w:r w:rsidRPr="00CE0424">
        <w:t>Introduction</w:t>
      </w:r>
    </w:p>
    <w:p w14:paraId="2CB3DB2D" w14:textId="7C90056F" w:rsidR="008C2175" w:rsidRPr="00597AB4" w:rsidRDefault="008C2175" w:rsidP="008C2175">
      <w:pPr>
        <w:rPr>
          <w:rFonts w:ascii="Arial" w:hAnsi="Arial" w:cs="Arial"/>
          <w:sz w:val="20"/>
          <w:lang w:val="en-US"/>
        </w:rPr>
      </w:pPr>
      <w:r w:rsidRPr="00597AB4">
        <w:rPr>
          <w:rFonts w:ascii="Arial" w:hAnsi="Arial" w:cs="Arial"/>
          <w:sz w:val="20"/>
          <w:lang w:val="en-US"/>
        </w:rPr>
        <w:t>The first releases (Rel-13 and Rel-14) of NB-IoT were only supported with FDD. As part of Rel-15 further NB-IoT enhancements</w:t>
      </w:r>
      <w:r w:rsidR="007277F8" w:rsidRPr="00597AB4">
        <w:rPr>
          <w:rFonts w:ascii="Arial" w:hAnsi="Arial" w:cs="Arial"/>
          <w:sz w:val="20"/>
          <w:lang w:val="en-US"/>
        </w:rPr>
        <w:t xml:space="preserve"> </w:t>
      </w:r>
      <w:r w:rsidR="007277F8" w:rsidRPr="00597AB4">
        <w:rPr>
          <w:rFonts w:ascii="Arial" w:hAnsi="Arial" w:cs="Arial"/>
          <w:sz w:val="20"/>
        </w:rPr>
        <w:fldChar w:fldCharType="begin"/>
      </w:r>
      <w:r w:rsidR="007277F8" w:rsidRPr="00597AB4">
        <w:rPr>
          <w:rFonts w:ascii="Arial" w:hAnsi="Arial" w:cs="Arial"/>
          <w:sz w:val="20"/>
          <w:lang w:val="en-US"/>
        </w:rPr>
        <w:instrText xml:space="preserve"> REF _Ref486275008 \r \h </w:instrText>
      </w:r>
      <w:r w:rsidR="00597AB4" w:rsidRPr="00B67E23">
        <w:rPr>
          <w:rFonts w:ascii="Arial" w:hAnsi="Arial" w:cs="Arial"/>
          <w:sz w:val="20"/>
          <w:lang w:val="en-US"/>
        </w:rPr>
        <w:instrText xml:space="preserve"> \* MERGEFORMAT </w:instrText>
      </w:r>
      <w:r w:rsidR="007277F8" w:rsidRPr="00597AB4">
        <w:rPr>
          <w:rFonts w:ascii="Arial" w:hAnsi="Arial" w:cs="Arial"/>
          <w:sz w:val="20"/>
        </w:rPr>
      </w:r>
      <w:r w:rsidR="007277F8" w:rsidRPr="00597AB4">
        <w:rPr>
          <w:rFonts w:ascii="Arial" w:hAnsi="Arial" w:cs="Arial"/>
          <w:sz w:val="20"/>
        </w:rPr>
        <w:fldChar w:fldCharType="separate"/>
      </w:r>
      <w:r w:rsidR="00B67E23">
        <w:rPr>
          <w:rFonts w:ascii="Arial" w:hAnsi="Arial" w:cs="Arial"/>
          <w:sz w:val="20"/>
          <w:lang w:val="en-US"/>
        </w:rPr>
        <w:t>[1]</w:t>
      </w:r>
      <w:r w:rsidR="007277F8" w:rsidRPr="00597AB4">
        <w:rPr>
          <w:rFonts w:ascii="Arial" w:hAnsi="Arial" w:cs="Arial"/>
          <w:sz w:val="20"/>
        </w:rPr>
        <w:fldChar w:fldCharType="end"/>
      </w:r>
      <w:r w:rsidRPr="00597AB4">
        <w:rPr>
          <w:rFonts w:ascii="Arial" w:hAnsi="Arial" w:cs="Arial"/>
          <w:sz w:val="20"/>
          <w:lang w:val="en-US"/>
        </w:rPr>
        <w:t xml:space="preserve">, it has been decided to provide support for NB-IoT TDD. </w:t>
      </w:r>
    </w:p>
    <w:p w14:paraId="6BD822CC" w14:textId="68371523" w:rsidR="00A2052C" w:rsidRPr="00597AB4" w:rsidRDefault="00BA06B9" w:rsidP="008C2175">
      <w:pPr>
        <w:rPr>
          <w:rFonts w:ascii="Arial" w:hAnsi="Arial" w:cs="Arial"/>
          <w:sz w:val="20"/>
          <w:lang w:val="en-US"/>
        </w:rPr>
      </w:pPr>
      <w:r w:rsidRPr="00597AB4">
        <w:rPr>
          <w:rFonts w:ascii="Arial" w:hAnsi="Arial" w:cs="Arial"/>
          <w:sz w:val="20"/>
          <w:lang w:val="en-US"/>
        </w:rPr>
        <w:t>I</w:t>
      </w:r>
      <w:r w:rsidR="008C2175" w:rsidRPr="00597AB4">
        <w:rPr>
          <w:rFonts w:ascii="Arial" w:hAnsi="Arial" w:cs="Arial"/>
          <w:sz w:val="20"/>
          <w:lang w:val="en-US"/>
        </w:rPr>
        <w:t>n this paper, we study the impacts o</w:t>
      </w:r>
      <w:r w:rsidR="007277F8" w:rsidRPr="00597AB4">
        <w:rPr>
          <w:rFonts w:ascii="Arial" w:hAnsi="Arial" w:cs="Arial"/>
          <w:sz w:val="20"/>
          <w:lang w:val="en-US"/>
        </w:rPr>
        <w:t>f TDD on one important functionality namely NPRACH.</w:t>
      </w:r>
      <w:r w:rsidR="008C2175" w:rsidRPr="00597AB4">
        <w:rPr>
          <w:rFonts w:ascii="Arial" w:hAnsi="Arial" w:cs="Arial"/>
          <w:sz w:val="20"/>
          <w:lang w:val="en-US"/>
        </w:rPr>
        <w:t xml:space="preserve"> Most concepts of </w:t>
      </w:r>
      <w:r w:rsidR="007277F8" w:rsidRPr="00597AB4">
        <w:rPr>
          <w:rFonts w:ascii="Arial" w:hAnsi="Arial" w:cs="Arial"/>
          <w:sz w:val="20"/>
          <w:lang w:val="en-US"/>
        </w:rPr>
        <w:t xml:space="preserve">FDD </w:t>
      </w:r>
      <w:r w:rsidR="008C2175" w:rsidRPr="00597AB4">
        <w:rPr>
          <w:rFonts w:ascii="Arial" w:hAnsi="Arial" w:cs="Arial"/>
          <w:sz w:val="20"/>
          <w:lang w:val="en-US"/>
        </w:rPr>
        <w:t xml:space="preserve">NB-IoT can </w:t>
      </w:r>
      <w:r w:rsidR="002E47EE">
        <w:rPr>
          <w:rFonts w:ascii="Arial" w:hAnsi="Arial" w:cs="Arial"/>
          <w:sz w:val="20"/>
          <w:lang w:val="en-US"/>
        </w:rPr>
        <w:t>likely</w:t>
      </w:r>
      <w:r w:rsidR="007277F8" w:rsidRPr="00597AB4">
        <w:rPr>
          <w:rFonts w:ascii="Arial" w:hAnsi="Arial" w:cs="Arial"/>
          <w:sz w:val="20"/>
          <w:lang w:val="en-US"/>
        </w:rPr>
        <w:t xml:space="preserve"> </w:t>
      </w:r>
      <w:r w:rsidR="008C2175" w:rsidRPr="00597AB4">
        <w:rPr>
          <w:rFonts w:ascii="Arial" w:hAnsi="Arial" w:cs="Arial"/>
          <w:sz w:val="20"/>
          <w:lang w:val="en-US"/>
        </w:rPr>
        <w:t xml:space="preserve">be re-used for TDD, </w:t>
      </w:r>
      <w:r w:rsidR="007277F8" w:rsidRPr="00597AB4">
        <w:rPr>
          <w:rFonts w:ascii="Arial" w:hAnsi="Arial" w:cs="Arial"/>
          <w:sz w:val="20"/>
          <w:lang w:val="en-US"/>
        </w:rPr>
        <w:t>however</w:t>
      </w:r>
      <w:r w:rsidR="008C2175" w:rsidRPr="00597AB4">
        <w:rPr>
          <w:rFonts w:ascii="Arial" w:hAnsi="Arial" w:cs="Arial"/>
          <w:sz w:val="20"/>
          <w:lang w:val="en-US"/>
        </w:rPr>
        <w:t xml:space="preserve">, </w:t>
      </w:r>
      <w:r w:rsidR="007277F8" w:rsidRPr="00597AB4">
        <w:rPr>
          <w:rFonts w:ascii="Arial" w:hAnsi="Arial" w:cs="Arial"/>
          <w:sz w:val="20"/>
          <w:lang w:val="en-US"/>
        </w:rPr>
        <w:t>it is of course necessary to ensure that no</w:t>
      </w:r>
      <w:r w:rsidR="008C2175" w:rsidRPr="00597AB4">
        <w:rPr>
          <w:rFonts w:ascii="Arial" w:hAnsi="Arial" w:cs="Arial"/>
          <w:sz w:val="20"/>
          <w:lang w:val="en-US"/>
        </w:rPr>
        <w:t xml:space="preserve"> additional update</w:t>
      </w:r>
      <w:r w:rsidR="007277F8" w:rsidRPr="00597AB4">
        <w:rPr>
          <w:rFonts w:ascii="Arial" w:hAnsi="Arial" w:cs="Arial"/>
          <w:sz w:val="20"/>
          <w:lang w:val="en-US"/>
        </w:rPr>
        <w:t>s</w:t>
      </w:r>
      <w:r w:rsidR="008C2175" w:rsidRPr="00597AB4">
        <w:rPr>
          <w:rFonts w:ascii="Arial" w:hAnsi="Arial" w:cs="Arial"/>
          <w:sz w:val="20"/>
          <w:lang w:val="en-US"/>
        </w:rPr>
        <w:t xml:space="preserve"> </w:t>
      </w:r>
      <w:r w:rsidR="007277F8" w:rsidRPr="00597AB4">
        <w:rPr>
          <w:rFonts w:ascii="Arial" w:hAnsi="Arial" w:cs="Arial"/>
          <w:sz w:val="20"/>
          <w:lang w:val="en-US"/>
        </w:rPr>
        <w:t>are</w:t>
      </w:r>
      <w:r w:rsidR="008C2175" w:rsidRPr="00597AB4">
        <w:rPr>
          <w:rFonts w:ascii="Arial" w:hAnsi="Arial" w:cs="Arial"/>
          <w:sz w:val="20"/>
          <w:lang w:val="en-US"/>
        </w:rPr>
        <w:t xml:space="preserve"> needed </w:t>
      </w:r>
      <w:r w:rsidR="007277F8" w:rsidRPr="00597AB4">
        <w:rPr>
          <w:rFonts w:ascii="Arial" w:hAnsi="Arial" w:cs="Arial"/>
          <w:sz w:val="20"/>
          <w:lang w:val="en-US"/>
        </w:rPr>
        <w:t>for fully</w:t>
      </w:r>
      <w:r w:rsidR="008C2175" w:rsidRPr="00597AB4">
        <w:rPr>
          <w:rFonts w:ascii="Arial" w:hAnsi="Arial" w:cs="Arial"/>
          <w:sz w:val="20"/>
          <w:lang w:val="en-US"/>
        </w:rPr>
        <w:t xml:space="preserve"> functioning </w:t>
      </w:r>
      <w:r w:rsidR="007277F8" w:rsidRPr="00597AB4">
        <w:rPr>
          <w:rFonts w:ascii="Arial" w:hAnsi="Arial" w:cs="Arial"/>
          <w:sz w:val="20"/>
          <w:lang w:val="en-US"/>
        </w:rPr>
        <w:t>TDD NB-IoT</w:t>
      </w:r>
      <w:r w:rsidR="008C2175" w:rsidRPr="00597AB4">
        <w:rPr>
          <w:rFonts w:ascii="Arial" w:hAnsi="Arial" w:cs="Arial"/>
          <w:sz w:val="20"/>
          <w:lang w:val="en-US"/>
        </w:rPr>
        <w:t>.</w:t>
      </w:r>
    </w:p>
    <w:p w14:paraId="1086C867" w14:textId="77777777" w:rsidR="004000E8" w:rsidRPr="00CE0424" w:rsidRDefault="004000E8" w:rsidP="00CE0424">
      <w:pPr>
        <w:pStyle w:val="Heading1"/>
      </w:pPr>
      <w:bookmarkStart w:id="1" w:name="_Ref178064866"/>
      <w:r w:rsidRPr="00CE0424">
        <w:t>Discussion</w:t>
      </w:r>
      <w:bookmarkEnd w:id="1"/>
    </w:p>
    <w:p w14:paraId="1F93A1AD" w14:textId="3ADE6377" w:rsidR="00B360B3" w:rsidRPr="00597AB4" w:rsidRDefault="00B360B3" w:rsidP="00CE0424">
      <w:pPr>
        <w:pStyle w:val="BodyText"/>
        <w:rPr>
          <w:rFonts w:ascii="Arial" w:hAnsi="Arial" w:cs="Arial"/>
          <w:sz w:val="20"/>
          <w:lang w:val="en-US"/>
        </w:rPr>
      </w:pPr>
      <w:r w:rsidRPr="00597AB4">
        <w:rPr>
          <w:rFonts w:ascii="Arial" w:hAnsi="Arial" w:cs="Arial"/>
          <w:sz w:val="20"/>
          <w:lang w:val="en-US"/>
        </w:rPr>
        <w:t xml:space="preserve">The radio resource, i.e. bandwidth (One PRB), of NB-IoT is significantly reduced compared to other current RATs. This to ensure an efficient system with very low power consumption and good coverage. Further, by selecting such limited bandwidth it is possible to reuse spectrum previously used by GSM. Generally, repetitions are used to provide coverage enhancements. All necessary functionality (primarily from LTE) has been adapted to work for NB-IoT. </w:t>
      </w:r>
    </w:p>
    <w:p w14:paraId="26F35E59" w14:textId="3D1FAD97" w:rsidR="00B360B3" w:rsidRDefault="00B360B3" w:rsidP="00B360B3">
      <w:pPr>
        <w:pStyle w:val="Heading2"/>
      </w:pPr>
      <w:r>
        <w:t>Some background</w:t>
      </w:r>
    </w:p>
    <w:p w14:paraId="009A9C8F" w14:textId="7B64590D" w:rsidR="00B360B3" w:rsidRPr="00597AB4" w:rsidRDefault="00B360B3" w:rsidP="00CE0424">
      <w:pPr>
        <w:pStyle w:val="BodyText"/>
        <w:rPr>
          <w:rFonts w:ascii="Arial" w:hAnsi="Arial" w:cs="Arial"/>
          <w:sz w:val="20"/>
          <w:lang w:val="en-US"/>
        </w:rPr>
      </w:pPr>
      <w:r w:rsidRPr="00597AB4">
        <w:rPr>
          <w:rFonts w:ascii="Arial" w:hAnsi="Arial" w:cs="Arial"/>
          <w:sz w:val="20"/>
          <w:lang w:val="en-US"/>
        </w:rPr>
        <w:t xml:space="preserve">There is a fundamental difference between TDD and FDD, as the name implies. In FDD communication of UL and DL are separated on different frequencies. However, in TDD mode, uplink and downlink resources are allocated within the same frame but resources are split in time, see available </w:t>
      </w:r>
      <w:r w:rsidR="00B602B7" w:rsidRPr="00597AB4">
        <w:rPr>
          <w:rFonts w:ascii="Arial" w:hAnsi="Arial" w:cs="Arial"/>
          <w:sz w:val="20"/>
          <w:lang w:val="en-US"/>
        </w:rPr>
        <w:t xml:space="preserve">LTE </w:t>
      </w:r>
      <w:r w:rsidRPr="00597AB4">
        <w:rPr>
          <w:rFonts w:ascii="Arial" w:hAnsi="Arial" w:cs="Arial"/>
          <w:sz w:val="20"/>
          <w:lang w:val="en-US"/>
        </w:rPr>
        <w:t>configurations</w:t>
      </w:r>
      <w:r w:rsidR="001B0C1F" w:rsidRPr="00597AB4">
        <w:rPr>
          <w:rFonts w:ascii="Arial" w:hAnsi="Arial" w:cs="Arial"/>
          <w:sz w:val="20"/>
          <w:lang w:val="en-US"/>
        </w:rPr>
        <w:t xml:space="preserve"> in </w:t>
      </w:r>
      <w:r w:rsidR="001B0C1F" w:rsidRPr="00597AB4">
        <w:rPr>
          <w:rFonts w:ascii="Arial" w:hAnsi="Arial" w:cs="Arial"/>
          <w:sz w:val="20"/>
        </w:rPr>
        <w:fldChar w:fldCharType="begin"/>
      </w:r>
      <w:r w:rsidR="001B0C1F" w:rsidRPr="00597AB4">
        <w:rPr>
          <w:rFonts w:ascii="Arial" w:hAnsi="Arial" w:cs="Arial"/>
          <w:sz w:val="20"/>
          <w:lang w:val="en-US"/>
        </w:rPr>
        <w:instrText xml:space="preserve"> REF _Ref486276087 \h </w:instrText>
      </w:r>
      <w:r w:rsidR="00597AB4" w:rsidRPr="00B67E23">
        <w:rPr>
          <w:rFonts w:ascii="Arial" w:hAnsi="Arial" w:cs="Arial"/>
          <w:sz w:val="20"/>
          <w:lang w:val="en-US"/>
        </w:rPr>
        <w:instrText xml:space="preserve"> \* MERGEFORMAT </w:instrText>
      </w:r>
      <w:r w:rsidR="001B0C1F" w:rsidRPr="00597AB4">
        <w:rPr>
          <w:rFonts w:ascii="Arial" w:hAnsi="Arial" w:cs="Arial"/>
          <w:sz w:val="20"/>
        </w:rPr>
      </w:r>
      <w:r w:rsidR="001B0C1F" w:rsidRPr="00597AB4">
        <w:rPr>
          <w:rFonts w:ascii="Arial" w:hAnsi="Arial" w:cs="Arial"/>
          <w:sz w:val="20"/>
        </w:rPr>
        <w:fldChar w:fldCharType="separate"/>
      </w:r>
      <w:r w:rsidR="001B0C1F" w:rsidRPr="00597AB4">
        <w:rPr>
          <w:rFonts w:ascii="Arial" w:hAnsi="Arial" w:cs="Arial"/>
          <w:sz w:val="20"/>
          <w:lang w:val="en-US"/>
        </w:rPr>
        <w:t xml:space="preserve">Table </w:t>
      </w:r>
      <w:r w:rsidR="001B0C1F" w:rsidRPr="00597AB4">
        <w:rPr>
          <w:rFonts w:ascii="Arial" w:hAnsi="Arial" w:cs="Arial"/>
          <w:noProof/>
          <w:sz w:val="20"/>
          <w:lang w:val="en-US"/>
        </w:rPr>
        <w:t>1</w:t>
      </w:r>
      <w:r w:rsidR="001B0C1F" w:rsidRPr="00597AB4">
        <w:rPr>
          <w:rFonts w:ascii="Arial" w:hAnsi="Arial" w:cs="Arial"/>
          <w:sz w:val="20"/>
        </w:rPr>
        <w:fldChar w:fldCharType="end"/>
      </w:r>
      <w:r w:rsidR="00B602B7" w:rsidRPr="00597AB4">
        <w:rPr>
          <w:rFonts w:ascii="Arial" w:hAnsi="Arial" w:cs="Arial"/>
          <w:sz w:val="20"/>
          <w:lang w:val="en-US"/>
        </w:rPr>
        <w:t xml:space="preserve"> </w:t>
      </w:r>
      <w:r w:rsidR="00B602B7" w:rsidRPr="00597AB4">
        <w:rPr>
          <w:rFonts w:ascii="Arial" w:hAnsi="Arial" w:cs="Arial"/>
          <w:sz w:val="20"/>
        </w:rPr>
        <w:fldChar w:fldCharType="begin"/>
      </w:r>
      <w:r w:rsidR="00B602B7" w:rsidRPr="00597AB4">
        <w:rPr>
          <w:rFonts w:ascii="Arial" w:hAnsi="Arial" w:cs="Arial"/>
          <w:sz w:val="20"/>
          <w:lang w:val="en-US"/>
        </w:rPr>
        <w:instrText xml:space="preserve"> REF _Ref486275676 \r \h </w:instrText>
      </w:r>
      <w:r w:rsidR="00597AB4" w:rsidRPr="00B67E23">
        <w:rPr>
          <w:rFonts w:ascii="Arial" w:hAnsi="Arial" w:cs="Arial"/>
          <w:sz w:val="20"/>
          <w:lang w:val="en-US"/>
        </w:rPr>
        <w:instrText xml:space="preserve"> \* MERGEFORMAT </w:instrText>
      </w:r>
      <w:r w:rsidR="00B602B7" w:rsidRPr="00597AB4">
        <w:rPr>
          <w:rFonts w:ascii="Arial" w:hAnsi="Arial" w:cs="Arial"/>
          <w:sz w:val="20"/>
        </w:rPr>
      </w:r>
      <w:r w:rsidR="00B602B7" w:rsidRPr="00597AB4">
        <w:rPr>
          <w:rFonts w:ascii="Arial" w:hAnsi="Arial" w:cs="Arial"/>
          <w:sz w:val="20"/>
        </w:rPr>
        <w:fldChar w:fldCharType="separate"/>
      </w:r>
      <w:r w:rsidR="00B602B7" w:rsidRPr="00597AB4">
        <w:rPr>
          <w:rFonts w:ascii="Arial" w:hAnsi="Arial" w:cs="Arial"/>
          <w:sz w:val="20"/>
          <w:lang w:val="en-US"/>
        </w:rPr>
        <w:t>[2]</w:t>
      </w:r>
      <w:r w:rsidR="00B602B7" w:rsidRPr="00597AB4">
        <w:rPr>
          <w:rFonts w:ascii="Arial" w:hAnsi="Arial" w:cs="Arial"/>
          <w:sz w:val="20"/>
        </w:rPr>
        <w:fldChar w:fldCharType="end"/>
      </w:r>
      <w:r w:rsidRPr="00597AB4">
        <w:rPr>
          <w:rFonts w:ascii="Arial" w:hAnsi="Arial" w:cs="Arial"/>
          <w:sz w:val="20"/>
          <w:lang w:val="en-US"/>
        </w:rPr>
        <w:t>.</w:t>
      </w:r>
    </w:p>
    <w:p w14:paraId="6E182E87" w14:textId="3802CCE9" w:rsidR="001B0C1F" w:rsidRPr="00D17933" w:rsidRDefault="001B0C1F" w:rsidP="001B0C1F">
      <w:pPr>
        <w:pStyle w:val="Caption"/>
        <w:keepNext/>
        <w:rPr>
          <w:lang w:val="en-US"/>
        </w:rPr>
      </w:pPr>
      <w:bookmarkStart w:id="2" w:name="_Ref486276087"/>
      <w:r w:rsidRPr="00D17933">
        <w:rPr>
          <w:lang w:val="en-US"/>
        </w:rPr>
        <w:t xml:space="preserve">Table </w:t>
      </w:r>
      <w:r w:rsidR="00792750">
        <w:fldChar w:fldCharType="begin"/>
      </w:r>
      <w:r w:rsidR="00792750" w:rsidRPr="00D17933">
        <w:rPr>
          <w:lang w:val="en-US"/>
        </w:rPr>
        <w:instrText xml:space="preserve"> SEQ Tabell \* ARABIC </w:instrText>
      </w:r>
      <w:r w:rsidR="00792750">
        <w:fldChar w:fldCharType="separate"/>
      </w:r>
      <w:r w:rsidRPr="00D17933">
        <w:rPr>
          <w:noProof/>
          <w:lang w:val="en-US"/>
        </w:rPr>
        <w:t>1</w:t>
      </w:r>
      <w:r w:rsidR="00792750">
        <w:rPr>
          <w:noProof/>
        </w:rPr>
        <w:fldChar w:fldCharType="end"/>
      </w:r>
      <w:bookmarkEnd w:id="2"/>
      <w:r w:rsidRPr="00D17933">
        <w:rPr>
          <w:lang w:val="en-US"/>
        </w:rPr>
        <w:t xml:space="preserve"> Available TDD configurations for LTE</w:t>
      </w:r>
    </w:p>
    <w:tbl>
      <w:tblPr>
        <w:tblW w:w="5000" w:type="pct"/>
        <w:jc w:val="center"/>
        <w:tblLook w:val="01E0" w:firstRow="1" w:lastRow="1" w:firstColumn="1" w:lastColumn="1" w:noHBand="0" w:noVBand="0"/>
      </w:tblPr>
      <w:tblGrid>
        <w:gridCol w:w="2117"/>
        <w:gridCol w:w="2974"/>
        <w:gridCol w:w="457"/>
        <w:gridCol w:w="444"/>
        <w:gridCol w:w="456"/>
        <w:gridCol w:w="456"/>
        <w:gridCol w:w="456"/>
        <w:gridCol w:w="456"/>
        <w:gridCol w:w="456"/>
        <w:gridCol w:w="456"/>
        <w:gridCol w:w="456"/>
        <w:gridCol w:w="445"/>
      </w:tblGrid>
      <w:tr w:rsidR="001B0C1F" w14:paraId="3CBC2479" w14:textId="77777777" w:rsidTr="001B0C1F">
        <w:trPr>
          <w:cantSplit/>
          <w:jc w:val="center"/>
        </w:trPr>
        <w:tc>
          <w:tcPr>
            <w:tcW w:w="1099" w:type="pct"/>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0DF10B78" w14:textId="77777777" w:rsidR="001B0C1F" w:rsidRDefault="001B0C1F" w:rsidP="001776DA">
            <w:pPr>
              <w:pStyle w:val="TAH"/>
            </w:pPr>
            <w:r>
              <w:t xml:space="preserve">Uplink-downlink </w:t>
            </w:r>
          </w:p>
          <w:p w14:paraId="7351BFF9" w14:textId="77777777" w:rsidR="001B0C1F" w:rsidRDefault="001B0C1F" w:rsidP="001776DA">
            <w:pPr>
              <w:pStyle w:val="TAH"/>
            </w:pPr>
            <w:r>
              <w:t>configuration</w:t>
            </w:r>
          </w:p>
        </w:tc>
        <w:tc>
          <w:tcPr>
            <w:tcW w:w="1544" w:type="pct"/>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223EBB4E" w14:textId="77777777" w:rsidR="001B0C1F" w:rsidRPr="00D17933" w:rsidRDefault="001B0C1F" w:rsidP="001776DA">
            <w:pPr>
              <w:pStyle w:val="TAH"/>
              <w:rPr>
                <w:lang w:val="en-US"/>
              </w:rPr>
            </w:pPr>
            <w:r w:rsidRPr="00D17933">
              <w:rPr>
                <w:lang w:val="en-US"/>
              </w:rPr>
              <w:t xml:space="preserve">Downlink-to-Uplink </w:t>
            </w:r>
          </w:p>
          <w:p w14:paraId="5BA45EF3" w14:textId="77777777" w:rsidR="001B0C1F" w:rsidRPr="00D17933" w:rsidRDefault="001B0C1F" w:rsidP="001776DA">
            <w:pPr>
              <w:pStyle w:val="TAH"/>
              <w:rPr>
                <w:lang w:val="en-US"/>
              </w:rPr>
            </w:pPr>
            <w:r w:rsidRPr="00D17933">
              <w:rPr>
                <w:lang w:val="en-US"/>
              </w:rPr>
              <w:t>Switch-point periodicity</w:t>
            </w:r>
          </w:p>
        </w:tc>
        <w:tc>
          <w:tcPr>
            <w:tcW w:w="2357" w:type="pct"/>
            <w:gridSpan w:val="10"/>
            <w:tcBorders>
              <w:top w:val="single" w:sz="4" w:space="0" w:color="auto"/>
              <w:left w:val="single" w:sz="4" w:space="0" w:color="auto"/>
              <w:bottom w:val="single" w:sz="4" w:space="0" w:color="auto"/>
              <w:right w:val="single" w:sz="4" w:space="0" w:color="auto"/>
            </w:tcBorders>
            <w:shd w:val="clear" w:color="auto" w:fill="E0E0E0"/>
            <w:vAlign w:val="center"/>
            <w:hideMark/>
          </w:tcPr>
          <w:p w14:paraId="4BDB7248" w14:textId="77777777" w:rsidR="001B0C1F" w:rsidRDefault="001B0C1F" w:rsidP="001776DA">
            <w:pPr>
              <w:pStyle w:val="TAH"/>
            </w:pPr>
            <w:r>
              <w:t>Subframe number</w:t>
            </w:r>
          </w:p>
        </w:tc>
      </w:tr>
      <w:tr w:rsidR="001B0C1F" w14:paraId="013AC17B" w14:textId="77777777" w:rsidTr="001B0C1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01A83" w14:textId="77777777" w:rsidR="001B0C1F" w:rsidRDefault="001B0C1F" w:rsidP="001776DA">
            <w:pPr>
              <w:spacing w:after="0"/>
              <w:rPr>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5E44B" w14:textId="77777777" w:rsidR="001B0C1F" w:rsidRDefault="001B0C1F" w:rsidP="001776DA">
            <w:pPr>
              <w:spacing w:after="0"/>
              <w:rPr>
                <w:b/>
                <w:sz w:val="18"/>
              </w:rPr>
            </w:pP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4B63B669" w14:textId="77777777" w:rsidR="001B0C1F" w:rsidRDefault="001B0C1F" w:rsidP="001776DA">
            <w:pPr>
              <w:pStyle w:val="TAH"/>
            </w:pPr>
            <w:r>
              <w:t>0</w:t>
            </w:r>
          </w:p>
        </w:tc>
        <w:tc>
          <w:tcPr>
            <w:tcW w:w="230"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4B59B795" w14:textId="77777777" w:rsidR="001B0C1F" w:rsidRDefault="001B0C1F" w:rsidP="001776DA">
            <w:pPr>
              <w:pStyle w:val="TAH"/>
            </w:pPr>
            <w:r>
              <w:t>1</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4BE4AD03" w14:textId="77777777" w:rsidR="001B0C1F" w:rsidRDefault="001B0C1F" w:rsidP="001776DA">
            <w:pPr>
              <w:pStyle w:val="TAH"/>
            </w:pPr>
            <w:r>
              <w:t>2</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1ECE3CC9" w14:textId="77777777" w:rsidR="001B0C1F" w:rsidRDefault="001B0C1F" w:rsidP="001776DA">
            <w:pPr>
              <w:pStyle w:val="TAH"/>
            </w:pPr>
            <w:r>
              <w:t>3</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68FEA5B0" w14:textId="77777777" w:rsidR="001B0C1F" w:rsidRDefault="001B0C1F" w:rsidP="001776DA">
            <w:pPr>
              <w:pStyle w:val="TAH"/>
            </w:pPr>
            <w:r>
              <w:t>4</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0C273366" w14:textId="77777777" w:rsidR="001B0C1F" w:rsidRDefault="001B0C1F" w:rsidP="001776DA">
            <w:pPr>
              <w:pStyle w:val="TAH"/>
            </w:pPr>
            <w:r>
              <w:t>5</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56EB7717" w14:textId="77777777" w:rsidR="001B0C1F" w:rsidRDefault="001B0C1F" w:rsidP="001776DA">
            <w:pPr>
              <w:pStyle w:val="TAH"/>
            </w:pPr>
            <w:r>
              <w:t>6</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22449F8C" w14:textId="77777777" w:rsidR="001B0C1F" w:rsidRDefault="001B0C1F" w:rsidP="001776DA">
            <w:pPr>
              <w:pStyle w:val="TAH"/>
            </w:pPr>
            <w:r>
              <w:t>7</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3DA990CE" w14:textId="77777777" w:rsidR="001B0C1F" w:rsidRDefault="001B0C1F" w:rsidP="001776DA">
            <w:pPr>
              <w:pStyle w:val="TAH"/>
            </w:pPr>
            <w:r>
              <w:t>8</w:t>
            </w:r>
          </w:p>
        </w:tc>
        <w:tc>
          <w:tcPr>
            <w:tcW w:w="233"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2D250B99" w14:textId="77777777" w:rsidR="001B0C1F" w:rsidRDefault="001B0C1F" w:rsidP="001776DA">
            <w:pPr>
              <w:pStyle w:val="TAH"/>
            </w:pPr>
            <w:r>
              <w:t>9</w:t>
            </w:r>
          </w:p>
        </w:tc>
      </w:tr>
      <w:tr w:rsidR="001B0C1F" w14:paraId="4113F8EA" w14:textId="77777777" w:rsidTr="001B0C1F">
        <w:trPr>
          <w:cantSplit/>
          <w:jc w:val="center"/>
        </w:trPr>
        <w:tc>
          <w:tcPr>
            <w:tcW w:w="1099" w:type="pct"/>
            <w:tcBorders>
              <w:top w:val="single" w:sz="4" w:space="0" w:color="auto"/>
              <w:left w:val="single" w:sz="4" w:space="0" w:color="auto"/>
              <w:bottom w:val="single" w:sz="4" w:space="0" w:color="auto"/>
              <w:right w:val="single" w:sz="4" w:space="0" w:color="auto"/>
            </w:tcBorders>
            <w:vAlign w:val="center"/>
            <w:hideMark/>
          </w:tcPr>
          <w:p w14:paraId="461D3771" w14:textId="77777777" w:rsidR="001B0C1F" w:rsidRDefault="001B0C1F" w:rsidP="001776DA">
            <w:pPr>
              <w:pStyle w:val="TAC"/>
            </w:pPr>
            <w:r>
              <w:t>0</w:t>
            </w:r>
          </w:p>
        </w:tc>
        <w:tc>
          <w:tcPr>
            <w:tcW w:w="1544" w:type="pct"/>
            <w:tcBorders>
              <w:top w:val="single" w:sz="4" w:space="0" w:color="auto"/>
              <w:left w:val="single" w:sz="4" w:space="0" w:color="auto"/>
              <w:bottom w:val="single" w:sz="4" w:space="0" w:color="auto"/>
              <w:right w:val="single" w:sz="4" w:space="0" w:color="auto"/>
            </w:tcBorders>
            <w:vAlign w:val="center"/>
            <w:hideMark/>
          </w:tcPr>
          <w:p w14:paraId="69E4C6E3" w14:textId="77777777" w:rsidR="001B0C1F" w:rsidRDefault="001B0C1F" w:rsidP="001776DA">
            <w:pPr>
              <w:pStyle w:val="TAC"/>
            </w:pPr>
            <w:r>
              <w:t>5 ms</w:t>
            </w:r>
          </w:p>
        </w:tc>
        <w:tc>
          <w:tcPr>
            <w:tcW w:w="237" w:type="pct"/>
            <w:tcBorders>
              <w:top w:val="single" w:sz="4" w:space="0" w:color="auto"/>
              <w:left w:val="single" w:sz="4" w:space="0" w:color="auto"/>
              <w:bottom w:val="single" w:sz="4" w:space="0" w:color="auto"/>
              <w:right w:val="single" w:sz="4" w:space="0" w:color="auto"/>
            </w:tcBorders>
            <w:vAlign w:val="center"/>
            <w:hideMark/>
          </w:tcPr>
          <w:p w14:paraId="08AED9CB" w14:textId="77777777" w:rsidR="001B0C1F" w:rsidRDefault="001B0C1F" w:rsidP="001776DA">
            <w:pPr>
              <w:pStyle w:val="TAC"/>
            </w:pPr>
            <w:r>
              <w:t>D</w:t>
            </w:r>
          </w:p>
        </w:tc>
        <w:tc>
          <w:tcPr>
            <w:tcW w:w="230" w:type="pct"/>
            <w:tcBorders>
              <w:top w:val="single" w:sz="4" w:space="0" w:color="auto"/>
              <w:left w:val="single" w:sz="4" w:space="0" w:color="auto"/>
              <w:bottom w:val="single" w:sz="4" w:space="0" w:color="auto"/>
              <w:right w:val="single" w:sz="4" w:space="0" w:color="auto"/>
            </w:tcBorders>
            <w:vAlign w:val="center"/>
            <w:hideMark/>
          </w:tcPr>
          <w:p w14:paraId="36E606BB" w14:textId="77777777" w:rsidR="001B0C1F" w:rsidRDefault="001B0C1F" w:rsidP="001776DA">
            <w:pPr>
              <w:pStyle w:val="TAC"/>
            </w:pPr>
            <w: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319D0070" w14:textId="77777777" w:rsidR="001B0C1F" w:rsidRDefault="001B0C1F" w:rsidP="001776DA">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6F268D9E" w14:textId="77777777" w:rsidR="001B0C1F" w:rsidRDefault="001B0C1F" w:rsidP="001776DA">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3513EACC" w14:textId="77777777" w:rsidR="001B0C1F" w:rsidRDefault="001B0C1F" w:rsidP="001776DA">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58236C73" w14:textId="77777777" w:rsidR="001B0C1F" w:rsidRDefault="001B0C1F" w:rsidP="001776DA">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62045789" w14:textId="77777777" w:rsidR="001B0C1F" w:rsidRDefault="001B0C1F" w:rsidP="001776DA">
            <w:pPr>
              <w:pStyle w:val="TAC"/>
            </w:pPr>
            <w: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5B9F01DA" w14:textId="77777777" w:rsidR="001B0C1F" w:rsidRDefault="001B0C1F" w:rsidP="001776DA">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7E16F54A" w14:textId="77777777" w:rsidR="001B0C1F" w:rsidRDefault="001B0C1F" w:rsidP="001776DA">
            <w:pPr>
              <w:pStyle w:val="TAC"/>
            </w:pPr>
            <w:r>
              <w:t>U</w:t>
            </w:r>
          </w:p>
        </w:tc>
        <w:tc>
          <w:tcPr>
            <w:tcW w:w="233" w:type="pct"/>
            <w:tcBorders>
              <w:top w:val="single" w:sz="4" w:space="0" w:color="auto"/>
              <w:left w:val="single" w:sz="4" w:space="0" w:color="auto"/>
              <w:bottom w:val="single" w:sz="4" w:space="0" w:color="auto"/>
              <w:right w:val="single" w:sz="4" w:space="0" w:color="auto"/>
            </w:tcBorders>
            <w:vAlign w:val="center"/>
            <w:hideMark/>
          </w:tcPr>
          <w:p w14:paraId="51CD03B4" w14:textId="77777777" w:rsidR="001B0C1F" w:rsidRDefault="001B0C1F" w:rsidP="001776DA">
            <w:pPr>
              <w:pStyle w:val="TAC"/>
            </w:pPr>
            <w:r>
              <w:t>U</w:t>
            </w:r>
          </w:p>
        </w:tc>
      </w:tr>
      <w:tr w:rsidR="001B0C1F" w14:paraId="0CAE2246" w14:textId="77777777" w:rsidTr="001B0C1F">
        <w:trPr>
          <w:cantSplit/>
          <w:jc w:val="center"/>
        </w:trPr>
        <w:tc>
          <w:tcPr>
            <w:tcW w:w="1099" w:type="pct"/>
            <w:tcBorders>
              <w:top w:val="single" w:sz="4" w:space="0" w:color="auto"/>
              <w:left w:val="single" w:sz="4" w:space="0" w:color="auto"/>
              <w:bottom w:val="single" w:sz="4" w:space="0" w:color="auto"/>
              <w:right w:val="single" w:sz="4" w:space="0" w:color="auto"/>
            </w:tcBorders>
            <w:vAlign w:val="center"/>
            <w:hideMark/>
          </w:tcPr>
          <w:p w14:paraId="364111C2" w14:textId="77777777" w:rsidR="001B0C1F" w:rsidRDefault="001B0C1F" w:rsidP="001776DA">
            <w:pPr>
              <w:pStyle w:val="TAC"/>
            </w:pPr>
            <w:r>
              <w:t>1</w:t>
            </w:r>
          </w:p>
        </w:tc>
        <w:tc>
          <w:tcPr>
            <w:tcW w:w="1544" w:type="pct"/>
            <w:tcBorders>
              <w:top w:val="single" w:sz="4" w:space="0" w:color="auto"/>
              <w:left w:val="single" w:sz="4" w:space="0" w:color="auto"/>
              <w:bottom w:val="single" w:sz="4" w:space="0" w:color="auto"/>
              <w:right w:val="single" w:sz="4" w:space="0" w:color="auto"/>
            </w:tcBorders>
            <w:vAlign w:val="center"/>
            <w:hideMark/>
          </w:tcPr>
          <w:p w14:paraId="795316C4" w14:textId="77777777" w:rsidR="001B0C1F" w:rsidRDefault="001B0C1F" w:rsidP="001776DA">
            <w:pPr>
              <w:pStyle w:val="TAC"/>
            </w:pPr>
            <w:r>
              <w:t>5 ms</w:t>
            </w:r>
          </w:p>
        </w:tc>
        <w:tc>
          <w:tcPr>
            <w:tcW w:w="237" w:type="pct"/>
            <w:tcBorders>
              <w:top w:val="single" w:sz="4" w:space="0" w:color="auto"/>
              <w:left w:val="single" w:sz="4" w:space="0" w:color="auto"/>
              <w:bottom w:val="single" w:sz="4" w:space="0" w:color="auto"/>
              <w:right w:val="single" w:sz="4" w:space="0" w:color="auto"/>
            </w:tcBorders>
            <w:vAlign w:val="center"/>
            <w:hideMark/>
          </w:tcPr>
          <w:p w14:paraId="039D4E80" w14:textId="77777777" w:rsidR="001B0C1F" w:rsidRDefault="001B0C1F" w:rsidP="001776DA">
            <w:pPr>
              <w:pStyle w:val="TAC"/>
            </w:pPr>
            <w:r>
              <w:t>D</w:t>
            </w:r>
          </w:p>
        </w:tc>
        <w:tc>
          <w:tcPr>
            <w:tcW w:w="230" w:type="pct"/>
            <w:tcBorders>
              <w:top w:val="single" w:sz="4" w:space="0" w:color="auto"/>
              <w:left w:val="single" w:sz="4" w:space="0" w:color="auto"/>
              <w:bottom w:val="single" w:sz="4" w:space="0" w:color="auto"/>
              <w:right w:val="single" w:sz="4" w:space="0" w:color="auto"/>
            </w:tcBorders>
            <w:vAlign w:val="center"/>
            <w:hideMark/>
          </w:tcPr>
          <w:p w14:paraId="44D92A30" w14:textId="77777777" w:rsidR="001B0C1F" w:rsidRDefault="001B0C1F" w:rsidP="001776DA">
            <w:pPr>
              <w:pStyle w:val="TAC"/>
            </w:pPr>
            <w: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5A345B49" w14:textId="77777777" w:rsidR="001B0C1F" w:rsidRDefault="001B0C1F" w:rsidP="001776DA">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259EF648" w14:textId="77777777" w:rsidR="001B0C1F" w:rsidRDefault="001B0C1F" w:rsidP="001776DA">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5E5AFE2C" w14:textId="77777777" w:rsidR="001B0C1F" w:rsidRDefault="001B0C1F" w:rsidP="001776DA">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63D5CBE7" w14:textId="77777777" w:rsidR="001B0C1F" w:rsidRDefault="001B0C1F" w:rsidP="001776DA">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1BFC48AB" w14:textId="77777777" w:rsidR="001B0C1F" w:rsidRDefault="001B0C1F" w:rsidP="001776DA">
            <w:pPr>
              <w:pStyle w:val="TAC"/>
            </w:pPr>
            <w: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387C833E" w14:textId="77777777" w:rsidR="001B0C1F" w:rsidRDefault="001B0C1F" w:rsidP="001776DA">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1BC3A111" w14:textId="77777777" w:rsidR="001B0C1F" w:rsidRDefault="001B0C1F" w:rsidP="001776DA">
            <w:pPr>
              <w:pStyle w:val="TAC"/>
            </w:pPr>
            <w:r>
              <w:t>U</w:t>
            </w:r>
          </w:p>
        </w:tc>
        <w:tc>
          <w:tcPr>
            <w:tcW w:w="233" w:type="pct"/>
            <w:tcBorders>
              <w:top w:val="single" w:sz="4" w:space="0" w:color="auto"/>
              <w:left w:val="single" w:sz="4" w:space="0" w:color="auto"/>
              <w:bottom w:val="single" w:sz="4" w:space="0" w:color="auto"/>
              <w:right w:val="single" w:sz="4" w:space="0" w:color="auto"/>
            </w:tcBorders>
            <w:vAlign w:val="center"/>
            <w:hideMark/>
          </w:tcPr>
          <w:p w14:paraId="3B06BDDA" w14:textId="77777777" w:rsidR="001B0C1F" w:rsidRDefault="001B0C1F" w:rsidP="001776DA">
            <w:pPr>
              <w:pStyle w:val="TAC"/>
            </w:pPr>
            <w:r>
              <w:t>D</w:t>
            </w:r>
          </w:p>
        </w:tc>
      </w:tr>
      <w:tr w:rsidR="001B0C1F" w14:paraId="2905302D" w14:textId="77777777" w:rsidTr="001B0C1F">
        <w:trPr>
          <w:cantSplit/>
          <w:jc w:val="center"/>
        </w:trPr>
        <w:tc>
          <w:tcPr>
            <w:tcW w:w="1099" w:type="pct"/>
            <w:tcBorders>
              <w:top w:val="single" w:sz="4" w:space="0" w:color="auto"/>
              <w:left w:val="single" w:sz="4" w:space="0" w:color="auto"/>
              <w:bottom w:val="single" w:sz="4" w:space="0" w:color="auto"/>
              <w:right w:val="single" w:sz="4" w:space="0" w:color="auto"/>
            </w:tcBorders>
            <w:vAlign w:val="center"/>
            <w:hideMark/>
          </w:tcPr>
          <w:p w14:paraId="0F659540" w14:textId="77777777" w:rsidR="001B0C1F" w:rsidRDefault="001B0C1F" w:rsidP="001776DA">
            <w:pPr>
              <w:pStyle w:val="TAC"/>
            </w:pPr>
            <w:r>
              <w:t>2</w:t>
            </w:r>
          </w:p>
        </w:tc>
        <w:tc>
          <w:tcPr>
            <w:tcW w:w="1544" w:type="pct"/>
            <w:tcBorders>
              <w:top w:val="single" w:sz="4" w:space="0" w:color="auto"/>
              <w:left w:val="single" w:sz="4" w:space="0" w:color="auto"/>
              <w:bottom w:val="single" w:sz="4" w:space="0" w:color="auto"/>
              <w:right w:val="single" w:sz="4" w:space="0" w:color="auto"/>
            </w:tcBorders>
            <w:vAlign w:val="center"/>
            <w:hideMark/>
          </w:tcPr>
          <w:p w14:paraId="471B661B" w14:textId="77777777" w:rsidR="001B0C1F" w:rsidRDefault="001B0C1F" w:rsidP="001776DA">
            <w:pPr>
              <w:pStyle w:val="TAC"/>
            </w:pPr>
            <w:r>
              <w:t>5 ms</w:t>
            </w:r>
          </w:p>
        </w:tc>
        <w:tc>
          <w:tcPr>
            <w:tcW w:w="237" w:type="pct"/>
            <w:tcBorders>
              <w:top w:val="single" w:sz="4" w:space="0" w:color="auto"/>
              <w:left w:val="single" w:sz="4" w:space="0" w:color="auto"/>
              <w:bottom w:val="single" w:sz="4" w:space="0" w:color="auto"/>
              <w:right w:val="single" w:sz="4" w:space="0" w:color="auto"/>
            </w:tcBorders>
            <w:vAlign w:val="center"/>
            <w:hideMark/>
          </w:tcPr>
          <w:p w14:paraId="0128F9F2" w14:textId="77777777" w:rsidR="001B0C1F" w:rsidRDefault="001B0C1F" w:rsidP="001776DA">
            <w:pPr>
              <w:pStyle w:val="TAC"/>
            </w:pPr>
            <w:r>
              <w:t>D</w:t>
            </w:r>
          </w:p>
        </w:tc>
        <w:tc>
          <w:tcPr>
            <w:tcW w:w="230" w:type="pct"/>
            <w:tcBorders>
              <w:top w:val="single" w:sz="4" w:space="0" w:color="auto"/>
              <w:left w:val="single" w:sz="4" w:space="0" w:color="auto"/>
              <w:bottom w:val="single" w:sz="4" w:space="0" w:color="auto"/>
              <w:right w:val="single" w:sz="4" w:space="0" w:color="auto"/>
            </w:tcBorders>
            <w:vAlign w:val="center"/>
            <w:hideMark/>
          </w:tcPr>
          <w:p w14:paraId="1C096E1E" w14:textId="77777777" w:rsidR="001B0C1F" w:rsidRDefault="001B0C1F" w:rsidP="001776DA">
            <w:pPr>
              <w:pStyle w:val="TAC"/>
            </w:pPr>
            <w: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30D22707" w14:textId="77777777" w:rsidR="001B0C1F" w:rsidRDefault="001B0C1F" w:rsidP="001776DA">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09300A61" w14:textId="77777777" w:rsidR="001B0C1F" w:rsidRDefault="001B0C1F" w:rsidP="001776DA">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130AEA5E" w14:textId="77777777" w:rsidR="001B0C1F" w:rsidRDefault="001B0C1F" w:rsidP="001776DA">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24CDE00B" w14:textId="77777777" w:rsidR="001B0C1F" w:rsidRDefault="001B0C1F" w:rsidP="001776DA">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0918D78F" w14:textId="77777777" w:rsidR="001B0C1F" w:rsidRDefault="001B0C1F" w:rsidP="001776DA">
            <w:pPr>
              <w:pStyle w:val="TAC"/>
            </w:pPr>
            <w: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191244B5" w14:textId="77777777" w:rsidR="001B0C1F" w:rsidRDefault="001B0C1F" w:rsidP="001776DA">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6CE294FA" w14:textId="77777777" w:rsidR="001B0C1F" w:rsidRDefault="001B0C1F" w:rsidP="001776DA">
            <w:pPr>
              <w:pStyle w:val="TAC"/>
            </w:pPr>
            <w:r>
              <w:t>D</w:t>
            </w:r>
          </w:p>
        </w:tc>
        <w:tc>
          <w:tcPr>
            <w:tcW w:w="233" w:type="pct"/>
            <w:tcBorders>
              <w:top w:val="single" w:sz="4" w:space="0" w:color="auto"/>
              <w:left w:val="single" w:sz="4" w:space="0" w:color="auto"/>
              <w:bottom w:val="single" w:sz="4" w:space="0" w:color="auto"/>
              <w:right w:val="single" w:sz="4" w:space="0" w:color="auto"/>
            </w:tcBorders>
            <w:vAlign w:val="center"/>
            <w:hideMark/>
          </w:tcPr>
          <w:p w14:paraId="4B7A2C60" w14:textId="77777777" w:rsidR="001B0C1F" w:rsidRDefault="001B0C1F" w:rsidP="001776DA">
            <w:pPr>
              <w:pStyle w:val="TAC"/>
            </w:pPr>
            <w:r>
              <w:t>D</w:t>
            </w:r>
          </w:p>
        </w:tc>
      </w:tr>
      <w:tr w:rsidR="001B0C1F" w14:paraId="1C3FA5BD" w14:textId="77777777" w:rsidTr="001B0C1F">
        <w:trPr>
          <w:cantSplit/>
          <w:jc w:val="center"/>
        </w:trPr>
        <w:tc>
          <w:tcPr>
            <w:tcW w:w="1099" w:type="pct"/>
            <w:tcBorders>
              <w:top w:val="single" w:sz="4" w:space="0" w:color="auto"/>
              <w:left w:val="single" w:sz="4" w:space="0" w:color="auto"/>
              <w:bottom w:val="single" w:sz="4" w:space="0" w:color="auto"/>
              <w:right w:val="single" w:sz="4" w:space="0" w:color="auto"/>
            </w:tcBorders>
            <w:vAlign w:val="center"/>
            <w:hideMark/>
          </w:tcPr>
          <w:p w14:paraId="4715E4E5" w14:textId="77777777" w:rsidR="001B0C1F" w:rsidRDefault="001B0C1F" w:rsidP="001776DA">
            <w:pPr>
              <w:pStyle w:val="TAC"/>
            </w:pPr>
            <w:r>
              <w:t>3</w:t>
            </w:r>
          </w:p>
        </w:tc>
        <w:tc>
          <w:tcPr>
            <w:tcW w:w="1544" w:type="pct"/>
            <w:tcBorders>
              <w:top w:val="single" w:sz="4" w:space="0" w:color="auto"/>
              <w:left w:val="single" w:sz="4" w:space="0" w:color="auto"/>
              <w:bottom w:val="single" w:sz="4" w:space="0" w:color="auto"/>
              <w:right w:val="single" w:sz="4" w:space="0" w:color="auto"/>
            </w:tcBorders>
            <w:vAlign w:val="center"/>
            <w:hideMark/>
          </w:tcPr>
          <w:p w14:paraId="2DFB0806" w14:textId="77777777" w:rsidR="001B0C1F" w:rsidRDefault="001B0C1F" w:rsidP="001776DA">
            <w:pPr>
              <w:pStyle w:val="TAC"/>
            </w:pPr>
            <w:r>
              <w:t>10 ms</w:t>
            </w:r>
          </w:p>
        </w:tc>
        <w:tc>
          <w:tcPr>
            <w:tcW w:w="237" w:type="pct"/>
            <w:tcBorders>
              <w:top w:val="single" w:sz="4" w:space="0" w:color="auto"/>
              <w:left w:val="single" w:sz="4" w:space="0" w:color="auto"/>
              <w:bottom w:val="single" w:sz="4" w:space="0" w:color="auto"/>
              <w:right w:val="single" w:sz="4" w:space="0" w:color="auto"/>
            </w:tcBorders>
            <w:vAlign w:val="center"/>
            <w:hideMark/>
          </w:tcPr>
          <w:p w14:paraId="126F9810" w14:textId="77777777" w:rsidR="001B0C1F" w:rsidRDefault="001B0C1F" w:rsidP="001776DA">
            <w:pPr>
              <w:pStyle w:val="TAC"/>
            </w:pPr>
            <w:r>
              <w:t>D</w:t>
            </w:r>
          </w:p>
        </w:tc>
        <w:tc>
          <w:tcPr>
            <w:tcW w:w="230" w:type="pct"/>
            <w:tcBorders>
              <w:top w:val="single" w:sz="4" w:space="0" w:color="auto"/>
              <w:left w:val="single" w:sz="4" w:space="0" w:color="auto"/>
              <w:bottom w:val="single" w:sz="4" w:space="0" w:color="auto"/>
              <w:right w:val="single" w:sz="4" w:space="0" w:color="auto"/>
            </w:tcBorders>
            <w:vAlign w:val="center"/>
            <w:hideMark/>
          </w:tcPr>
          <w:p w14:paraId="5E295508" w14:textId="77777777" w:rsidR="001B0C1F" w:rsidRDefault="001B0C1F" w:rsidP="001776DA">
            <w:pPr>
              <w:pStyle w:val="TAC"/>
            </w:pPr>
            <w: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72B00F16" w14:textId="77777777" w:rsidR="001B0C1F" w:rsidRDefault="001B0C1F" w:rsidP="001776DA">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673FB082" w14:textId="77777777" w:rsidR="001B0C1F" w:rsidRDefault="001B0C1F" w:rsidP="001776DA">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11634C43" w14:textId="77777777" w:rsidR="001B0C1F" w:rsidRDefault="001B0C1F" w:rsidP="001776DA">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2971626F" w14:textId="77777777" w:rsidR="001B0C1F" w:rsidRDefault="001B0C1F" w:rsidP="001776DA">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7DDA09B9" w14:textId="77777777" w:rsidR="001B0C1F" w:rsidRDefault="001B0C1F" w:rsidP="001776DA">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30B3F066" w14:textId="77777777" w:rsidR="001B0C1F" w:rsidRDefault="001B0C1F" w:rsidP="001776DA">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021A4C01" w14:textId="77777777" w:rsidR="001B0C1F" w:rsidRDefault="001B0C1F" w:rsidP="001776DA">
            <w:pPr>
              <w:pStyle w:val="TAC"/>
            </w:pPr>
            <w:r>
              <w:t>D</w:t>
            </w:r>
          </w:p>
        </w:tc>
        <w:tc>
          <w:tcPr>
            <w:tcW w:w="233" w:type="pct"/>
            <w:tcBorders>
              <w:top w:val="single" w:sz="4" w:space="0" w:color="auto"/>
              <w:left w:val="single" w:sz="4" w:space="0" w:color="auto"/>
              <w:bottom w:val="single" w:sz="4" w:space="0" w:color="auto"/>
              <w:right w:val="single" w:sz="4" w:space="0" w:color="auto"/>
            </w:tcBorders>
            <w:vAlign w:val="center"/>
            <w:hideMark/>
          </w:tcPr>
          <w:p w14:paraId="45E278C3" w14:textId="77777777" w:rsidR="001B0C1F" w:rsidRDefault="001B0C1F" w:rsidP="001776DA">
            <w:pPr>
              <w:pStyle w:val="TAC"/>
            </w:pPr>
            <w:r>
              <w:t>D</w:t>
            </w:r>
          </w:p>
        </w:tc>
      </w:tr>
      <w:tr w:rsidR="001B0C1F" w14:paraId="041812DE" w14:textId="77777777" w:rsidTr="001B0C1F">
        <w:trPr>
          <w:cantSplit/>
          <w:jc w:val="center"/>
        </w:trPr>
        <w:tc>
          <w:tcPr>
            <w:tcW w:w="1099" w:type="pct"/>
            <w:tcBorders>
              <w:top w:val="single" w:sz="4" w:space="0" w:color="auto"/>
              <w:left w:val="single" w:sz="4" w:space="0" w:color="auto"/>
              <w:bottom w:val="single" w:sz="4" w:space="0" w:color="auto"/>
              <w:right w:val="single" w:sz="4" w:space="0" w:color="auto"/>
            </w:tcBorders>
            <w:vAlign w:val="center"/>
            <w:hideMark/>
          </w:tcPr>
          <w:p w14:paraId="50C6066C" w14:textId="77777777" w:rsidR="001B0C1F" w:rsidRDefault="001B0C1F" w:rsidP="001776DA">
            <w:pPr>
              <w:pStyle w:val="TAC"/>
            </w:pPr>
            <w:r>
              <w:t>4</w:t>
            </w:r>
          </w:p>
        </w:tc>
        <w:tc>
          <w:tcPr>
            <w:tcW w:w="1544" w:type="pct"/>
            <w:tcBorders>
              <w:top w:val="single" w:sz="4" w:space="0" w:color="auto"/>
              <w:left w:val="single" w:sz="4" w:space="0" w:color="auto"/>
              <w:bottom w:val="single" w:sz="4" w:space="0" w:color="auto"/>
              <w:right w:val="single" w:sz="4" w:space="0" w:color="auto"/>
            </w:tcBorders>
            <w:vAlign w:val="center"/>
            <w:hideMark/>
          </w:tcPr>
          <w:p w14:paraId="57F13101" w14:textId="77777777" w:rsidR="001B0C1F" w:rsidRDefault="001B0C1F" w:rsidP="001776DA">
            <w:pPr>
              <w:pStyle w:val="TAC"/>
            </w:pPr>
            <w:r>
              <w:t>10 ms</w:t>
            </w:r>
          </w:p>
        </w:tc>
        <w:tc>
          <w:tcPr>
            <w:tcW w:w="237" w:type="pct"/>
            <w:tcBorders>
              <w:top w:val="single" w:sz="4" w:space="0" w:color="auto"/>
              <w:left w:val="single" w:sz="4" w:space="0" w:color="auto"/>
              <w:bottom w:val="single" w:sz="4" w:space="0" w:color="auto"/>
              <w:right w:val="single" w:sz="4" w:space="0" w:color="auto"/>
            </w:tcBorders>
            <w:vAlign w:val="center"/>
            <w:hideMark/>
          </w:tcPr>
          <w:p w14:paraId="5AF1D00C" w14:textId="77777777" w:rsidR="001B0C1F" w:rsidRDefault="001B0C1F" w:rsidP="001776DA">
            <w:pPr>
              <w:pStyle w:val="TAC"/>
            </w:pPr>
            <w:r>
              <w:t>D</w:t>
            </w:r>
          </w:p>
        </w:tc>
        <w:tc>
          <w:tcPr>
            <w:tcW w:w="230" w:type="pct"/>
            <w:tcBorders>
              <w:top w:val="single" w:sz="4" w:space="0" w:color="auto"/>
              <w:left w:val="single" w:sz="4" w:space="0" w:color="auto"/>
              <w:bottom w:val="single" w:sz="4" w:space="0" w:color="auto"/>
              <w:right w:val="single" w:sz="4" w:space="0" w:color="auto"/>
            </w:tcBorders>
            <w:vAlign w:val="center"/>
            <w:hideMark/>
          </w:tcPr>
          <w:p w14:paraId="09C750A7" w14:textId="77777777" w:rsidR="001B0C1F" w:rsidRDefault="001B0C1F" w:rsidP="001776DA">
            <w:pPr>
              <w:pStyle w:val="TAC"/>
            </w:pPr>
            <w: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3E6DC68C" w14:textId="77777777" w:rsidR="001B0C1F" w:rsidRDefault="001B0C1F" w:rsidP="001776DA">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1466C553" w14:textId="77777777" w:rsidR="001B0C1F" w:rsidRDefault="001B0C1F" w:rsidP="001776DA">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45ACBA2C" w14:textId="77777777" w:rsidR="001B0C1F" w:rsidRDefault="001B0C1F" w:rsidP="001776DA">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0E6F0C98" w14:textId="77777777" w:rsidR="001B0C1F" w:rsidRDefault="001B0C1F" w:rsidP="001776DA">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5542D831" w14:textId="77777777" w:rsidR="001B0C1F" w:rsidRDefault="001B0C1F" w:rsidP="001776DA">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006CB9C1" w14:textId="77777777" w:rsidR="001B0C1F" w:rsidRDefault="001B0C1F" w:rsidP="001776DA">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661ECE71" w14:textId="77777777" w:rsidR="001B0C1F" w:rsidRDefault="001B0C1F" w:rsidP="001776DA">
            <w:pPr>
              <w:pStyle w:val="TAC"/>
            </w:pPr>
            <w:r>
              <w:t>D</w:t>
            </w:r>
          </w:p>
        </w:tc>
        <w:tc>
          <w:tcPr>
            <w:tcW w:w="233" w:type="pct"/>
            <w:tcBorders>
              <w:top w:val="single" w:sz="4" w:space="0" w:color="auto"/>
              <w:left w:val="single" w:sz="4" w:space="0" w:color="auto"/>
              <w:bottom w:val="single" w:sz="4" w:space="0" w:color="auto"/>
              <w:right w:val="single" w:sz="4" w:space="0" w:color="auto"/>
            </w:tcBorders>
            <w:vAlign w:val="center"/>
            <w:hideMark/>
          </w:tcPr>
          <w:p w14:paraId="46E2C122" w14:textId="77777777" w:rsidR="001B0C1F" w:rsidRDefault="001B0C1F" w:rsidP="001776DA">
            <w:pPr>
              <w:pStyle w:val="TAC"/>
            </w:pPr>
            <w:r>
              <w:t>D</w:t>
            </w:r>
          </w:p>
        </w:tc>
      </w:tr>
      <w:tr w:rsidR="001B0C1F" w14:paraId="2BCA5CAA" w14:textId="77777777" w:rsidTr="001B0C1F">
        <w:trPr>
          <w:cantSplit/>
          <w:jc w:val="center"/>
        </w:trPr>
        <w:tc>
          <w:tcPr>
            <w:tcW w:w="1099" w:type="pct"/>
            <w:tcBorders>
              <w:top w:val="single" w:sz="4" w:space="0" w:color="auto"/>
              <w:left w:val="single" w:sz="4" w:space="0" w:color="auto"/>
              <w:bottom w:val="single" w:sz="4" w:space="0" w:color="auto"/>
              <w:right w:val="single" w:sz="4" w:space="0" w:color="auto"/>
            </w:tcBorders>
            <w:vAlign w:val="center"/>
            <w:hideMark/>
          </w:tcPr>
          <w:p w14:paraId="2A987623" w14:textId="77777777" w:rsidR="001B0C1F" w:rsidRDefault="001B0C1F" w:rsidP="001776DA">
            <w:pPr>
              <w:pStyle w:val="TAC"/>
            </w:pPr>
            <w:r>
              <w:t>5</w:t>
            </w:r>
          </w:p>
        </w:tc>
        <w:tc>
          <w:tcPr>
            <w:tcW w:w="1544" w:type="pct"/>
            <w:tcBorders>
              <w:top w:val="single" w:sz="4" w:space="0" w:color="auto"/>
              <w:left w:val="single" w:sz="4" w:space="0" w:color="auto"/>
              <w:bottom w:val="single" w:sz="4" w:space="0" w:color="auto"/>
              <w:right w:val="single" w:sz="4" w:space="0" w:color="auto"/>
            </w:tcBorders>
            <w:vAlign w:val="center"/>
            <w:hideMark/>
          </w:tcPr>
          <w:p w14:paraId="35F8EBFD" w14:textId="77777777" w:rsidR="001B0C1F" w:rsidRDefault="001B0C1F" w:rsidP="001776DA">
            <w:pPr>
              <w:pStyle w:val="TAC"/>
            </w:pPr>
            <w:r>
              <w:t>10 ms</w:t>
            </w:r>
          </w:p>
        </w:tc>
        <w:tc>
          <w:tcPr>
            <w:tcW w:w="237" w:type="pct"/>
            <w:tcBorders>
              <w:top w:val="single" w:sz="4" w:space="0" w:color="auto"/>
              <w:left w:val="single" w:sz="4" w:space="0" w:color="auto"/>
              <w:bottom w:val="single" w:sz="4" w:space="0" w:color="auto"/>
              <w:right w:val="single" w:sz="4" w:space="0" w:color="auto"/>
            </w:tcBorders>
            <w:vAlign w:val="center"/>
            <w:hideMark/>
          </w:tcPr>
          <w:p w14:paraId="2982297F" w14:textId="77777777" w:rsidR="001B0C1F" w:rsidRDefault="001B0C1F" w:rsidP="001776DA">
            <w:pPr>
              <w:pStyle w:val="TAC"/>
            </w:pPr>
            <w:r>
              <w:t>D</w:t>
            </w:r>
          </w:p>
        </w:tc>
        <w:tc>
          <w:tcPr>
            <w:tcW w:w="230" w:type="pct"/>
            <w:tcBorders>
              <w:top w:val="single" w:sz="4" w:space="0" w:color="auto"/>
              <w:left w:val="single" w:sz="4" w:space="0" w:color="auto"/>
              <w:bottom w:val="single" w:sz="4" w:space="0" w:color="auto"/>
              <w:right w:val="single" w:sz="4" w:space="0" w:color="auto"/>
            </w:tcBorders>
            <w:vAlign w:val="center"/>
            <w:hideMark/>
          </w:tcPr>
          <w:p w14:paraId="017EA5C9" w14:textId="77777777" w:rsidR="001B0C1F" w:rsidRDefault="001B0C1F" w:rsidP="001776DA">
            <w:pPr>
              <w:pStyle w:val="TAC"/>
            </w:pPr>
            <w: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72AACFC8" w14:textId="77777777" w:rsidR="001B0C1F" w:rsidRDefault="001B0C1F" w:rsidP="001776DA">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1DF21B9A" w14:textId="77777777" w:rsidR="001B0C1F" w:rsidRDefault="001B0C1F" w:rsidP="001776DA">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6C19B032" w14:textId="77777777" w:rsidR="001B0C1F" w:rsidRDefault="001B0C1F" w:rsidP="001776DA">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3089526B" w14:textId="77777777" w:rsidR="001B0C1F" w:rsidRDefault="001B0C1F" w:rsidP="001776DA">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1F2BAE36" w14:textId="77777777" w:rsidR="001B0C1F" w:rsidRDefault="001B0C1F" w:rsidP="001776DA">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69C71133" w14:textId="77777777" w:rsidR="001B0C1F" w:rsidRDefault="001B0C1F" w:rsidP="001776DA">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14EBCB97" w14:textId="77777777" w:rsidR="001B0C1F" w:rsidRDefault="001B0C1F" w:rsidP="001776DA">
            <w:pPr>
              <w:pStyle w:val="TAC"/>
            </w:pPr>
            <w:r>
              <w:t>D</w:t>
            </w:r>
          </w:p>
        </w:tc>
        <w:tc>
          <w:tcPr>
            <w:tcW w:w="233" w:type="pct"/>
            <w:tcBorders>
              <w:top w:val="single" w:sz="4" w:space="0" w:color="auto"/>
              <w:left w:val="single" w:sz="4" w:space="0" w:color="auto"/>
              <w:bottom w:val="single" w:sz="4" w:space="0" w:color="auto"/>
              <w:right w:val="single" w:sz="4" w:space="0" w:color="auto"/>
            </w:tcBorders>
            <w:vAlign w:val="center"/>
            <w:hideMark/>
          </w:tcPr>
          <w:p w14:paraId="34EE0F36" w14:textId="77777777" w:rsidR="001B0C1F" w:rsidRDefault="001B0C1F" w:rsidP="001776DA">
            <w:pPr>
              <w:pStyle w:val="TAC"/>
            </w:pPr>
            <w:r>
              <w:t>D</w:t>
            </w:r>
          </w:p>
        </w:tc>
      </w:tr>
      <w:tr w:rsidR="001B0C1F" w14:paraId="5B02128C" w14:textId="77777777" w:rsidTr="001B0C1F">
        <w:trPr>
          <w:cantSplit/>
          <w:jc w:val="center"/>
        </w:trPr>
        <w:tc>
          <w:tcPr>
            <w:tcW w:w="1099" w:type="pct"/>
            <w:tcBorders>
              <w:top w:val="single" w:sz="4" w:space="0" w:color="auto"/>
              <w:left w:val="single" w:sz="4" w:space="0" w:color="auto"/>
              <w:bottom w:val="single" w:sz="4" w:space="0" w:color="auto"/>
              <w:right w:val="single" w:sz="4" w:space="0" w:color="auto"/>
            </w:tcBorders>
            <w:vAlign w:val="center"/>
            <w:hideMark/>
          </w:tcPr>
          <w:p w14:paraId="0D51BBA1" w14:textId="77777777" w:rsidR="001B0C1F" w:rsidRDefault="001B0C1F" w:rsidP="001776DA">
            <w:pPr>
              <w:pStyle w:val="TAC"/>
            </w:pPr>
            <w:r>
              <w:t>6</w:t>
            </w:r>
          </w:p>
        </w:tc>
        <w:tc>
          <w:tcPr>
            <w:tcW w:w="1544" w:type="pct"/>
            <w:tcBorders>
              <w:top w:val="single" w:sz="4" w:space="0" w:color="auto"/>
              <w:left w:val="single" w:sz="4" w:space="0" w:color="auto"/>
              <w:bottom w:val="single" w:sz="4" w:space="0" w:color="auto"/>
              <w:right w:val="single" w:sz="4" w:space="0" w:color="auto"/>
            </w:tcBorders>
            <w:vAlign w:val="center"/>
            <w:hideMark/>
          </w:tcPr>
          <w:p w14:paraId="1397C91C" w14:textId="77777777" w:rsidR="001B0C1F" w:rsidRDefault="001B0C1F" w:rsidP="001776DA">
            <w:pPr>
              <w:pStyle w:val="TAC"/>
            </w:pPr>
            <w:r>
              <w:t>5 ms</w:t>
            </w:r>
          </w:p>
        </w:tc>
        <w:tc>
          <w:tcPr>
            <w:tcW w:w="237" w:type="pct"/>
            <w:tcBorders>
              <w:top w:val="single" w:sz="4" w:space="0" w:color="auto"/>
              <w:left w:val="single" w:sz="4" w:space="0" w:color="auto"/>
              <w:bottom w:val="single" w:sz="4" w:space="0" w:color="auto"/>
              <w:right w:val="single" w:sz="4" w:space="0" w:color="auto"/>
            </w:tcBorders>
            <w:vAlign w:val="center"/>
            <w:hideMark/>
          </w:tcPr>
          <w:p w14:paraId="410B04CC" w14:textId="77777777" w:rsidR="001B0C1F" w:rsidRDefault="001B0C1F" w:rsidP="001776DA">
            <w:pPr>
              <w:pStyle w:val="TAC"/>
            </w:pPr>
            <w:r>
              <w:t>D</w:t>
            </w:r>
          </w:p>
        </w:tc>
        <w:tc>
          <w:tcPr>
            <w:tcW w:w="230" w:type="pct"/>
            <w:tcBorders>
              <w:top w:val="single" w:sz="4" w:space="0" w:color="auto"/>
              <w:left w:val="single" w:sz="4" w:space="0" w:color="auto"/>
              <w:bottom w:val="single" w:sz="4" w:space="0" w:color="auto"/>
              <w:right w:val="single" w:sz="4" w:space="0" w:color="auto"/>
            </w:tcBorders>
            <w:vAlign w:val="center"/>
            <w:hideMark/>
          </w:tcPr>
          <w:p w14:paraId="5EC3E6D7" w14:textId="77777777" w:rsidR="001B0C1F" w:rsidRDefault="001B0C1F" w:rsidP="001776DA">
            <w:pPr>
              <w:pStyle w:val="TAC"/>
            </w:pPr>
            <w: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1C7BB30E" w14:textId="77777777" w:rsidR="001B0C1F" w:rsidRDefault="001B0C1F" w:rsidP="001776DA">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5090D79B" w14:textId="77777777" w:rsidR="001B0C1F" w:rsidRDefault="001B0C1F" w:rsidP="001776DA">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5FAC4600" w14:textId="77777777" w:rsidR="001B0C1F" w:rsidRDefault="001B0C1F" w:rsidP="001776DA">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6F064F08" w14:textId="77777777" w:rsidR="001B0C1F" w:rsidRDefault="001B0C1F" w:rsidP="001776DA">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6012C85C" w14:textId="77777777" w:rsidR="001B0C1F" w:rsidRDefault="001B0C1F" w:rsidP="001776DA">
            <w:pPr>
              <w:pStyle w:val="TAC"/>
            </w:pPr>
            <w: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4B9D6556" w14:textId="77777777" w:rsidR="001B0C1F" w:rsidRDefault="001B0C1F" w:rsidP="001776DA">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70456E01" w14:textId="77777777" w:rsidR="001B0C1F" w:rsidRDefault="001B0C1F" w:rsidP="001776DA">
            <w:pPr>
              <w:pStyle w:val="TAC"/>
            </w:pPr>
            <w:r>
              <w:t>U</w:t>
            </w:r>
          </w:p>
        </w:tc>
        <w:tc>
          <w:tcPr>
            <w:tcW w:w="233" w:type="pct"/>
            <w:tcBorders>
              <w:top w:val="single" w:sz="4" w:space="0" w:color="auto"/>
              <w:left w:val="single" w:sz="4" w:space="0" w:color="auto"/>
              <w:bottom w:val="single" w:sz="4" w:space="0" w:color="auto"/>
              <w:right w:val="single" w:sz="4" w:space="0" w:color="auto"/>
            </w:tcBorders>
            <w:vAlign w:val="center"/>
            <w:hideMark/>
          </w:tcPr>
          <w:p w14:paraId="329A0D6E" w14:textId="77777777" w:rsidR="001B0C1F" w:rsidRDefault="001B0C1F" w:rsidP="001B0C1F">
            <w:pPr>
              <w:pStyle w:val="TAC"/>
            </w:pPr>
            <w:r>
              <w:t>D</w:t>
            </w:r>
          </w:p>
        </w:tc>
      </w:tr>
    </w:tbl>
    <w:p w14:paraId="405DAC79" w14:textId="77777777" w:rsidR="001B0C1F" w:rsidRDefault="001B0C1F" w:rsidP="00CE0424">
      <w:pPr>
        <w:pStyle w:val="BodyText"/>
      </w:pPr>
    </w:p>
    <w:p w14:paraId="41A13043" w14:textId="0EDC9C1D" w:rsidR="001B0C1F" w:rsidRPr="00597AB4" w:rsidRDefault="001B0C1F" w:rsidP="00CE0424">
      <w:pPr>
        <w:pStyle w:val="BodyText"/>
        <w:rPr>
          <w:rFonts w:ascii="Arial" w:hAnsi="Arial" w:cs="Arial"/>
          <w:sz w:val="20"/>
          <w:lang w:val="en-US"/>
        </w:rPr>
      </w:pPr>
      <w:r w:rsidRPr="00597AB4">
        <w:rPr>
          <w:rFonts w:ascii="Arial" w:hAnsi="Arial" w:cs="Arial"/>
          <w:sz w:val="20"/>
          <w:lang w:val="en-US"/>
        </w:rPr>
        <w:t>NB-IoT is developed to operate almost as FDD or TDD, namely with half-duplex. Similar to TDD UL and DL traffic cannot be transmitted at the same time.</w:t>
      </w:r>
    </w:p>
    <w:p w14:paraId="022A028E" w14:textId="7AED3780" w:rsidR="001B0C1F" w:rsidRDefault="001B0C1F" w:rsidP="001B0C1F">
      <w:pPr>
        <w:pStyle w:val="Heading2"/>
      </w:pPr>
      <w:r>
        <w:lastRenderedPageBreak/>
        <w:t>NPRACH</w:t>
      </w:r>
    </w:p>
    <w:p w14:paraId="6A199436" w14:textId="6482242F" w:rsidR="001B0C1F" w:rsidRPr="00597AB4" w:rsidRDefault="001B0C1F" w:rsidP="00CE0424">
      <w:pPr>
        <w:pStyle w:val="BodyText"/>
        <w:rPr>
          <w:rFonts w:ascii="Arial" w:hAnsi="Arial" w:cs="Arial"/>
          <w:sz w:val="20"/>
          <w:lang w:val="en-US"/>
        </w:rPr>
      </w:pPr>
      <w:r w:rsidRPr="00597AB4">
        <w:rPr>
          <w:rFonts w:ascii="Arial" w:hAnsi="Arial" w:cs="Arial"/>
          <w:sz w:val="20"/>
          <w:lang w:val="en-US"/>
        </w:rPr>
        <w:t>The physical layer random access preambles are used by NB-IoT UEs camping on a given cell to let the base station know that the UE intends to get access.</w:t>
      </w:r>
    </w:p>
    <w:p w14:paraId="3D7BA72D" w14:textId="6B37D865" w:rsidR="001B0C1F" w:rsidRPr="00597AB4" w:rsidRDefault="001B0C1F" w:rsidP="001B0C1F">
      <w:pPr>
        <w:pStyle w:val="BodyText"/>
        <w:rPr>
          <w:rFonts w:ascii="Arial" w:hAnsi="Arial" w:cs="Arial"/>
          <w:sz w:val="20"/>
        </w:rPr>
      </w:pPr>
      <w:r w:rsidRPr="00597AB4">
        <w:rPr>
          <w:rFonts w:ascii="Arial" w:hAnsi="Arial" w:cs="Arial"/>
          <w:sz w:val="20"/>
        </w:rPr>
        <w:t>Overall (FDD) NPRACH characteristics</w:t>
      </w:r>
      <w:r w:rsidR="00CE39F3" w:rsidRPr="00597AB4">
        <w:rPr>
          <w:rFonts w:ascii="Arial" w:hAnsi="Arial" w:cs="Arial"/>
          <w:sz w:val="20"/>
        </w:rPr>
        <w:t xml:space="preserve"> [4]</w:t>
      </w:r>
      <w:r w:rsidRPr="00597AB4">
        <w:rPr>
          <w:rFonts w:ascii="Arial" w:hAnsi="Arial" w:cs="Arial"/>
          <w:sz w:val="20"/>
        </w:rPr>
        <w:t>:</w:t>
      </w:r>
    </w:p>
    <w:p w14:paraId="4BC94A9B" w14:textId="0B173DF4" w:rsidR="001B0C1F" w:rsidRPr="00597AB4" w:rsidRDefault="001B0C1F" w:rsidP="001B0C1F">
      <w:pPr>
        <w:pStyle w:val="BodyText"/>
        <w:numPr>
          <w:ilvl w:val="0"/>
          <w:numId w:val="16"/>
        </w:numPr>
        <w:rPr>
          <w:rFonts w:ascii="Arial" w:hAnsi="Arial" w:cs="Arial"/>
          <w:sz w:val="20"/>
          <w:lang w:val="en-US"/>
        </w:rPr>
      </w:pPr>
      <w:r w:rsidRPr="00597AB4">
        <w:rPr>
          <w:rFonts w:ascii="Arial" w:hAnsi="Arial" w:cs="Arial"/>
          <w:sz w:val="20"/>
          <w:lang w:val="en-US"/>
        </w:rPr>
        <w:t>A preamble consists of four symbol groups transmitted next to each other using a different subcarrier per symbol group.</w:t>
      </w:r>
    </w:p>
    <w:p w14:paraId="043FED4F" w14:textId="1C8E74ED" w:rsidR="001B0C1F" w:rsidRPr="00597AB4" w:rsidRDefault="001B0C1F" w:rsidP="001B0C1F">
      <w:pPr>
        <w:pStyle w:val="BodyText"/>
        <w:numPr>
          <w:ilvl w:val="0"/>
          <w:numId w:val="16"/>
        </w:numPr>
        <w:rPr>
          <w:rFonts w:ascii="Arial" w:hAnsi="Arial" w:cs="Arial"/>
          <w:sz w:val="20"/>
          <w:lang w:val="en-US"/>
        </w:rPr>
      </w:pPr>
      <w:r w:rsidRPr="00597AB4">
        <w:rPr>
          <w:rFonts w:ascii="Arial" w:hAnsi="Arial" w:cs="Arial"/>
          <w:sz w:val="20"/>
          <w:lang w:val="en-US"/>
        </w:rPr>
        <w:t>Each symbol group has a Cyclic Prefix (CP) followed by 5 symbols, the CP has different duration depending on the preamble format.</w:t>
      </w:r>
    </w:p>
    <w:p w14:paraId="237FB0BD" w14:textId="01A70C0C" w:rsidR="001B0C1F" w:rsidRPr="00597AB4" w:rsidRDefault="001B0C1F" w:rsidP="001B0C1F">
      <w:pPr>
        <w:pStyle w:val="BodyText"/>
        <w:numPr>
          <w:ilvl w:val="0"/>
          <w:numId w:val="16"/>
        </w:numPr>
        <w:rPr>
          <w:rFonts w:ascii="Arial" w:hAnsi="Arial" w:cs="Arial"/>
          <w:sz w:val="20"/>
          <w:lang w:val="en-US"/>
        </w:rPr>
      </w:pPr>
      <w:r w:rsidRPr="00597AB4">
        <w:rPr>
          <w:rFonts w:ascii="Arial" w:hAnsi="Arial" w:cs="Arial"/>
          <w:sz w:val="20"/>
          <w:lang w:val="en-US"/>
        </w:rPr>
        <w:t>Both deterministic hopping tone pattern and pseudo-random hopping can be used.</w:t>
      </w:r>
    </w:p>
    <w:p w14:paraId="74AC0F9C" w14:textId="2D2D3DA7" w:rsidR="001B0C1F" w:rsidRPr="00597AB4" w:rsidRDefault="001B0C1F" w:rsidP="001B0C1F">
      <w:pPr>
        <w:pStyle w:val="BodyText"/>
        <w:numPr>
          <w:ilvl w:val="0"/>
          <w:numId w:val="16"/>
        </w:numPr>
        <w:rPr>
          <w:rFonts w:ascii="Arial" w:hAnsi="Arial" w:cs="Arial"/>
          <w:sz w:val="20"/>
          <w:lang w:val="en-US"/>
        </w:rPr>
      </w:pPr>
      <w:r w:rsidRPr="00597AB4">
        <w:rPr>
          <w:rFonts w:ascii="Arial" w:hAnsi="Arial" w:cs="Arial"/>
          <w:sz w:val="20"/>
          <w:lang w:val="en-US"/>
        </w:rPr>
        <w:t xml:space="preserve">The NPRACH tone spacing is 3.75 KHz. </w:t>
      </w:r>
    </w:p>
    <w:p w14:paraId="07DFC26B" w14:textId="728C476F" w:rsidR="001B0C1F" w:rsidRPr="00597AB4" w:rsidRDefault="001B0C1F" w:rsidP="001B0C1F">
      <w:pPr>
        <w:pStyle w:val="BodyText"/>
        <w:numPr>
          <w:ilvl w:val="0"/>
          <w:numId w:val="16"/>
        </w:numPr>
        <w:rPr>
          <w:rFonts w:ascii="Arial" w:hAnsi="Arial" w:cs="Arial"/>
          <w:sz w:val="20"/>
          <w:lang w:val="en-US"/>
        </w:rPr>
      </w:pPr>
      <w:r w:rsidRPr="00597AB4">
        <w:rPr>
          <w:rFonts w:ascii="Arial" w:hAnsi="Arial" w:cs="Arial"/>
          <w:sz w:val="20"/>
          <w:lang w:val="en-US"/>
        </w:rPr>
        <w:t>A NPRACH preamble repetition unit is 5.6 ms or 6.4 ms depending on the CP.</w:t>
      </w:r>
    </w:p>
    <w:p w14:paraId="6FB30101" w14:textId="4A6358F7" w:rsidR="001B0C1F" w:rsidRPr="00597AB4" w:rsidRDefault="001B0C1F" w:rsidP="001B0C1F">
      <w:pPr>
        <w:pStyle w:val="BodyText"/>
        <w:numPr>
          <w:ilvl w:val="0"/>
          <w:numId w:val="16"/>
        </w:numPr>
        <w:rPr>
          <w:rFonts w:ascii="Arial" w:hAnsi="Arial" w:cs="Arial"/>
          <w:sz w:val="20"/>
          <w:lang w:val="en-US"/>
        </w:rPr>
      </w:pPr>
      <w:r w:rsidRPr="00597AB4">
        <w:rPr>
          <w:rFonts w:ascii="Arial" w:hAnsi="Arial" w:cs="Arial"/>
          <w:sz w:val="20"/>
          <w:lang w:val="en-US"/>
        </w:rPr>
        <w:t>The number of repetitions can be 1, 2, 4, 8, 16, 32, 64, or 128.</w:t>
      </w:r>
    </w:p>
    <w:p w14:paraId="4A586D55" w14:textId="151C79D9" w:rsidR="001B0C1F" w:rsidRPr="00597AB4" w:rsidRDefault="001B0C1F" w:rsidP="00CE0424">
      <w:pPr>
        <w:pStyle w:val="BodyText"/>
        <w:rPr>
          <w:rFonts w:ascii="Arial" w:hAnsi="Arial" w:cs="Arial"/>
          <w:sz w:val="20"/>
          <w:lang w:val="en-US"/>
        </w:rPr>
      </w:pPr>
      <w:r w:rsidRPr="00597AB4">
        <w:rPr>
          <w:rFonts w:ascii="Arial" w:hAnsi="Arial" w:cs="Arial"/>
          <w:sz w:val="20"/>
          <w:lang w:val="en-US"/>
        </w:rPr>
        <w:t>The design adopted for pre-amble repetitions in FDD NB-IoT presents a challenge when adapting NPRACH for TDD NB-IoT. In principle, there is no TDD configuration that in terms of contiguous subframes in UL can host the NPRACH preamble repetition designed for FDD NB-IoT (i.e., the preamble repetition unit of NPRACH goes beyond 5ms, it can be 5.6ms or 6.4ms depending on the CP), see example in Figure 1.</w:t>
      </w:r>
    </w:p>
    <w:p w14:paraId="5E4CAA44" w14:textId="77777777" w:rsidR="001B0C1F" w:rsidRDefault="001B0C1F" w:rsidP="001B0C1F">
      <w:pPr>
        <w:pStyle w:val="BodyText"/>
        <w:keepNext/>
        <w:jc w:val="center"/>
      </w:pPr>
      <w:r>
        <w:rPr>
          <w:noProof/>
          <w:lang w:eastAsia="en-GB"/>
        </w:rPr>
        <w:drawing>
          <wp:inline distT="0" distB="0" distL="0" distR="0" wp14:anchorId="078CB47F" wp14:editId="22FBF7EF">
            <wp:extent cx="3115310" cy="1713230"/>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15310" cy="1713230"/>
                    </a:xfrm>
                    <a:prstGeom prst="rect">
                      <a:avLst/>
                    </a:prstGeom>
                    <a:noFill/>
                  </pic:spPr>
                </pic:pic>
              </a:graphicData>
            </a:graphic>
          </wp:inline>
        </w:drawing>
      </w:r>
    </w:p>
    <w:p w14:paraId="007B370D" w14:textId="41AB281C" w:rsidR="001B0C1F" w:rsidRPr="00D17933" w:rsidRDefault="001B0C1F" w:rsidP="001B0C1F">
      <w:pPr>
        <w:pStyle w:val="Caption"/>
        <w:rPr>
          <w:lang w:val="en-US"/>
        </w:rPr>
      </w:pPr>
      <w:r w:rsidRPr="00D17933">
        <w:rPr>
          <w:lang w:val="en-US"/>
        </w:rPr>
        <w:t xml:space="preserve">Figure </w:t>
      </w:r>
      <w:r w:rsidR="00792750">
        <w:fldChar w:fldCharType="begin"/>
      </w:r>
      <w:r w:rsidR="00792750" w:rsidRPr="00D17933">
        <w:rPr>
          <w:lang w:val="en-US"/>
        </w:rPr>
        <w:instrText xml:space="preserve"> SEQ Figur \* ARABIC </w:instrText>
      </w:r>
      <w:r w:rsidR="00792750">
        <w:fldChar w:fldCharType="separate"/>
      </w:r>
      <w:r w:rsidRPr="00D17933">
        <w:rPr>
          <w:noProof/>
          <w:lang w:val="en-US"/>
        </w:rPr>
        <w:t>1</w:t>
      </w:r>
      <w:r w:rsidR="00792750">
        <w:rPr>
          <w:noProof/>
        </w:rPr>
        <w:fldChar w:fldCharType="end"/>
      </w:r>
      <w:r w:rsidRPr="00D17933">
        <w:rPr>
          <w:lang w:val="en-US"/>
        </w:rPr>
        <w:t xml:space="preserve"> Schematic of pre-amble retransmissions</w:t>
      </w:r>
    </w:p>
    <w:p w14:paraId="3CA4851C" w14:textId="77777777" w:rsidR="001B0C1F" w:rsidRPr="00D17933" w:rsidRDefault="001B0C1F" w:rsidP="00CE0424">
      <w:pPr>
        <w:pStyle w:val="BodyText"/>
        <w:rPr>
          <w:lang w:val="en-US"/>
        </w:rPr>
      </w:pPr>
    </w:p>
    <w:p w14:paraId="2EA1DC4F" w14:textId="719D2A47" w:rsidR="00B360B3" w:rsidRPr="00597AB4" w:rsidRDefault="008D4F82" w:rsidP="008D4F82">
      <w:pPr>
        <w:pStyle w:val="Observation"/>
        <w:jc w:val="both"/>
        <w:rPr>
          <w:rFonts w:ascii="Arial" w:hAnsi="Arial" w:cs="Arial"/>
          <w:sz w:val="20"/>
          <w:lang w:val="en-US"/>
        </w:rPr>
      </w:pPr>
      <w:bookmarkStart w:id="3" w:name="_Toc347823812"/>
      <w:bookmarkStart w:id="4" w:name="_Toc347823993"/>
      <w:bookmarkStart w:id="5" w:name="_Toc347824244"/>
      <w:bookmarkStart w:id="6" w:name="_Toc486276235"/>
      <w:r w:rsidRPr="00597AB4">
        <w:rPr>
          <w:rFonts w:ascii="Arial" w:hAnsi="Arial" w:cs="Arial"/>
          <w:sz w:val="20"/>
          <w:lang w:val="en-US"/>
        </w:rPr>
        <w:t xml:space="preserve">The transmission of a single NPRACH of Rel.13 FDD NB-IoT in time domain, takes 5.6 ms (with 66.7 us CP) or 6.4 ms (with 266.7 us CP). The LTE legacy TDD configurations </w:t>
      </w:r>
      <w:r w:rsidR="00A83A80" w:rsidRPr="00597AB4">
        <w:rPr>
          <w:rFonts w:ascii="Arial" w:hAnsi="Arial" w:cs="Arial"/>
          <w:sz w:val="20"/>
          <w:lang w:val="en-US"/>
        </w:rPr>
        <w:t>only count with uplink adjacent resources</w:t>
      </w:r>
      <w:r w:rsidRPr="00597AB4">
        <w:rPr>
          <w:rFonts w:ascii="Arial" w:hAnsi="Arial" w:cs="Arial"/>
          <w:sz w:val="20"/>
          <w:lang w:val="en-US"/>
        </w:rPr>
        <w:t xml:space="preserve"> </w:t>
      </w:r>
      <w:r w:rsidR="00A83A80" w:rsidRPr="00597AB4">
        <w:rPr>
          <w:rFonts w:ascii="Arial" w:hAnsi="Arial" w:cs="Arial"/>
          <w:sz w:val="20"/>
          <w:lang w:val="en-US"/>
        </w:rPr>
        <w:t xml:space="preserve">for having uninterrupted uplink </w:t>
      </w:r>
      <w:r w:rsidRPr="00597AB4">
        <w:rPr>
          <w:rFonts w:ascii="Arial" w:hAnsi="Arial" w:cs="Arial"/>
          <w:sz w:val="20"/>
          <w:lang w:val="en-US"/>
        </w:rPr>
        <w:t xml:space="preserve">transmissions lasting for 1 to 3 ms. </w:t>
      </w:r>
      <w:r w:rsidR="00A83A80" w:rsidRPr="00597AB4">
        <w:rPr>
          <w:rFonts w:ascii="Arial" w:hAnsi="Arial" w:cs="Arial"/>
          <w:sz w:val="20"/>
          <w:lang w:val="en-US"/>
        </w:rPr>
        <w:t>For this reason, i</w:t>
      </w:r>
      <w:r w:rsidRPr="00597AB4">
        <w:rPr>
          <w:rFonts w:ascii="Arial" w:hAnsi="Arial" w:cs="Arial"/>
          <w:sz w:val="20"/>
          <w:lang w:val="en-US"/>
        </w:rPr>
        <w:t>f the Rel.13 NPRACH design is directly used for TDD, a single NPRACH transmission needs to be divided into several discontinuous uplink transmissions.</w:t>
      </w:r>
      <w:bookmarkEnd w:id="3"/>
      <w:bookmarkEnd w:id="4"/>
      <w:bookmarkEnd w:id="5"/>
      <w:bookmarkEnd w:id="6"/>
    </w:p>
    <w:p w14:paraId="56232B0B" w14:textId="6D895ACE" w:rsidR="001B0C1F" w:rsidRPr="00597AB4" w:rsidRDefault="001B0C1F" w:rsidP="001B0C1F">
      <w:pPr>
        <w:pStyle w:val="Observation"/>
        <w:rPr>
          <w:rFonts w:ascii="Arial" w:hAnsi="Arial" w:cs="Arial"/>
          <w:sz w:val="20"/>
          <w:lang w:val="en-US"/>
        </w:rPr>
      </w:pPr>
      <w:bookmarkStart w:id="7" w:name="_Toc486276236"/>
      <w:r w:rsidRPr="00597AB4">
        <w:rPr>
          <w:rFonts w:ascii="Arial" w:hAnsi="Arial" w:cs="Arial"/>
          <w:sz w:val="20"/>
          <w:lang w:val="en-US"/>
        </w:rPr>
        <w:t>There is no TDD configuration that in terms of contiguous subframes in UL can host the NPRACH preamble repetition designed for FDD NB-IoT</w:t>
      </w:r>
      <w:bookmarkEnd w:id="7"/>
    </w:p>
    <w:p w14:paraId="1F6F9D38" w14:textId="77777777" w:rsidR="00B360B3" w:rsidRPr="00597AB4" w:rsidRDefault="00B360B3" w:rsidP="00CE0424">
      <w:pPr>
        <w:pStyle w:val="BodyText"/>
        <w:rPr>
          <w:rFonts w:ascii="Arial" w:hAnsi="Arial" w:cs="Arial"/>
          <w:sz w:val="20"/>
          <w:lang w:val="en-US"/>
        </w:rPr>
      </w:pPr>
    </w:p>
    <w:p w14:paraId="5724CB63" w14:textId="2D0C2C1B" w:rsidR="00287838" w:rsidRPr="007977D2" w:rsidRDefault="00DE7363" w:rsidP="00A04F49">
      <w:pPr>
        <w:pStyle w:val="Proposal"/>
        <w:rPr>
          <w:lang w:val="en-US"/>
        </w:rPr>
      </w:pPr>
      <w:bookmarkStart w:id="8" w:name="_Toc347823621"/>
      <w:bookmarkStart w:id="9" w:name="_Toc347824073"/>
      <w:bookmarkStart w:id="10" w:name="_Toc347824246"/>
      <w:bookmarkStart w:id="11" w:name="_Toc486276241"/>
      <w:r w:rsidRPr="00597AB4">
        <w:rPr>
          <w:rFonts w:ascii="Arial" w:hAnsi="Arial" w:cs="Arial"/>
          <w:sz w:val="20"/>
          <w:lang w:val="en-US"/>
        </w:rPr>
        <w:t xml:space="preserve">Wait for input from RAN1 on how to handle </w:t>
      </w:r>
      <w:r w:rsidR="00B606D8">
        <w:rPr>
          <w:rFonts w:ascii="Arial" w:hAnsi="Arial" w:cs="Arial"/>
          <w:sz w:val="20"/>
          <w:lang w:val="en-US"/>
        </w:rPr>
        <w:t xml:space="preserve">NPRACH </w:t>
      </w:r>
      <w:r w:rsidRPr="00597AB4">
        <w:rPr>
          <w:rFonts w:ascii="Arial" w:hAnsi="Arial" w:cs="Arial"/>
          <w:sz w:val="20"/>
          <w:lang w:val="en-US"/>
        </w:rPr>
        <w:t>transmissions in TDD</w:t>
      </w:r>
      <w:r w:rsidR="00CC2011" w:rsidRPr="007977D2">
        <w:rPr>
          <w:lang w:val="en-US"/>
        </w:rPr>
        <w:t>.</w:t>
      </w:r>
      <w:bookmarkEnd w:id="8"/>
      <w:bookmarkEnd w:id="9"/>
      <w:bookmarkEnd w:id="10"/>
      <w:bookmarkEnd w:id="11"/>
    </w:p>
    <w:p w14:paraId="2CE3D259" w14:textId="6E252F33" w:rsidR="00CE0424" w:rsidRDefault="00BA06B9" w:rsidP="00CE0424">
      <w:pPr>
        <w:pStyle w:val="Heading2"/>
      </w:pPr>
      <w:r>
        <w:t>RA-RNTI</w:t>
      </w:r>
    </w:p>
    <w:p w14:paraId="44D8D92B" w14:textId="2237E467" w:rsidR="00BA06B9" w:rsidRPr="00597AB4" w:rsidRDefault="00BA06B9" w:rsidP="00BA06B9">
      <w:pPr>
        <w:rPr>
          <w:rFonts w:ascii="Arial" w:eastAsia="MS Mincho" w:hAnsi="Arial" w:cs="Arial"/>
          <w:noProof/>
          <w:sz w:val="18"/>
          <w:szCs w:val="20"/>
          <w:lang w:val="en-US"/>
        </w:rPr>
      </w:pPr>
      <w:r w:rsidRPr="00597AB4">
        <w:rPr>
          <w:rFonts w:ascii="Arial" w:eastAsia="MS Mincho" w:hAnsi="Arial" w:cs="Arial"/>
          <w:noProof/>
          <w:sz w:val="20"/>
          <w:lang w:val="en-US"/>
        </w:rPr>
        <w:t>The Random Access RNTI is used on the PDCCH when Random Access Response messages are transmitted. It unambiguously identifies which time-frequency resource was utilized by the MAC entity to transmit the Random Access preamble [3].</w:t>
      </w:r>
    </w:p>
    <w:p w14:paraId="41F66294" w14:textId="10498414" w:rsidR="00BA06B9" w:rsidRPr="00597AB4" w:rsidRDefault="00BA06B9" w:rsidP="00BA06B9">
      <w:pPr>
        <w:rPr>
          <w:rFonts w:ascii="Arial" w:eastAsia="Times New Roman" w:hAnsi="Arial" w:cs="Arial"/>
          <w:sz w:val="18"/>
          <w:szCs w:val="20"/>
          <w:lang w:val="en-US"/>
        </w:rPr>
      </w:pPr>
      <w:r w:rsidRPr="00597AB4">
        <w:rPr>
          <w:rFonts w:ascii="Arial" w:hAnsi="Arial" w:cs="Arial"/>
          <w:sz w:val="20"/>
          <w:lang w:val="en-US"/>
        </w:rPr>
        <w:lastRenderedPageBreak/>
        <w:t xml:space="preserve">For NB-IoT </w:t>
      </w:r>
      <w:r w:rsidR="00BF03B7" w:rsidRPr="00597AB4">
        <w:rPr>
          <w:rFonts w:ascii="Arial" w:hAnsi="Arial" w:cs="Arial"/>
          <w:sz w:val="20"/>
          <w:lang w:val="en-US"/>
        </w:rPr>
        <w:t xml:space="preserve">FDD </w:t>
      </w:r>
      <w:r w:rsidRPr="00597AB4">
        <w:rPr>
          <w:rFonts w:ascii="Arial" w:hAnsi="Arial" w:cs="Arial"/>
          <w:sz w:val="20"/>
          <w:lang w:val="en-US"/>
        </w:rPr>
        <w:t>UEs, the RA-RNTI associated with the PRACH in which the Random Access Preamble is transmitted, is computed as</w:t>
      </w:r>
      <w:r w:rsidR="00BF03B7" w:rsidRPr="00597AB4">
        <w:rPr>
          <w:rFonts w:ascii="Arial" w:hAnsi="Arial" w:cs="Arial"/>
          <w:sz w:val="20"/>
          <w:lang w:val="en-US"/>
        </w:rPr>
        <w:t xml:space="preserve"> [3]</w:t>
      </w:r>
      <w:r w:rsidRPr="00597AB4">
        <w:rPr>
          <w:rFonts w:ascii="Arial" w:hAnsi="Arial" w:cs="Arial"/>
          <w:sz w:val="20"/>
          <w:lang w:val="en-US"/>
        </w:rPr>
        <w:t>:</w:t>
      </w:r>
    </w:p>
    <w:p w14:paraId="2430953E" w14:textId="6B4C8A4A" w:rsidR="00BA06B9" w:rsidRPr="00597AB4" w:rsidRDefault="00EF0862" w:rsidP="00BA06B9">
      <w:pPr>
        <w:jc w:val="center"/>
        <w:rPr>
          <w:rFonts w:ascii="Arial" w:hAnsi="Arial" w:cs="Arial"/>
          <w:sz w:val="20"/>
          <w:lang w:val="en-US"/>
        </w:rPr>
      </w:pPr>
      <m:oMath>
        <m:r>
          <w:rPr>
            <w:rFonts w:ascii="Cambria Math" w:eastAsia="MS PGothic" w:hAnsi="Cambria Math" w:cs="Arial"/>
            <w:sz w:val="20"/>
            <w:lang w:val="en-US"/>
          </w:rPr>
          <m:t xml:space="preserve">RA-RNTI=1 + </m:t>
        </m:r>
        <m:r>
          <w:rPr>
            <w:rFonts w:ascii="Cambria Math" w:hAnsi="Cambria Math" w:cs="Arial"/>
            <w:sz w:val="20"/>
            <w:lang w:val="en-US"/>
          </w:rPr>
          <m:t>floor(</m:t>
        </m:r>
        <m:r>
          <w:rPr>
            <w:rFonts w:ascii="Cambria Math" w:eastAsia="MS PGothic" w:hAnsi="Cambria Math" w:cs="Arial"/>
            <w:sz w:val="20"/>
            <w:lang w:val="en-US"/>
          </w:rPr>
          <m:t>SFN_id/4</m:t>
        </m:r>
        <m:r>
          <w:rPr>
            <w:rFonts w:ascii="Cambria Math" w:hAnsi="Cambria Math" w:cs="Arial"/>
            <w:sz w:val="20"/>
            <w:lang w:val="en-US"/>
          </w:rPr>
          <m:t xml:space="preserve">) + 256*carrier_id </m:t>
        </m:r>
      </m:oMath>
      <w:r w:rsidRPr="00597AB4">
        <w:rPr>
          <w:rFonts w:ascii="Arial" w:hAnsi="Arial" w:cs="Arial"/>
          <w:bCs/>
          <w:sz w:val="20"/>
          <w:lang w:val="en-US"/>
        </w:rPr>
        <w:tab/>
      </w:r>
    </w:p>
    <w:p w14:paraId="76DA3E51" w14:textId="38824066" w:rsidR="00BA06B9" w:rsidRPr="00597AB4" w:rsidRDefault="00BA06B9" w:rsidP="00BA06B9">
      <w:pPr>
        <w:rPr>
          <w:rFonts w:ascii="Arial" w:hAnsi="Arial" w:cs="Arial"/>
          <w:sz w:val="20"/>
          <w:lang w:val="en-US"/>
        </w:rPr>
      </w:pPr>
      <w:r w:rsidRPr="00597AB4">
        <w:rPr>
          <w:rFonts w:ascii="Arial" w:hAnsi="Arial" w:cs="Arial"/>
          <w:sz w:val="20"/>
          <w:lang w:val="en-US"/>
        </w:rPr>
        <w:t>where SFN_id is the index of the first radio frame of the specified PRACH and carrier_id is the index of the UL carrier associated with the specified PRACH. The carrier_id of the anchor carrier is 0.</w:t>
      </w:r>
    </w:p>
    <w:p w14:paraId="77ED6AD5" w14:textId="715D1C84" w:rsidR="004235BA" w:rsidRPr="00597AB4" w:rsidRDefault="006343D1" w:rsidP="00BA06B9">
      <w:pPr>
        <w:rPr>
          <w:rFonts w:ascii="Arial" w:hAnsi="Arial" w:cs="Arial"/>
          <w:noProof/>
          <w:sz w:val="20"/>
          <w:lang w:val="en-US"/>
        </w:rPr>
      </w:pPr>
      <w:r w:rsidRPr="00597AB4">
        <w:rPr>
          <w:rFonts w:ascii="Arial" w:hAnsi="Arial" w:cs="Arial"/>
          <w:noProof/>
          <w:sz w:val="20"/>
          <w:lang w:val="en-US"/>
        </w:rPr>
        <w:t xml:space="preserve">For NB-IoT TDD, the above RA-RNTI computation </w:t>
      </w:r>
      <w:r w:rsidR="00792750" w:rsidRPr="00597AB4">
        <w:rPr>
          <w:rFonts w:ascii="Arial" w:hAnsi="Arial" w:cs="Arial"/>
          <w:noProof/>
          <w:sz w:val="20"/>
          <w:lang w:val="en-US"/>
        </w:rPr>
        <w:t>may not function properly. The computation uses SFN which wraps at 10.24 s. For NB-IoT users</w:t>
      </w:r>
      <w:r w:rsidR="00D17933" w:rsidRPr="00597AB4">
        <w:rPr>
          <w:rFonts w:ascii="Arial" w:hAnsi="Arial" w:cs="Arial"/>
          <w:noProof/>
          <w:sz w:val="20"/>
          <w:lang w:val="en-US"/>
        </w:rPr>
        <w:t>,</w:t>
      </w:r>
      <w:r w:rsidR="00792750" w:rsidRPr="00597AB4">
        <w:rPr>
          <w:rFonts w:ascii="Arial" w:hAnsi="Arial" w:cs="Arial"/>
          <w:noProof/>
          <w:sz w:val="20"/>
          <w:lang w:val="en-US"/>
        </w:rPr>
        <w:t xml:space="preserve"> which are located at extended coverage need large number of repetitions and for NB-IoT TDD with certain configurations where UL resource is very limited, the SFN wrap around could cause problems. UEs RA-RNTI values could be identical because of this.</w:t>
      </w:r>
    </w:p>
    <w:p w14:paraId="4CE5D0DB" w14:textId="183B6F6C" w:rsidR="00792750" w:rsidRPr="00597AB4" w:rsidRDefault="00792750" w:rsidP="00BA06B9">
      <w:pPr>
        <w:rPr>
          <w:rFonts w:ascii="Arial" w:hAnsi="Arial" w:cs="Arial"/>
          <w:noProof/>
          <w:sz w:val="20"/>
          <w:lang w:val="en-US"/>
        </w:rPr>
      </w:pPr>
      <w:r w:rsidRPr="00597AB4">
        <w:rPr>
          <w:rFonts w:ascii="Arial" w:hAnsi="Arial" w:cs="Arial"/>
          <w:noProof/>
          <w:sz w:val="20"/>
          <w:lang w:val="en-US"/>
        </w:rPr>
        <w:t>Similarly, the current NB-IoT FDD RA-RNTI provides only 256 unique values per carrier</w:t>
      </w:r>
      <w:r w:rsidR="00D17933" w:rsidRPr="00597AB4">
        <w:rPr>
          <w:rFonts w:ascii="Arial" w:hAnsi="Arial" w:cs="Arial"/>
          <w:noProof/>
          <w:sz w:val="20"/>
          <w:lang w:val="en-US"/>
        </w:rPr>
        <w:t>,</w:t>
      </w:r>
      <w:r w:rsidRPr="00597AB4">
        <w:rPr>
          <w:rFonts w:ascii="Arial" w:hAnsi="Arial" w:cs="Arial"/>
          <w:noProof/>
          <w:sz w:val="20"/>
          <w:lang w:val="en-US"/>
        </w:rPr>
        <w:t xml:space="preserve"> which may not be sufficient for NB-IoT TDD as many RA-RNTI values could be in use (occupied) because of long delays (repetitions and limited UL subframes availability).</w:t>
      </w:r>
    </w:p>
    <w:p w14:paraId="13268EC3" w14:textId="13AFE94C" w:rsidR="00792750" w:rsidRPr="00597AB4" w:rsidRDefault="00792750" w:rsidP="00BA06B9">
      <w:pPr>
        <w:rPr>
          <w:rFonts w:ascii="Arial" w:hAnsi="Arial" w:cs="Arial"/>
          <w:noProof/>
          <w:sz w:val="20"/>
          <w:lang w:val="en-US"/>
        </w:rPr>
      </w:pPr>
      <w:r w:rsidRPr="00597AB4">
        <w:rPr>
          <w:rFonts w:ascii="Arial" w:hAnsi="Arial" w:cs="Arial"/>
          <w:noProof/>
          <w:sz w:val="20"/>
          <w:lang w:val="en-US"/>
        </w:rPr>
        <w:t>In such scenario, new RA-RNTI computation for NB-IoT TDD could be desirable.</w:t>
      </w:r>
    </w:p>
    <w:p w14:paraId="3EDC3155" w14:textId="780DC2DC" w:rsidR="008C16B2" w:rsidRPr="00597AB4" w:rsidRDefault="00D670D9" w:rsidP="008C16B2">
      <w:pPr>
        <w:pStyle w:val="Proposal"/>
        <w:rPr>
          <w:rFonts w:ascii="Arial" w:hAnsi="Arial" w:cs="Arial"/>
          <w:sz w:val="20"/>
          <w:lang w:val="en-US"/>
        </w:rPr>
      </w:pPr>
      <w:r w:rsidRPr="00597AB4">
        <w:rPr>
          <w:rFonts w:ascii="Arial" w:hAnsi="Arial" w:cs="Arial"/>
          <w:sz w:val="20"/>
          <w:lang w:val="en-US"/>
        </w:rPr>
        <w:t>RAN2 to investigate suitability of NB-IoT FDD RA-RNTI calculation for NB-IoT TDD</w:t>
      </w:r>
      <w:r w:rsidR="00792750" w:rsidRPr="00597AB4">
        <w:rPr>
          <w:rFonts w:ascii="Arial" w:hAnsi="Arial" w:cs="Arial"/>
          <w:sz w:val="20"/>
          <w:lang w:val="en-US"/>
        </w:rPr>
        <w:t xml:space="preserve"> and suggest new alternatives.</w:t>
      </w:r>
    </w:p>
    <w:p w14:paraId="542F471F" w14:textId="6F95DE3D" w:rsidR="00BA06B9" w:rsidRPr="00D17933" w:rsidRDefault="00BA06B9" w:rsidP="00BA06B9">
      <w:pPr>
        <w:rPr>
          <w:lang w:val="en-US"/>
        </w:rPr>
      </w:pPr>
    </w:p>
    <w:p w14:paraId="522CD7E3" w14:textId="77777777" w:rsidR="00C01F33" w:rsidRPr="00CE0424" w:rsidRDefault="00C01F33" w:rsidP="00CE0424">
      <w:pPr>
        <w:pStyle w:val="Heading1"/>
      </w:pPr>
      <w:r w:rsidRPr="00CE0424">
        <w:t>Conclusion</w:t>
      </w:r>
    </w:p>
    <w:p w14:paraId="05D76911" w14:textId="72CA6031" w:rsidR="001B0C1F" w:rsidRPr="00D17933" w:rsidRDefault="008E065E" w:rsidP="008E065E">
      <w:pPr>
        <w:pStyle w:val="BodyText"/>
        <w:rPr>
          <w:noProof/>
          <w:lang w:val="en-US"/>
        </w:rPr>
      </w:pPr>
      <w:r w:rsidRPr="00D17933">
        <w:rPr>
          <w:lang w:val="en-US"/>
        </w:rPr>
        <w:t xml:space="preserve">In section </w:t>
      </w:r>
      <w:r w:rsidRPr="00CE0424">
        <w:rPr>
          <w:highlight w:val="cyan"/>
        </w:rPr>
        <w:fldChar w:fldCharType="begin"/>
      </w:r>
      <w:r w:rsidRPr="00D17933">
        <w:rPr>
          <w:lang w:val="en-US"/>
        </w:rPr>
        <w:instrText xml:space="preserve"> REF _Ref178064866 \r \h </w:instrText>
      </w:r>
      <w:r w:rsidRPr="00CE0424">
        <w:rPr>
          <w:highlight w:val="cyan"/>
        </w:rPr>
      </w:r>
      <w:r w:rsidRPr="00CE0424">
        <w:rPr>
          <w:highlight w:val="cyan"/>
        </w:rPr>
        <w:fldChar w:fldCharType="separate"/>
      </w:r>
      <w:r w:rsidR="00343A07" w:rsidRPr="00D17933">
        <w:rPr>
          <w:lang w:val="en-US"/>
        </w:rPr>
        <w:t>2</w:t>
      </w:r>
      <w:r w:rsidRPr="00CE0424">
        <w:rPr>
          <w:highlight w:val="cyan"/>
        </w:rPr>
        <w:fldChar w:fldCharType="end"/>
      </w:r>
      <w:r w:rsidRPr="00D17933">
        <w:rPr>
          <w:lang w:val="en-US"/>
        </w:rPr>
        <w:t xml:space="preserve"> we made the following observations:</w:t>
      </w:r>
      <w:r>
        <w:rPr>
          <w:b/>
          <w:bCs/>
        </w:rPr>
        <w:fldChar w:fldCharType="begin"/>
      </w:r>
      <w:r w:rsidRPr="00D17933">
        <w:rPr>
          <w:b/>
          <w:bCs/>
          <w:lang w:val="en-US"/>
        </w:rPr>
        <w:instrText xml:space="preserve"> TOC \f \n \t "Observation;1" </w:instrText>
      </w:r>
      <w:r>
        <w:rPr>
          <w:b/>
          <w:bCs/>
        </w:rPr>
        <w:fldChar w:fldCharType="separate"/>
      </w:r>
    </w:p>
    <w:p w14:paraId="33E66673" w14:textId="08FC3C7C" w:rsidR="001B0C1F" w:rsidRPr="001B0C1F" w:rsidRDefault="001B0C1F">
      <w:pPr>
        <w:pStyle w:val="TOC1"/>
        <w:rPr>
          <w:rFonts w:asciiTheme="minorHAnsi" w:eastAsiaTheme="minorEastAsia" w:hAnsiTheme="minorHAnsi" w:cstheme="minorBidi"/>
          <w:b w:val="0"/>
          <w:sz w:val="22"/>
          <w:lang w:eastAsia="sv-SE"/>
        </w:rPr>
      </w:pPr>
      <w:r>
        <w:t>Observation 1</w:t>
      </w:r>
      <w:r w:rsidRPr="001B0C1F">
        <w:rPr>
          <w:rFonts w:asciiTheme="minorHAnsi" w:eastAsiaTheme="minorEastAsia" w:hAnsiTheme="minorHAnsi" w:cstheme="minorBidi"/>
          <w:b w:val="0"/>
          <w:sz w:val="22"/>
          <w:lang w:eastAsia="sv-SE"/>
        </w:rPr>
        <w:tab/>
      </w:r>
      <w:r w:rsidR="00A83A80" w:rsidRPr="008D4F82">
        <w:t xml:space="preserve">The transmission of a single NPRACH of Rel.13 FDD NB-IoT in time domain, takes 5.6 ms (with 66.7 us CP) or 6.4 ms (with 266.7 us CP). </w:t>
      </w:r>
      <w:r w:rsidR="00A83A80">
        <w:t xml:space="preserve">The </w:t>
      </w:r>
      <w:r w:rsidR="00A83A80" w:rsidRPr="008D4F82">
        <w:t xml:space="preserve">LTE legacy TDD configurations </w:t>
      </w:r>
      <w:r w:rsidR="00A83A80">
        <w:t xml:space="preserve">only count with uplink adjacent resources for having uninterrupted uplink </w:t>
      </w:r>
      <w:r w:rsidR="00A83A80" w:rsidRPr="008D4F82">
        <w:t xml:space="preserve">transmissions </w:t>
      </w:r>
      <w:r w:rsidR="00A83A80">
        <w:t>lasting for</w:t>
      </w:r>
      <w:r w:rsidR="00A83A80" w:rsidRPr="008D4F82">
        <w:t xml:space="preserve"> 1 to 3 ms. </w:t>
      </w:r>
      <w:r w:rsidR="00A83A80">
        <w:t>For this reason, i</w:t>
      </w:r>
      <w:r w:rsidR="00A83A80" w:rsidRPr="008D4F82">
        <w:t>f the Rel.13 NPRACH design is directly used for TDD, a single NPRACH transmission needs to be divided into several discontinuous uplink transmissions</w:t>
      </w:r>
      <w:r>
        <w:t>.</w:t>
      </w:r>
    </w:p>
    <w:p w14:paraId="28F5293D" w14:textId="77777777" w:rsidR="001B0C1F" w:rsidRPr="001B0C1F" w:rsidRDefault="001B0C1F">
      <w:pPr>
        <w:pStyle w:val="TOC1"/>
        <w:rPr>
          <w:rFonts w:asciiTheme="minorHAnsi" w:eastAsiaTheme="minorEastAsia" w:hAnsiTheme="minorHAnsi" w:cstheme="minorBidi"/>
          <w:b w:val="0"/>
          <w:sz w:val="22"/>
          <w:lang w:eastAsia="sv-SE"/>
        </w:rPr>
      </w:pPr>
      <w:r>
        <w:t>Observation 2</w:t>
      </w:r>
      <w:r w:rsidRPr="001B0C1F">
        <w:rPr>
          <w:rFonts w:asciiTheme="minorHAnsi" w:eastAsiaTheme="minorEastAsia" w:hAnsiTheme="minorHAnsi" w:cstheme="minorBidi"/>
          <w:b w:val="0"/>
          <w:sz w:val="22"/>
          <w:lang w:eastAsia="sv-SE"/>
        </w:rPr>
        <w:tab/>
      </w:r>
      <w:r>
        <w:t>There is no TDD configuration that in terms of contiguous subframes in UL can host the NPRACH preamble repetition designed for FDD NB-IoT</w:t>
      </w:r>
    </w:p>
    <w:p w14:paraId="3356DB29" w14:textId="77777777" w:rsidR="00792750" w:rsidRPr="00D17933" w:rsidRDefault="008E065E" w:rsidP="008E065E">
      <w:pPr>
        <w:pStyle w:val="BodyText"/>
        <w:rPr>
          <w:b/>
          <w:bCs/>
          <w:lang w:val="en-US"/>
        </w:rPr>
      </w:pPr>
      <w:r>
        <w:rPr>
          <w:b/>
          <w:bCs/>
        </w:rPr>
        <w:fldChar w:fldCharType="end"/>
      </w:r>
    </w:p>
    <w:p w14:paraId="374D9663" w14:textId="467F3953" w:rsidR="001B0C1F" w:rsidRPr="00597AB4" w:rsidRDefault="008E065E" w:rsidP="008E065E">
      <w:pPr>
        <w:pStyle w:val="BodyText"/>
        <w:rPr>
          <w:rFonts w:ascii="Arial" w:hAnsi="Arial" w:cs="Arial"/>
          <w:noProof/>
          <w:sz w:val="20"/>
          <w:szCs w:val="20"/>
          <w:lang w:val="en-US"/>
        </w:rPr>
      </w:pPr>
      <w:r w:rsidRPr="00597AB4">
        <w:rPr>
          <w:rFonts w:ascii="Arial" w:hAnsi="Arial" w:cs="Arial"/>
          <w:sz w:val="20"/>
          <w:szCs w:val="20"/>
          <w:lang w:val="en-US"/>
        </w:rPr>
        <w:t xml:space="preserve">Based on the discussion in section </w:t>
      </w:r>
      <w:r w:rsidRPr="00597AB4">
        <w:rPr>
          <w:rFonts w:ascii="Arial" w:hAnsi="Arial" w:cs="Arial"/>
          <w:sz w:val="20"/>
          <w:szCs w:val="20"/>
          <w:highlight w:val="cyan"/>
        </w:rPr>
        <w:fldChar w:fldCharType="begin"/>
      </w:r>
      <w:r w:rsidRPr="00597AB4">
        <w:rPr>
          <w:rFonts w:ascii="Arial" w:hAnsi="Arial" w:cs="Arial"/>
          <w:sz w:val="20"/>
          <w:szCs w:val="20"/>
          <w:lang w:val="en-US"/>
        </w:rPr>
        <w:instrText xml:space="preserve"> REF _Ref178064866 \r \h </w:instrText>
      </w:r>
      <w:r w:rsidR="00597AB4" w:rsidRPr="0040115C">
        <w:rPr>
          <w:rFonts w:ascii="Arial" w:hAnsi="Arial" w:cs="Arial"/>
          <w:sz w:val="20"/>
          <w:szCs w:val="20"/>
          <w:highlight w:val="cyan"/>
          <w:lang w:val="en-US"/>
        </w:rPr>
        <w:instrText xml:space="preserve"> \* MERGEFORMAT </w:instrText>
      </w:r>
      <w:r w:rsidRPr="00597AB4">
        <w:rPr>
          <w:rFonts w:ascii="Arial" w:hAnsi="Arial" w:cs="Arial"/>
          <w:sz w:val="20"/>
          <w:szCs w:val="20"/>
          <w:highlight w:val="cyan"/>
        </w:rPr>
      </w:r>
      <w:r w:rsidRPr="00597AB4">
        <w:rPr>
          <w:rFonts w:ascii="Arial" w:hAnsi="Arial" w:cs="Arial"/>
          <w:sz w:val="20"/>
          <w:szCs w:val="20"/>
          <w:highlight w:val="cyan"/>
        </w:rPr>
        <w:fldChar w:fldCharType="separate"/>
      </w:r>
      <w:r w:rsidR="00343A07" w:rsidRPr="00597AB4">
        <w:rPr>
          <w:rFonts w:ascii="Arial" w:hAnsi="Arial" w:cs="Arial"/>
          <w:sz w:val="20"/>
          <w:szCs w:val="20"/>
          <w:lang w:val="en-US"/>
        </w:rPr>
        <w:t>2</w:t>
      </w:r>
      <w:r w:rsidRPr="00597AB4">
        <w:rPr>
          <w:rFonts w:ascii="Arial" w:hAnsi="Arial" w:cs="Arial"/>
          <w:sz w:val="20"/>
          <w:szCs w:val="20"/>
          <w:highlight w:val="cyan"/>
        </w:rPr>
        <w:fldChar w:fldCharType="end"/>
      </w:r>
      <w:r w:rsidRPr="00597AB4">
        <w:rPr>
          <w:rFonts w:ascii="Arial" w:hAnsi="Arial" w:cs="Arial"/>
          <w:sz w:val="20"/>
          <w:szCs w:val="20"/>
          <w:lang w:val="en-US"/>
        </w:rPr>
        <w:t xml:space="preserve"> we propose the following:</w:t>
      </w:r>
      <w:r w:rsidRPr="00597AB4">
        <w:rPr>
          <w:rFonts w:ascii="Arial" w:hAnsi="Arial" w:cs="Arial"/>
          <w:b/>
          <w:bCs/>
          <w:sz w:val="20"/>
          <w:szCs w:val="20"/>
        </w:rPr>
        <w:fldChar w:fldCharType="begin"/>
      </w:r>
      <w:r w:rsidRPr="00597AB4">
        <w:rPr>
          <w:rFonts w:ascii="Arial" w:hAnsi="Arial" w:cs="Arial"/>
          <w:b/>
          <w:bCs/>
          <w:sz w:val="20"/>
          <w:szCs w:val="20"/>
          <w:lang w:val="en-US"/>
        </w:rPr>
        <w:instrText xml:space="preserve"> TOC \f \n \p " " \t "Proposal;1" </w:instrText>
      </w:r>
      <w:r w:rsidRPr="00597AB4">
        <w:rPr>
          <w:rFonts w:ascii="Arial" w:hAnsi="Arial" w:cs="Arial"/>
          <w:b/>
          <w:bCs/>
          <w:sz w:val="20"/>
          <w:szCs w:val="20"/>
        </w:rPr>
        <w:fldChar w:fldCharType="separate"/>
      </w:r>
    </w:p>
    <w:p w14:paraId="368F2BA2" w14:textId="65CA8909" w:rsidR="001B0C1F" w:rsidRPr="00597AB4" w:rsidRDefault="001B0C1F">
      <w:pPr>
        <w:pStyle w:val="TOC1"/>
        <w:rPr>
          <w:rFonts w:cs="Arial"/>
          <w:szCs w:val="20"/>
        </w:rPr>
      </w:pPr>
      <w:r w:rsidRPr="00597AB4">
        <w:rPr>
          <w:rFonts w:cs="Arial"/>
          <w:szCs w:val="20"/>
        </w:rPr>
        <w:t>Proposal 1</w:t>
      </w:r>
      <w:r w:rsidRPr="00597AB4">
        <w:rPr>
          <w:rFonts w:eastAsiaTheme="minorEastAsia" w:cs="Arial"/>
          <w:b w:val="0"/>
          <w:szCs w:val="20"/>
          <w:lang w:eastAsia="sv-SE"/>
        </w:rPr>
        <w:tab/>
      </w:r>
      <w:r w:rsidRPr="00597AB4">
        <w:rPr>
          <w:rFonts w:cs="Arial"/>
          <w:szCs w:val="20"/>
        </w:rPr>
        <w:t>Wait for input from RAN1 on how to handle</w:t>
      </w:r>
      <w:r w:rsidR="00B606D8">
        <w:rPr>
          <w:rFonts w:cs="Arial"/>
          <w:szCs w:val="20"/>
        </w:rPr>
        <w:t xml:space="preserve"> NPRACH</w:t>
      </w:r>
      <w:r w:rsidRPr="00597AB4">
        <w:rPr>
          <w:rFonts w:cs="Arial"/>
          <w:szCs w:val="20"/>
        </w:rPr>
        <w:t xml:space="preserve"> transmissions in TDD.</w:t>
      </w:r>
    </w:p>
    <w:p w14:paraId="621B1D8D" w14:textId="77777777" w:rsidR="00F106EE" w:rsidRPr="00597AB4" w:rsidRDefault="00F106EE" w:rsidP="00F106EE">
      <w:pPr>
        <w:pStyle w:val="BodyText"/>
        <w:rPr>
          <w:rFonts w:ascii="Arial" w:hAnsi="Arial" w:cs="Arial"/>
          <w:sz w:val="20"/>
          <w:szCs w:val="20"/>
          <w:lang w:val="en-US"/>
        </w:rPr>
      </w:pPr>
    </w:p>
    <w:p w14:paraId="1A1D26AA" w14:textId="77777777" w:rsidR="00792750" w:rsidRPr="00597AB4" w:rsidRDefault="00F106EE" w:rsidP="00792750">
      <w:pPr>
        <w:pStyle w:val="Proposal"/>
        <w:numPr>
          <w:ilvl w:val="0"/>
          <w:numId w:val="0"/>
        </w:numPr>
        <w:ind w:left="1701" w:hanging="1701"/>
        <w:rPr>
          <w:rFonts w:ascii="Arial" w:hAnsi="Arial" w:cs="Arial"/>
          <w:sz w:val="20"/>
          <w:szCs w:val="20"/>
          <w:lang w:val="en-US"/>
        </w:rPr>
      </w:pPr>
      <w:r w:rsidRPr="00597AB4">
        <w:rPr>
          <w:rFonts w:ascii="Arial" w:hAnsi="Arial" w:cs="Arial"/>
          <w:sz w:val="20"/>
          <w:szCs w:val="20"/>
          <w:lang w:val="en-US"/>
        </w:rPr>
        <w:t>Proposal 2</w:t>
      </w:r>
      <w:r w:rsidRPr="00597AB4">
        <w:rPr>
          <w:rFonts w:ascii="Arial" w:hAnsi="Arial" w:cs="Arial"/>
          <w:sz w:val="20"/>
          <w:szCs w:val="20"/>
          <w:lang w:val="en-US"/>
        </w:rPr>
        <w:tab/>
      </w:r>
      <w:r w:rsidR="00792750" w:rsidRPr="00597AB4">
        <w:rPr>
          <w:rFonts w:ascii="Arial" w:hAnsi="Arial" w:cs="Arial"/>
          <w:sz w:val="20"/>
          <w:szCs w:val="20"/>
          <w:lang w:val="en-US"/>
        </w:rPr>
        <w:t>RAN2 to investigate suitability of NB-IoT FDD RA-RNTI calculation for NB-IoT TDD and suggest new alternatives.</w:t>
      </w:r>
    </w:p>
    <w:p w14:paraId="4549A28F" w14:textId="21281793" w:rsidR="00F106EE" w:rsidRPr="00597AB4" w:rsidRDefault="00F106EE" w:rsidP="00F106EE">
      <w:pPr>
        <w:pStyle w:val="Proposal"/>
        <w:numPr>
          <w:ilvl w:val="0"/>
          <w:numId w:val="0"/>
        </w:numPr>
        <w:rPr>
          <w:rFonts w:ascii="Arial" w:hAnsi="Arial" w:cs="Arial"/>
          <w:sz w:val="20"/>
          <w:szCs w:val="20"/>
          <w:lang w:val="en-US"/>
        </w:rPr>
      </w:pPr>
    </w:p>
    <w:p w14:paraId="005C0D8F" w14:textId="77777777" w:rsidR="00F106EE" w:rsidRPr="00597AB4" w:rsidRDefault="00F106EE">
      <w:pPr>
        <w:pStyle w:val="TOC1"/>
        <w:rPr>
          <w:rFonts w:eastAsiaTheme="minorEastAsia" w:cs="Arial"/>
          <w:b w:val="0"/>
          <w:szCs w:val="20"/>
          <w:lang w:eastAsia="sv-SE"/>
        </w:rPr>
      </w:pPr>
    </w:p>
    <w:p w14:paraId="5C6E36BA" w14:textId="0B55C8A0" w:rsidR="00C01F33" w:rsidRPr="00D17933" w:rsidRDefault="008E065E" w:rsidP="006E062C">
      <w:pPr>
        <w:rPr>
          <w:lang w:val="en-US"/>
        </w:rPr>
      </w:pPr>
      <w:r w:rsidRPr="00597AB4">
        <w:rPr>
          <w:rFonts w:ascii="Arial" w:hAnsi="Arial" w:cs="Arial"/>
          <w:b/>
          <w:bCs/>
          <w:sz w:val="20"/>
          <w:szCs w:val="20"/>
        </w:rPr>
        <w:fldChar w:fldCharType="end"/>
      </w:r>
    </w:p>
    <w:p w14:paraId="0B366EDE" w14:textId="77777777" w:rsidR="00F507D1" w:rsidRPr="00CE0424" w:rsidRDefault="00F507D1" w:rsidP="00CE0424">
      <w:pPr>
        <w:pStyle w:val="Heading1"/>
      </w:pPr>
      <w:bookmarkStart w:id="12" w:name="_In-sequence_SDU_delivery"/>
      <w:bookmarkEnd w:id="12"/>
      <w:r w:rsidRPr="00CE0424">
        <w:t>References</w:t>
      </w:r>
    </w:p>
    <w:p w14:paraId="4247E056" w14:textId="78782045" w:rsidR="005F3025" w:rsidRPr="00597AB4" w:rsidRDefault="008C2175" w:rsidP="00311702">
      <w:pPr>
        <w:pStyle w:val="Reference"/>
        <w:rPr>
          <w:rFonts w:ascii="Arial" w:hAnsi="Arial" w:cs="Arial"/>
          <w:sz w:val="20"/>
          <w:szCs w:val="20"/>
          <w:lang w:val="en-US"/>
        </w:rPr>
      </w:pPr>
      <w:bookmarkStart w:id="13" w:name="_Ref486275008"/>
      <w:bookmarkStart w:id="14" w:name="_Ref174151459"/>
      <w:bookmarkStart w:id="15" w:name="_Ref189809556"/>
      <w:r w:rsidRPr="00597AB4">
        <w:rPr>
          <w:rFonts w:ascii="Arial" w:hAnsi="Arial" w:cs="Arial"/>
          <w:sz w:val="20"/>
          <w:szCs w:val="20"/>
          <w:lang w:val="en-US"/>
        </w:rPr>
        <w:t>RP-170732, “New WI on Further NB-IoT enhancements”, RAN #75.</w:t>
      </w:r>
      <w:bookmarkEnd w:id="13"/>
      <w:r w:rsidRPr="00597AB4">
        <w:rPr>
          <w:rFonts w:ascii="Arial" w:hAnsi="Arial" w:cs="Arial"/>
          <w:sz w:val="20"/>
          <w:szCs w:val="20"/>
          <w:lang w:val="en-US"/>
        </w:rPr>
        <w:t xml:space="preserve"> </w:t>
      </w:r>
    </w:p>
    <w:p w14:paraId="63BFDF3A" w14:textId="77777777" w:rsidR="00EF0862" w:rsidRPr="0040115C" w:rsidRDefault="00EF0862" w:rsidP="00EF0862">
      <w:pPr>
        <w:pStyle w:val="Reference"/>
        <w:overflowPunct w:val="0"/>
        <w:autoSpaceDE w:val="0"/>
        <w:autoSpaceDN w:val="0"/>
        <w:adjustRightInd w:val="0"/>
        <w:spacing w:after="120" w:line="240" w:lineRule="auto"/>
        <w:jc w:val="both"/>
        <w:textAlignment w:val="baseline"/>
        <w:rPr>
          <w:rFonts w:ascii="Arial" w:hAnsi="Arial" w:cs="Arial"/>
          <w:sz w:val="20"/>
          <w:szCs w:val="20"/>
          <w:lang w:val="en-US"/>
        </w:rPr>
      </w:pPr>
      <w:bookmarkStart w:id="16" w:name="OLE_LINK44"/>
      <w:bookmarkStart w:id="17" w:name="OLE_LINK45"/>
      <w:bookmarkEnd w:id="14"/>
      <w:bookmarkEnd w:id="15"/>
      <w:r w:rsidRPr="0040115C">
        <w:rPr>
          <w:rFonts w:ascii="Arial" w:hAnsi="Arial" w:cs="Arial"/>
          <w:sz w:val="20"/>
          <w:szCs w:val="20"/>
          <w:lang w:val="en-US"/>
        </w:rPr>
        <w:t>3GPP TS 36.211, “Physical channels and modulation</w:t>
      </w:r>
      <w:bookmarkEnd w:id="16"/>
      <w:bookmarkEnd w:id="17"/>
      <w:r w:rsidRPr="0040115C">
        <w:rPr>
          <w:rFonts w:ascii="Arial" w:hAnsi="Arial" w:cs="Arial"/>
          <w:sz w:val="20"/>
          <w:szCs w:val="20"/>
          <w:lang w:val="en-US"/>
        </w:rPr>
        <w:t>”, v14.2.0.</w:t>
      </w:r>
    </w:p>
    <w:p w14:paraId="28240233" w14:textId="4E4BC1BA" w:rsidR="003D742D" w:rsidRPr="00597AB4" w:rsidRDefault="003D742D" w:rsidP="003D742D">
      <w:pPr>
        <w:pStyle w:val="Reference"/>
        <w:rPr>
          <w:rFonts w:ascii="Arial" w:hAnsi="Arial" w:cs="Arial"/>
          <w:sz w:val="20"/>
          <w:szCs w:val="20"/>
          <w:lang w:val="en-US"/>
        </w:rPr>
      </w:pPr>
      <w:r w:rsidRPr="00597AB4">
        <w:rPr>
          <w:rFonts w:ascii="Arial" w:hAnsi="Arial" w:cs="Arial"/>
          <w:sz w:val="20"/>
          <w:szCs w:val="20"/>
          <w:lang w:val="en-US"/>
        </w:rPr>
        <w:lastRenderedPageBreak/>
        <w:t>3GPP TS 36.321: “Evolved Universal Terrestrial Radio Access (E-UTRA); Medium Access Control (MAC); Protocol specification”.</w:t>
      </w:r>
    </w:p>
    <w:p w14:paraId="4B53D5E2" w14:textId="23785DFD" w:rsidR="00CE39F3" w:rsidRPr="00597AB4" w:rsidRDefault="00CE39F3" w:rsidP="003D742D">
      <w:pPr>
        <w:pStyle w:val="Reference"/>
        <w:rPr>
          <w:rFonts w:ascii="Arial" w:hAnsi="Arial" w:cs="Arial"/>
          <w:sz w:val="20"/>
          <w:szCs w:val="20"/>
          <w:lang w:val="en-US"/>
        </w:rPr>
      </w:pPr>
      <w:r w:rsidRPr="00597AB4">
        <w:rPr>
          <w:rFonts w:ascii="Arial" w:hAnsi="Arial" w:cs="Arial"/>
          <w:sz w:val="20"/>
          <w:szCs w:val="20"/>
          <w:lang w:val="en-US"/>
        </w:rPr>
        <w:t>R1-1712631 “</w:t>
      </w:r>
      <w:r w:rsidR="00FF083A" w:rsidRPr="00597AB4">
        <w:rPr>
          <w:rFonts w:ascii="Arial" w:hAnsi="Arial" w:cs="Arial"/>
          <w:sz w:val="20"/>
          <w:szCs w:val="20"/>
          <w:lang w:val="en-US"/>
        </w:rPr>
        <w:t>On the UL of NB-IoT TDD</w:t>
      </w:r>
      <w:r w:rsidRPr="00597AB4">
        <w:rPr>
          <w:rFonts w:ascii="Arial" w:hAnsi="Arial" w:cs="Arial"/>
          <w:sz w:val="20"/>
          <w:szCs w:val="20"/>
          <w:lang w:val="en-US"/>
        </w:rPr>
        <w:t>”</w:t>
      </w:r>
      <w:r w:rsidR="00FF083A" w:rsidRPr="00597AB4">
        <w:rPr>
          <w:rFonts w:ascii="Arial" w:hAnsi="Arial" w:cs="Arial"/>
          <w:sz w:val="20"/>
          <w:szCs w:val="20"/>
          <w:lang w:val="en-US"/>
        </w:rPr>
        <w:t>, RAN1 #90</w:t>
      </w:r>
    </w:p>
    <w:p w14:paraId="0260081F" w14:textId="77777777" w:rsidR="003A7EF3" w:rsidRPr="00D17933" w:rsidRDefault="003A7EF3" w:rsidP="00CE0424">
      <w:pPr>
        <w:pStyle w:val="BodyText"/>
        <w:rPr>
          <w:lang w:val="en-US"/>
        </w:rPr>
      </w:pPr>
    </w:p>
    <w:sectPr w:rsidR="003A7EF3" w:rsidRPr="00D17933">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049FBD" w14:textId="77777777" w:rsidR="00EE2C85" w:rsidRDefault="00EE2C85">
      <w:r>
        <w:separator/>
      </w:r>
    </w:p>
  </w:endnote>
  <w:endnote w:type="continuationSeparator" w:id="0">
    <w:p w14:paraId="164FFFC7" w14:textId="77777777" w:rsidR="00EE2C85" w:rsidRDefault="00EE2C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S PGothic">
    <w:panose1 w:val="020B0600070205080204"/>
    <w:charset w:val="80"/>
    <w:family w:val="swiss"/>
    <w:pitch w:val="variable"/>
    <w:sig w:usb0="E00002FF" w:usb1="6AC7FDFB" w:usb2="00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7A40FC" w14:textId="78D23720"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5689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5689B">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AB588A" w14:textId="77777777" w:rsidR="00EE2C85" w:rsidRDefault="00EE2C85">
      <w:r>
        <w:separator/>
      </w:r>
    </w:p>
  </w:footnote>
  <w:footnote w:type="continuationSeparator" w:id="0">
    <w:p w14:paraId="272A3053" w14:textId="77777777" w:rsidR="00EE2C85" w:rsidRDefault="00EE2C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509CF"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BD82671"/>
    <w:multiLevelType w:val="hybridMultilevel"/>
    <w:tmpl w:val="ECFC19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5"/>
  </w:num>
  <w:num w:numId="10">
    <w:abstractNumId w:val="3"/>
  </w:num>
  <w:num w:numId="11">
    <w:abstractNumId w:val="2"/>
  </w:num>
  <w:num w:numId="12">
    <w:abstractNumId w:val="1"/>
  </w:num>
  <w:num w:numId="13">
    <w:abstractNumId w:val="13"/>
  </w:num>
  <w:num w:numId="14">
    <w:abstractNumId w:val="0"/>
  </w:num>
  <w:num w:numId="15">
    <w:abstractNumId w:val="15"/>
  </w:num>
  <w:num w:numId="16">
    <w:abstractNumId w:val="6"/>
  </w:num>
  <w:num w:numId="17">
    <w:abstractNumId w:val="13"/>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0F7211"/>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51D2"/>
    <w:rsid w:val="00197DF9"/>
    <w:rsid w:val="001A1987"/>
    <w:rsid w:val="001A2564"/>
    <w:rsid w:val="001A6173"/>
    <w:rsid w:val="001A6CBA"/>
    <w:rsid w:val="001B0A34"/>
    <w:rsid w:val="001B0C1F"/>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07F"/>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0876"/>
    <w:rsid w:val="002B24D6"/>
    <w:rsid w:val="002C41E6"/>
    <w:rsid w:val="002D071A"/>
    <w:rsid w:val="002D34B2"/>
    <w:rsid w:val="002D7637"/>
    <w:rsid w:val="002E17F2"/>
    <w:rsid w:val="002E47EE"/>
    <w:rsid w:val="002E7CAE"/>
    <w:rsid w:val="002F2771"/>
    <w:rsid w:val="002F37A9"/>
    <w:rsid w:val="002F3E1F"/>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D742D"/>
    <w:rsid w:val="003E15FA"/>
    <w:rsid w:val="003E55E4"/>
    <w:rsid w:val="003E74E3"/>
    <w:rsid w:val="003F05C7"/>
    <w:rsid w:val="003F2CD4"/>
    <w:rsid w:val="003F6BBE"/>
    <w:rsid w:val="004000E8"/>
    <w:rsid w:val="0040115C"/>
    <w:rsid w:val="00402E2B"/>
    <w:rsid w:val="0040512B"/>
    <w:rsid w:val="00405CA5"/>
    <w:rsid w:val="00407CD3"/>
    <w:rsid w:val="00410134"/>
    <w:rsid w:val="00410B72"/>
    <w:rsid w:val="00410F18"/>
    <w:rsid w:val="0041263E"/>
    <w:rsid w:val="00413AAC"/>
    <w:rsid w:val="00414B72"/>
    <w:rsid w:val="00421105"/>
    <w:rsid w:val="004235BA"/>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0B73"/>
    <w:rsid w:val="004F2078"/>
    <w:rsid w:val="004F4DA3"/>
    <w:rsid w:val="00506557"/>
    <w:rsid w:val="0050677A"/>
    <w:rsid w:val="005108D8"/>
    <w:rsid w:val="005116F9"/>
    <w:rsid w:val="005153A7"/>
    <w:rsid w:val="005219CF"/>
    <w:rsid w:val="00534B59"/>
    <w:rsid w:val="00536759"/>
    <w:rsid w:val="00537C62"/>
    <w:rsid w:val="00545B36"/>
    <w:rsid w:val="00546970"/>
    <w:rsid w:val="00554E19"/>
    <w:rsid w:val="0056121F"/>
    <w:rsid w:val="00572505"/>
    <w:rsid w:val="00582809"/>
    <w:rsid w:val="0058798C"/>
    <w:rsid w:val="005900FA"/>
    <w:rsid w:val="005935A4"/>
    <w:rsid w:val="005948C2"/>
    <w:rsid w:val="00595DCA"/>
    <w:rsid w:val="0059779B"/>
    <w:rsid w:val="00597AB4"/>
    <w:rsid w:val="005A209A"/>
    <w:rsid w:val="005A662D"/>
    <w:rsid w:val="005B35D7"/>
    <w:rsid w:val="005B392A"/>
    <w:rsid w:val="005B3AA3"/>
    <w:rsid w:val="005B591A"/>
    <w:rsid w:val="005B6F83"/>
    <w:rsid w:val="005C39B1"/>
    <w:rsid w:val="005C74FB"/>
    <w:rsid w:val="005D1602"/>
    <w:rsid w:val="005E385F"/>
    <w:rsid w:val="005E4AC7"/>
    <w:rsid w:val="005E5B81"/>
    <w:rsid w:val="005F2CB1"/>
    <w:rsid w:val="005F3025"/>
    <w:rsid w:val="005F4E85"/>
    <w:rsid w:val="005F618C"/>
    <w:rsid w:val="005F70BD"/>
    <w:rsid w:val="0060283C"/>
    <w:rsid w:val="00604F14"/>
    <w:rsid w:val="00611B83"/>
    <w:rsid w:val="00613257"/>
    <w:rsid w:val="00620A71"/>
    <w:rsid w:val="00620D80"/>
    <w:rsid w:val="006234A6"/>
    <w:rsid w:val="00630001"/>
    <w:rsid w:val="006311B3"/>
    <w:rsid w:val="00631CA0"/>
    <w:rsid w:val="0063284C"/>
    <w:rsid w:val="006343D1"/>
    <w:rsid w:val="00636398"/>
    <w:rsid w:val="006368D3"/>
    <w:rsid w:val="006377EC"/>
    <w:rsid w:val="0064151F"/>
    <w:rsid w:val="00641533"/>
    <w:rsid w:val="0064208D"/>
    <w:rsid w:val="00643475"/>
    <w:rsid w:val="0064396A"/>
    <w:rsid w:val="0064624E"/>
    <w:rsid w:val="00650AB9"/>
    <w:rsid w:val="00655733"/>
    <w:rsid w:val="00655ACD"/>
    <w:rsid w:val="0065689B"/>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C7527"/>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277F8"/>
    <w:rsid w:val="007348B1"/>
    <w:rsid w:val="007362A6"/>
    <w:rsid w:val="00736D7D"/>
    <w:rsid w:val="00740E58"/>
    <w:rsid w:val="007445A0"/>
    <w:rsid w:val="0074524B"/>
    <w:rsid w:val="00747D8B"/>
    <w:rsid w:val="00751228"/>
    <w:rsid w:val="007571E1"/>
    <w:rsid w:val="007604B2"/>
    <w:rsid w:val="00765281"/>
    <w:rsid w:val="00766BAD"/>
    <w:rsid w:val="00771C53"/>
    <w:rsid w:val="007730BD"/>
    <w:rsid w:val="007755F2"/>
    <w:rsid w:val="00776971"/>
    <w:rsid w:val="0078177E"/>
    <w:rsid w:val="0078304C"/>
    <w:rsid w:val="00783673"/>
    <w:rsid w:val="00785490"/>
    <w:rsid w:val="007925EA"/>
    <w:rsid w:val="00792750"/>
    <w:rsid w:val="00793CD8"/>
    <w:rsid w:val="00795C92"/>
    <w:rsid w:val="00796231"/>
    <w:rsid w:val="007977D2"/>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23D7"/>
    <w:rsid w:val="00803FAE"/>
    <w:rsid w:val="00804EEF"/>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16B2"/>
    <w:rsid w:val="008C2017"/>
    <w:rsid w:val="008C2175"/>
    <w:rsid w:val="008C4958"/>
    <w:rsid w:val="008C4BAA"/>
    <w:rsid w:val="008C6AE8"/>
    <w:rsid w:val="008C7573"/>
    <w:rsid w:val="008D34F1"/>
    <w:rsid w:val="008D39D8"/>
    <w:rsid w:val="008D4F82"/>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22088"/>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39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83A80"/>
    <w:rsid w:val="00A92879"/>
    <w:rsid w:val="00A9442A"/>
    <w:rsid w:val="00AA016F"/>
    <w:rsid w:val="00AA1ED6"/>
    <w:rsid w:val="00AA51D6"/>
    <w:rsid w:val="00AB0BC8"/>
    <w:rsid w:val="00AB11CA"/>
    <w:rsid w:val="00AB14D9"/>
    <w:rsid w:val="00AB4AB8"/>
    <w:rsid w:val="00AB60A6"/>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5DC7"/>
    <w:rsid w:val="00B360B3"/>
    <w:rsid w:val="00B372AA"/>
    <w:rsid w:val="00B40445"/>
    <w:rsid w:val="00B41888"/>
    <w:rsid w:val="00B45A52"/>
    <w:rsid w:val="00B46175"/>
    <w:rsid w:val="00B602B7"/>
    <w:rsid w:val="00B606D8"/>
    <w:rsid w:val="00B6188F"/>
    <w:rsid w:val="00B664C7"/>
    <w:rsid w:val="00B67E23"/>
    <w:rsid w:val="00B739F6"/>
    <w:rsid w:val="00B81A6C"/>
    <w:rsid w:val="00B85DE5"/>
    <w:rsid w:val="00B90F73"/>
    <w:rsid w:val="00B93B59"/>
    <w:rsid w:val="00B9406A"/>
    <w:rsid w:val="00BA06B9"/>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03B7"/>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1C6A"/>
    <w:rsid w:val="00C24345"/>
    <w:rsid w:val="00C279B5"/>
    <w:rsid w:val="00C27C45"/>
    <w:rsid w:val="00C3719D"/>
    <w:rsid w:val="00C502F1"/>
    <w:rsid w:val="00C50504"/>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2533"/>
    <w:rsid w:val="00CE39F3"/>
    <w:rsid w:val="00CE7561"/>
    <w:rsid w:val="00CF1354"/>
    <w:rsid w:val="00CF2E53"/>
    <w:rsid w:val="00CF3B1F"/>
    <w:rsid w:val="00CF3BF6"/>
    <w:rsid w:val="00CF625B"/>
    <w:rsid w:val="00CF687E"/>
    <w:rsid w:val="00D0349B"/>
    <w:rsid w:val="00D10249"/>
    <w:rsid w:val="00D115C3"/>
    <w:rsid w:val="00D11897"/>
    <w:rsid w:val="00D13135"/>
    <w:rsid w:val="00D13E4E"/>
    <w:rsid w:val="00D17933"/>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670D9"/>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C55D3"/>
    <w:rsid w:val="00DE5608"/>
    <w:rsid w:val="00DE58D0"/>
    <w:rsid w:val="00DE654F"/>
    <w:rsid w:val="00DE7363"/>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E2C85"/>
    <w:rsid w:val="00EF0862"/>
    <w:rsid w:val="00EF18FE"/>
    <w:rsid w:val="00EF5787"/>
    <w:rsid w:val="00EF60D0"/>
    <w:rsid w:val="00F02A5E"/>
    <w:rsid w:val="00F0528D"/>
    <w:rsid w:val="00F06C67"/>
    <w:rsid w:val="00F06DFD"/>
    <w:rsid w:val="00F071D1"/>
    <w:rsid w:val="00F07533"/>
    <w:rsid w:val="00F10629"/>
    <w:rsid w:val="00F106EE"/>
    <w:rsid w:val="00F15FA5"/>
    <w:rsid w:val="00F209B7"/>
    <w:rsid w:val="00F2376F"/>
    <w:rsid w:val="00F243D8"/>
    <w:rsid w:val="00F30828"/>
    <w:rsid w:val="00F313D6"/>
    <w:rsid w:val="00F40F0C"/>
    <w:rsid w:val="00F4766C"/>
    <w:rsid w:val="00F507D1"/>
    <w:rsid w:val="00F509D6"/>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297"/>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083A"/>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12BC48"/>
  <w15:chartTrackingRefBased/>
  <w15:docId w15:val="{63493D6F-2FA9-4B42-A287-19DA4B8BA7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65689B"/>
    <w:pPr>
      <w:spacing w:after="160" w:line="259" w:lineRule="auto"/>
    </w:pPr>
    <w:rPr>
      <w:rFonts w:asciiTheme="minorHAnsi" w:eastAsiaTheme="minorHAnsi" w:hAnsiTheme="minorHAnsi" w:cstheme="minorBidi"/>
      <w:sz w:val="22"/>
      <w:szCs w:val="22"/>
      <w:lang w:val="en-GB"/>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65689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5689B"/>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pPr>
  </w:style>
  <w:style w:type="paragraph" w:customStyle="1" w:styleId="B2">
    <w:name w:val="B2"/>
    <w:basedOn w:val="List2"/>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pPr>
    <w:rPr>
      <w:sz w:val="18"/>
    </w:rPr>
  </w:style>
  <w:style w:type="paragraph" w:customStyle="1" w:styleId="TAC">
    <w:name w:val="TAC"/>
    <w:basedOn w:val="TAL"/>
    <w:link w:val="TACChar"/>
    <w:rsid w:val="00A66F55"/>
    <w:pPr>
      <w:jc w:val="center"/>
    </w:pPr>
  </w:style>
  <w:style w:type="paragraph" w:customStyle="1" w:styleId="TAH">
    <w:name w:val="TAH"/>
    <w:basedOn w:val="TAC"/>
    <w:link w:val="TAHCar"/>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character" w:customStyle="1" w:styleId="TACChar">
    <w:name w:val="TAC Char"/>
    <w:link w:val="TAC"/>
    <w:locked/>
    <w:rsid w:val="001B0C1F"/>
    <w:rPr>
      <w:rFonts w:ascii="Arial" w:hAnsi="Arial"/>
      <w:sz w:val="18"/>
      <w:lang w:val="en-GB"/>
    </w:rPr>
  </w:style>
  <w:style w:type="character" w:customStyle="1" w:styleId="TAHCar">
    <w:name w:val="TAH Car"/>
    <w:link w:val="TAH"/>
    <w:locked/>
    <w:rsid w:val="001B0C1F"/>
    <w:rPr>
      <w:rFonts w:ascii="Arial" w:hAnsi="Arial"/>
      <w:b/>
      <w:sz w:val="18"/>
      <w:lang w:val="en-GB"/>
    </w:rPr>
  </w:style>
  <w:style w:type="paragraph" w:customStyle="1" w:styleId="CRCoverPage">
    <w:name w:val="CR Cover Page"/>
    <w:link w:val="CRCoverPageZchn"/>
    <w:rsid w:val="000F7211"/>
    <w:pPr>
      <w:spacing w:after="120"/>
    </w:pPr>
    <w:rPr>
      <w:rFonts w:ascii="Arial" w:hAnsi="Arial"/>
      <w:lang w:val="en-GB"/>
    </w:rPr>
  </w:style>
  <w:style w:type="character" w:customStyle="1" w:styleId="CRCoverPageZchn">
    <w:name w:val="CR Cover Page Zchn"/>
    <w:link w:val="CRCoverPage"/>
    <w:locked/>
    <w:rsid w:val="000F7211"/>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924925">
      <w:bodyDiv w:val="1"/>
      <w:marLeft w:val="0"/>
      <w:marRight w:val="0"/>
      <w:marTop w:val="0"/>
      <w:marBottom w:val="0"/>
      <w:divBdr>
        <w:top w:val="none" w:sz="0" w:space="0" w:color="auto"/>
        <w:left w:val="none" w:sz="0" w:space="0" w:color="auto"/>
        <w:bottom w:val="none" w:sz="0" w:space="0" w:color="auto"/>
        <w:right w:val="none" w:sz="0" w:space="0" w:color="auto"/>
      </w:divBdr>
    </w:div>
    <w:div w:id="317880891">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2133815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styles" Target="styl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5NUHHDQN7SK2-1-181235</_dlc_DocId>
    <_dlc_DocIdUrl xmlns="08b2df90-05d3-4030-90d4-c9feeb4a1cd9">
      <Url>https://ericoll.internal.ericsson.com/sites/star/_layouts/DocIdRedir.aspx?ID=5NUHHDQN7SK2-1-181235</Url>
      <Description>5NUHHDQN7SK2-1-181235</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5.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6.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7.xml><?xml version="1.0" encoding="utf-8"?>
<ds:datastoreItem xmlns:ds="http://schemas.openxmlformats.org/officeDocument/2006/customXml" ds:itemID="{C8072FFF-367C-46E8-B98A-DF46ACAE16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248</TotalTime>
  <Pages>4</Pages>
  <Words>1025</Words>
  <Characters>5846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Ericsson</cp:lastModifiedBy>
  <cp:revision>47</cp:revision>
  <cp:lastPrinted>2008-01-31T16:09:00Z</cp:lastPrinted>
  <dcterms:created xsi:type="dcterms:W3CDTF">2017-06-26T19:11:00Z</dcterms:created>
  <dcterms:modified xsi:type="dcterms:W3CDTF">2017-09-28T11:44:00Z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66be15d4-0f9a-447b-8577-139749c192f9</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