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B1D56E" w14:textId="6031FAFE" w:rsidR="00372205" w:rsidRPr="00B266B0" w:rsidRDefault="00372205" w:rsidP="03CE7A9B">
      <w:pPr>
        <w:pStyle w:val="Header"/>
        <w:tabs>
          <w:tab w:val="right" w:pos="9639"/>
        </w:tabs>
        <w:rPr>
          <w:i/>
          <w:iCs/>
          <w:noProof w:val="0"/>
          <w:sz w:val="24"/>
          <w:szCs w:val="24"/>
        </w:rPr>
      </w:pPr>
      <w:r w:rsidRPr="03CE7A9B">
        <w:rPr>
          <w:noProof w:val="0"/>
          <w:sz w:val="24"/>
          <w:szCs w:val="24"/>
        </w:rPr>
        <w:t>3GPP T</w:t>
      </w:r>
      <w:bookmarkStart w:id="0" w:name="_Ref452454252"/>
      <w:bookmarkEnd w:id="0"/>
      <w:r w:rsidRPr="03CE7A9B">
        <w:rPr>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3CE7A9B">
        <w:rPr>
          <w:noProof w:val="0"/>
          <w:sz w:val="24"/>
          <w:szCs w:val="24"/>
        </w:rPr>
        <w:t>R2-17</w:t>
      </w:r>
      <w:r w:rsidR="00606D40">
        <w:rPr>
          <w:noProof w:val="0"/>
          <w:sz w:val="24"/>
          <w:szCs w:val="24"/>
        </w:rPr>
        <w:t>04328</w:t>
      </w:r>
    </w:p>
    <w:p w14:paraId="5B55CDBA" w14:textId="77777777" w:rsidR="00372205" w:rsidRPr="00B266B0" w:rsidRDefault="03CE7A9B" w:rsidP="03CE7A9B">
      <w:pPr>
        <w:pStyle w:val="Header"/>
        <w:tabs>
          <w:tab w:val="right" w:pos="9639"/>
        </w:tabs>
        <w:rPr>
          <w:noProof w:val="0"/>
          <w:sz w:val="24"/>
          <w:szCs w:val="24"/>
        </w:rPr>
      </w:pPr>
      <w:r w:rsidRPr="00A1432E">
        <w:rPr>
          <w:noProof w:val="0"/>
          <w:sz w:val="24"/>
          <w:szCs w:val="24"/>
        </w:rPr>
        <w:t>Hangzhou, China, 15 - 19 May 2017</w:t>
      </w:r>
    </w:p>
    <w:p w14:paraId="4C5F2049" w14:textId="77777777" w:rsidR="00CD4C7B" w:rsidRPr="00B266B0" w:rsidRDefault="00CD4C7B" w:rsidP="00CD4C7B">
      <w:pPr>
        <w:pStyle w:val="Header"/>
        <w:rPr>
          <w:bCs/>
          <w:noProof w:val="0"/>
          <w:sz w:val="24"/>
        </w:rPr>
      </w:pPr>
    </w:p>
    <w:p w14:paraId="78666662" w14:textId="77777777" w:rsidR="00CD4C7B" w:rsidRPr="00B266B0" w:rsidRDefault="00CD4C7B" w:rsidP="00CD4C7B">
      <w:pPr>
        <w:pStyle w:val="Header"/>
        <w:rPr>
          <w:bCs/>
          <w:noProof w:val="0"/>
          <w:sz w:val="24"/>
        </w:rPr>
      </w:pPr>
    </w:p>
    <w:p w14:paraId="0B72C3F4" w14:textId="4B9B5C3B" w:rsidR="00CD4C7B" w:rsidRPr="00B266B0" w:rsidRDefault="00CD4C7B" w:rsidP="03CE7A9B">
      <w:pPr>
        <w:pStyle w:val="CRCoverPage"/>
        <w:tabs>
          <w:tab w:val="left" w:pos="1985"/>
        </w:tabs>
        <w:rPr>
          <w:rFonts w:eastAsia="Arial" w:cs="Arial"/>
          <w:b/>
          <w:bCs/>
          <w:sz w:val="24"/>
          <w:szCs w:val="24"/>
          <w:lang w:eastAsia="ja-JP"/>
        </w:rPr>
      </w:pPr>
      <w:r w:rsidRPr="03CE7A9B">
        <w:rPr>
          <w:rFonts w:eastAsia="Arial" w:cs="Arial"/>
          <w:b/>
          <w:bCs/>
          <w:sz w:val="24"/>
          <w:szCs w:val="24"/>
        </w:rPr>
        <w:t>Agenda item:</w:t>
      </w:r>
      <w:r>
        <w:rPr>
          <w:rFonts w:cs="Arial"/>
          <w:b/>
          <w:bCs/>
          <w:sz w:val="24"/>
        </w:rPr>
        <w:tab/>
      </w:r>
      <w:r w:rsidR="001266CA" w:rsidRPr="03CE7A9B">
        <w:rPr>
          <w:rFonts w:eastAsia="Arial" w:cs="Arial"/>
          <w:b/>
          <w:bCs/>
          <w:sz w:val="24"/>
          <w:szCs w:val="24"/>
          <w:lang w:eastAsia="ja-JP"/>
        </w:rPr>
        <w:t>9.1.2.3</w:t>
      </w:r>
    </w:p>
    <w:p w14:paraId="4CD40EFA" w14:textId="596832FD" w:rsidR="00CD4C7B" w:rsidRPr="00B266B0" w:rsidRDefault="00CD4C7B" w:rsidP="03CE7A9B">
      <w:pPr>
        <w:tabs>
          <w:tab w:val="left" w:pos="1985"/>
        </w:tabs>
        <w:ind w:left="1985" w:hanging="1985"/>
        <w:rPr>
          <w:rFonts w:ascii="Arial" w:eastAsia="Arial" w:hAnsi="Arial" w:cs="Arial"/>
          <w:b/>
          <w:bCs/>
          <w:sz w:val="24"/>
          <w:szCs w:val="24"/>
        </w:rPr>
      </w:pPr>
      <w:r w:rsidRPr="03CE7A9B">
        <w:rPr>
          <w:rFonts w:ascii="Arial" w:eastAsia="Arial" w:hAnsi="Arial" w:cs="Arial"/>
          <w:b/>
          <w:bCs/>
          <w:sz w:val="24"/>
          <w:szCs w:val="24"/>
        </w:rPr>
        <w:t>Source:</w:t>
      </w:r>
      <w:r w:rsidRPr="00B266B0">
        <w:rPr>
          <w:rFonts w:ascii="Arial" w:hAnsi="Arial" w:cs="Arial"/>
          <w:b/>
          <w:bCs/>
          <w:sz w:val="24"/>
        </w:rPr>
        <w:tab/>
      </w:r>
      <w:r w:rsidR="001741A0" w:rsidRPr="03CE7A9B">
        <w:rPr>
          <w:rFonts w:ascii="Arial" w:eastAsia="Arial" w:hAnsi="Arial" w:cs="Arial"/>
          <w:b/>
          <w:bCs/>
          <w:sz w:val="24"/>
          <w:szCs w:val="24"/>
        </w:rPr>
        <w:t>Nokia</w:t>
      </w:r>
      <w:r w:rsidR="00090468" w:rsidRPr="03CE7A9B">
        <w:rPr>
          <w:rFonts w:ascii="Arial" w:eastAsia="Arial" w:hAnsi="Arial" w:cs="Arial"/>
          <w:b/>
          <w:bCs/>
          <w:sz w:val="24"/>
          <w:szCs w:val="24"/>
        </w:rPr>
        <w:t>, Alcatel-Lucent Shanghai Bell</w:t>
      </w:r>
      <w:r w:rsidR="00CD72CA">
        <w:rPr>
          <w:rFonts w:ascii="Arial" w:eastAsia="Arial" w:hAnsi="Arial" w:cs="Arial"/>
          <w:b/>
          <w:bCs/>
          <w:sz w:val="24"/>
          <w:szCs w:val="24"/>
        </w:rPr>
        <w:t>, Ericsson</w:t>
      </w:r>
      <w:bookmarkStart w:id="1" w:name="_GoBack"/>
      <w:bookmarkEnd w:id="1"/>
    </w:p>
    <w:p w14:paraId="7E4F7485" w14:textId="2D936A65" w:rsidR="00CD4C7B" w:rsidRDefault="00CD4C7B" w:rsidP="03CE7A9B">
      <w:pPr>
        <w:ind w:left="1985" w:hanging="1985"/>
        <w:rPr>
          <w:rFonts w:ascii="Arial" w:eastAsia="Arial" w:hAnsi="Arial" w:cs="Arial"/>
          <w:b/>
          <w:bCs/>
          <w:sz w:val="24"/>
          <w:szCs w:val="24"/>
        </w:rPr>
      </w:pPr>
      <w:r w:rsidRPr="03CE7A9B">
        <w:rPr>
          <w:rFonts w:ascii="Arial" w:eastAsia="Arial" w:hAnsi="Arial" w:cs="Arial"/>
          <w:b/>
          <w:bCs/>
          <w:sz w:val="24"/>
          <w:szCs w:val="24"/>
        </w:rPr>
        <w:t>Title:</w:t>
      </w:r>
      <w:r w:rsidRPr="00B266B0">
        <w:rPr>
          <w:rFonts w:ascii="Arial" w:hAnsi="Arial" w:cs="Arial"/>
          <w:b/>
          <w:bCs/>
          <w:sz w:val="24"/>
        </w:rPr>
        <w:tab/>
      </w:r>
      <w:r w:rsidR="001266CA" w:rsidRPr="03CE7A9B">
        <w:rPr>
          <w:rFonts w:ascii="Arial" w:eastAsia="Arial" w:hAnsi="Arial" w:cs="Arial"/>
          <w:b/>
          <w:bCs/>
          <w:sz w:val="24"/>
          <w:szCs w:val="24"/>
        </w:rPr>
        <w:t>Path switch between direct and indirect communications</w:t>
      </w:r>
    </w:p>
    <w:p w14:paraId="4935FB24" w14:textId="3F0B7044" w:rsidR="00CD4C7B" w:rsidRPr="00B266B0" w:rsidRDefault="00CD4C7B" w:rsidP="03CE7A9B">
      <w:pPr>
        <w:ind w:left="1985" w:hanging="1985"/>
        <w:rPr>
          <w:rFonts w:ascii="Arial" w:eastAsia="Arial" w:hAnsi="Arial" w:cs="Arial"/>
          <w:b/>
          <w:bCs/>
          <w:sz w:val="24"/>
          <w:szCs w:val="24"/>
        </w:rPr>
      </w:pPr>
      <w:r w:rsidRPr="03CE7A9B">
        <w:rPr>
          <w:rFonts w:ascii="Arial" w:eastAsia="Arial" w:hAnsi="Arial" w:cs="Arial"/>
          <w:b/>
          <w:bCs/>
          <w:sz w:val="24"/>
          <w:szCs w:val="24"/>
        </w:rPr>
        <w:t>WID/SID:</w:t>
      </w:r>
      <w:r>
        <w:rPr>
          <w:rFonts w:ascii="Arial" w:hAnsi="Arial" w:cs="Arial"/>
          <w:b/>
          <w:bCs/>
          <w:sz w:val="24"/>
        </w:rPr>
        <w:tab/>
      </w:r>
      <w:r w:rsidR="00C25018" w:rsidRPr="03CE7A9B">
        <w:rPr>
          <w:rFonts w:ascii="Arial" w:eastAsia="Arial" w:hAnsi="Arial" w:cs="Arial"/>
          <w:b/>
          <w:bCs/>
          <w:sz w:val="24"/>
          <w:szCs w:val="24"/>
        </w:rPr>
        <w:t>FS_feD2D_IoT_relay_wearable</w:t>
      </w:r>
      <w:r w:rsidR="00A71455" w:rsidRPr="03CE7A9B">
        <w:rPr>
          <w:rFonts w:ascii="Arial" w:eastAsia="Arial" w:hAnsi="Arial" w:cs="Arial"/>
          <w:b/>
          <w:bCs/>
          <w:sz w:val="24"/>
          <w:szCs w:val="24"/>
        </w:rPr>
        <w:t xml:space="preserve"> - Release 15</w:t>
      </w:r>
    </w:p>
    <w:p w14:paraId="36F0726A" w14:textId="77777777" w:rsidR="00CD4C7B" w:rsidRPr="00B266B0" w:rsidRDefault="00CD4C7B" w:rsidP="03CE7A9B">
      <w:pPr>
        <w:tabs>
          <w:tab w:val="left" w:pos="1985"/>
        </w:tabs>
        <w:rPr>
          <w:rFonts w:ascii="Arial" w:eastAsia="Arial" w:hAnsi="Arial" w:cs="Arial"/>
          <w:b/>
          <w:bCs/>
          <w:sz w:val="24"/>
          <w:szCs w:val="24"/>
        </w:rPr>
      </w:pPr>
      <w:r w:rsidRPr="03CE7A9B">
        <w:rPr>
          <w:rFonts w:ascii="Arial" w:eastAsia="Arial" w:hAnsi="Arial" w:cs="Arial"/>
          <w:b/>
          <w:bCs/>
          <w:sz w:val="24"/>
          <w:szCs w:val="24"/>
        </w:rPr>
        <w:t>Document for:</w:t>
      </w:r>
      <w:r w:rsidRPr="00B266B0">
        <w:rPr>
          <w:rFonts w:ascii="Arial" w:hAnsi="Arial" w:cs="Arial"/>
          <w:b/>
          <w:bCs/>
          <w:sz w:val="24"/>
        </w:rPr>
        <w:tab/>
      </w:r>
      <w:r w:rsidRPr="03CE7A9B">
        <w:rPr>
          <w:rFonts w:ascii="Arial" w:eastAsia="Arial" w:hAnsi="Arial" w:cs="Arial"/>
          <w:b/>
          <w:bCs/>
          <w:sz w:val="24"/>
          <w:szCs w:val="24"/>
        </w:rPr>
        <w:t>Discussion and Decision</w:t>
      </w:r>
    </w:p>
    <w:p w14:paraId="41621A49" w14:textId="77777777" w:rsidR="00CD4C7B" w:rsidRPr="006E13D1" w:rsidRDefault="00CD4C7B" w:rsidP="00CD4C7B">
      <w:pPr>
        <w:pStyle w:val="Heading1"/>
      </w:pPr>
      <w:r w:rsidRPr="006E13D1">
        <w:t>1</w:t>
      </w:r>
      <w:r w:rsidRPr="006E13D1">
        <w:tab/>
      </w:r>
      <w:r w:rsidR="0056573F">
        <w:t>Introduction</w:t>
      </w:r>
    </w:p>
    <w:p w14:paraId="7C46BD70" w14:textId="77777777" w:rsidR="003B224B" w:rsidRDefault="03CE7A9B" w:rsidP="03CE7A9B">
      <w:pPr>
        <w:rPr>
          <w:lang w:val="en-US"/>
        </w:rPr>
      </w:pPr>
      <w:r w:rsidRPr="03CE7A9B">
        <w:rPr>
          <w:lang w:val="en-US"/>
        </w:rPr>
        <w:t xml:space="preserve">During RAN2#97bis meeting it was agreed that path switch between PC5 and Uu should be studied with highest priority of all the scenarios where service continuity needs to be ensured. Also, switching between Uu and indirect communications with non-3GPP technology used for relaying is to be studied (although with lower priority). In this contribution, we therefore focus on PC5 to/from Uu switching, but most of the considerations apply to indirect to/from direct patch switching in general. </w:t>
      </w:r>
    </w:p>
    <w:p w14:paraId="2803D2E5" w14:textId="2607E6C0" w:rsidR="001266CA" w:rsidRDefault="03CE7A9B" w:rsidP="03CE7A9B">
      <w:pPr>
        <w:rPr>
          <w:lang w:val="en-US"/>
        </w:rPr>
      </w:pPr>
      <w:r w:rsidRPr="03CE7A9B">
        <w:rPr>
          <w:lang w:val="en-US"/>
        </w:rPr>
        <w:t>Although, no agreement was made about the procedure itself yet, the following two options to be studied were captured in the RAN2#97bis meeting notes</w:t>
      </w:r>
      <w:r w:rsidR="006A7C9C">
        <w:rPr>
          <w:lang w:val="en-US"/>
        </w:rPr>
        <w:t xml:space="preserve"> [1]</w:t>
      </w:r>
      <w:r w:rsidRPr="03CE7A9B">
        <w:rPr>
          <w:lang w:val="en-US"/>
        </w:rPr>
        <w:t>:</w:t>
      </w:r>
    </w:p>
    <w:tbl>
      <w:tblPr>
        <w:tblStyle w:val="TableGrid"/>
        <w:tblW w:w="0" w:type="auto"/>
        <w:tblInd w:w="1622" w:type="dxa"/>
        <w:tblLook w:val="04A0" w:firstRow="1" w:lastRow="0" w:firstColumn="1" w:lastColumn="0" w:noHBand="0" w:noVBand="1"/>
      </w:tblPr>
      <w:tblGrid>
        <w:gridCol w:w="8009"/>
      </w:tblGrid>
      <w:tr w:rsidR="003B224B" w14:paraId="71E8904C" w14:textId="77777777" w:rsidTr="03CE7A9B">
        <w:tc>
          <w:tcPr>
            <w:tcW w:w="9631" w:type="dxa"/>
          </w:tcPr>
          <w:p w14:paraId="3BD1807D" w14:textId="77777777" w:rsidR="003B224B" w:rsidRDefault="03CE7A9B" w:rsidP="003B224B">
            <w:pPr>
              <w:pStyle w:val="Doc-text2"/>
              <w:tabs>
                <w:tab w:val="left" w:pos="450"/>
              </w:tabs>
              <w:ind w:left="0" w:firstLine="0"/>
            </w:pPr>
            <w:r>
              <w:t>Two different options:</w:t>
            </w:r>
          </w:p>
          <w:p w14:paraId="6F3B0211" w14:textId="77777777" w:rsidR="003B224B" w:rsidRDefault="03CE7A9B" w:rsidP="003B224B">
            <w:pPr>
              <w:pStyle w:val="Doc-text2"/>
              <w:numPr>
                <w:ilvl w:val="0"/>
                <w:numId w:val="10"/>
              </w:numPr>
              <w:tabs>
                <w:tab w:val="left" w:pos="450"/>
              </w:tabs>
              <w:ind w:left="360"/>
            </w:pPr>
            <w:r>
              <w:t xml:space="preserve">Option 1: The UE triggers a notification to the network when certain criteria are met. eNB decides if the UE should switch  </w:t>
            </w:r>
          </w:p>
          <w:p w14:paraId="45CB2B07" w14:textId="77777777" w:rsidR="003B224B" w:rsidRDefault="03CE7A9B" w:rsidP="003B224B">
            <w:pPr>
              <w:pStyle w:val="Doc-text2"/>
              <w:numPr>
                <w:ilvl w:val="0"/>
                <w:numId w:val="10"/>
              </w:numPr>
              <w:tabs>
                <w:tab w:val="left" w:pos="450"/>
              </w:tabs>
              <w:ind w:left="360"/>
            </w:pPr>
            <w:r>
              <w:t>Option 2:  The eNB configures the UE with set of criteria and the UE can decide to reselect the path on its own when the criteria are met.  The UE then sends a notification/reconfiguration message (this is similar to pre-conditional mobility in NR)</w:t>
            </w:r>
          </w:p>
          <w:p w14:paraId="1E3E9844" w14:textId="77777777" w:rsidR="003B224B" w:rsidRDefault="03CE7A9B" w:rsidP="003B224B">
            <w:pPr>
              <w:pStyle w:val="Doc-text2"/>
              <w:numPr>
                <w:ilvl w:val="0"/>
                <w:numId w:val="11"/>
              </w:numPr>
              <w:tabs>
                <w:tab w:val="left" w:pos="450"/>
              </w:tabs>
              <w:ind w:left="360"/>
            </w:pPr>
            <w:r>
              <w:t xml:space="preserve">The criteria can be configured by the network for both options  </w:t>
            </w:r>
          </w:p>
          <w:p w14:paraId="626431AE" w14:textId="77777777" w:rsidR="003B224B" w:rsidRDefault="03CE7A9B" w:rsidP="003B224B">
            <w:pPr>
              <w:pStyle w:val="Doc-text2"/>
              <w:numPr>
                <w:ilvl w:val="0"/>
                <w:numId w:val="11"/>
              </w:numPr>
              <w:tabs>
                <w:tab w:val="left" w:pos="450"/>
              </w:tabs>
              <w:ind w:left="360"/>
            </w:pPr>
            <w:r>
              <w:t xml:space="preserve">The criteria is FFS for both options </w:t>
            </w:r>
          </w:p>
          <w:p w14:paraId="5A25A99B" w14:textId="77777777" w:rsidR="003B224B" w:rsidRDefault="003B224B" w:rsidP="001266CA">
            <w:pPr>
              <w:pStyle w:val="Doc-text2"/>
              <w:tabs>
                <w:tab w:val="left" w:pos="450"/>
              </w:tabs>
              <w:ind w:left="0" w:firstLine="0"/>
            </w:pPr>
          </w:p>
        </w:tc>
      </w:tr>
    </w:tbl>
    <w:p w14:paraId="233177BA" w14:textId="16774528" w:rsidR="001266CA" w:rsidRDefault="001266CA" w:rsidP="00A70CB6"/>
    <w:p w14:paraId="78A4D5BC" w14:textId="1C4620D4" w:rsidR="003B224B" w:rsidRPr="001266CA" w:rsidRDefault="03CE7A9B" w:rsidP="00A70CB6">
      <w:r>
        <w:t>This contribution discusses some basic steps of the path switch procedure in both directions (i.e. direct to ind</w:t>
      </w:r>
      <w:r w:rsidR="00A1432E">
        <w:t>irect and indirect to direct com</w:t>
      </w:r>
      <w:r>
        <w:t>municat</w:t>
      </w:r>
      <w:r w:rsidR="00A1432E">
        <w:t>i</w:t>
      </w:r>
      <w:r>
        <w:t>ons).</w:t>
      </w:r>
    </w:p>
    <w:p w14:paraId="1A90BD9D" w14:textId="7B04DDEE" w:rsidR="00AA37A2" w:rsidRPr="00E92394" w:rsidRDefault="00C60B22" w:rsidP="00AA37A2">
      <w:pPr>
        <w:pStyle w:val="Heading1"/>
      </w:pPr>
      <w:r>
        <w:t>2</w:t>
      </w:r>
      <w:r w:rsidR="00AA37A2" w:rsidRPr="00E92394">
        <w:tab/>
      </w:r>
      <w:r w:rsidR="00D55903">
        <w:t>Discussion</w:t>
      </w:r>
    </w:p>
    <w:p w14:paraId="0A4A6D51" w14:textId="77777777" w:rsidR="00866A4F" w:rsidRPr="00A1432E" w:rsidRDefault="03CE7A9B" w:rsidP="03CE7A9B">
      <w:r w:rsidRPr="00A1432E">
        <w:t xml:space="preserve">After successful connection establishment with the eNB via Relay UE a Remote UE is considered to be in RRC Connected state. Normally in this state network controlled mobility procedures are applied and we do not see the reason to change that principle. It has to be remembered that this principle is there for a reason – whenever a handover is about to happen there is a certain number of tasks, which need to be performed on the network side: </w:t>
      </w:r>
    </w:p>
    <w:p w14:paraId="70775A93" w14:textId="174A100A" w:rsidR="00B457E4" w:rsidRPr="00A1432E" w:rsidRDefault="03CE7A9B" w:rsidP="00A1432E">
      <w:pPr>
        <w:pStyle w:val="ListParagraph"/>
        <w:numPr>
          <w:ilvl w:val="0"/>
          <w:numId w:val="16"/>
        </w:numPr>
      </w:pPr>
      <w:r w:rsidRPr="00A1432E">
        <w:t>A mobility event triggers a measurement report</w:t>
      </w:r>
    </w:p>
    <w:p w14:paraId="1E30CF3C" w14:textId="60C56F62" w:rsidR="00866A4F" w:rsidRPr="00A1432E" w:rsidRDefault="03CE7A9B" w:rsidP="00A1432E">
      <w:pPr>
        <w:pStyle w:val="ListParagraph"/>
        <w:numPr>
          <w:ilvl w:val="0"/>
          <w:numId w:val="16"/>
        </w:numPr>
      </w:pPr>
      <w:r w:rsidRPr="00A1432E">
        <w:t>eNB decides HO is needed and HO request is sent to target eNB</w:t>
      </w:r>
    </w:p>
    <w:p w14:paraId="5C6A7542" w14:textId="5EA49E45" w:rsidR="00866A4F" w:rsidRPr="00A1432E" w:rsidRDefault="03CE7A9B" w:rsidP="00A1432E">
      <w:pPr>
        <w:pStyle w:val="ListParagraph"/>
        <w:numPr>
          <w:ilvl w:val="0"/>
          <w:numId w:val="16"/>
        </w:numPr>
      </w:pPr>
      <w:r w:rsidRPr="00A1432E">
        <w:t>Target eNB needs to check, based on its admission control mechanism, whether a new UE can be allowed in the cell</w:t>
      </w:r>
    </w:p>
    <w:p w14:paraId="6C58ACEF" w14:textId="0B3173ED" w:rsidR="00866A4F" w:rsidRPr="00A1432E" w:rsidRDefault="03CE7A9B" w:rsidP="00A1432E">
      <w:pPr>
        <w:pStyle w:val="ListParagraph"/>
        <w:numPr>
          <w:ilvl w:val="0"/>
          <w:numId w:val="16"/>
        </w:numPr>
      </w:pPr>
      <w:r w:rsidRPr="00A1432E">
        <w:t>If a new UE can be accepted, then target eNB prepares HO Command containing protocols’ configuration to be used by the UE in the new cell and forwards it to source eNB</w:t>
      </w:r>
    </w:p>
    <w:p w14:paraId="24151DBC" w14:textId="2F8B39B4" w:rsidR="00866A4F" w:rsidRPr="00A1432E" w:rsidRDefault="03CE7A9B" w:rsidP="00A1432E">
      <w:pPr>
        <w:pStyle w:val="ListParagraph"/>
        <w:numPr>
          <w:ilvl w:val="0"/>
          <w:numId w:val="16"/>
        </w:numPr>
      </w:pPr>
      <w:r w:rsidRPr="00A1432E">
        <w:t>Source eNB sends it to the UE</w:t>
      </w:r>
    </w:p>
    <w:p w14:paraId="1D76AF56" w14:textId="4ADA33BF" w:rsidR="00591A5F" w:rsidRPr="00A1432E" w:rsidRDefault="03CE7A9B" w:rsidP="03CE7A9B">
      <w:r w:rsidRPr="00A1432E">
        <w:t>Path switch is not much different from the handover. In scenarios 5 and 6 a path switch would actually be executed together with a handover. However, in both HO case and “same cell path switch”, the steps required would be very similar. In subsequents sub-sections we analyse indirect to direct and direct to indirect path switch separately.</w:t>
      </w:r>
    </w:p>
    <w:p w14:paraId="142E2009" w14:textId="766E76A4" w:rsidR="00BE4CFF" w:rsidRPr="00A1432E" w:rsidRDefault="03CE7A9B" w:rsidP="00A1432E">
      <w:pPr>
        <w:pStyle w:val="Heading2"/>
      </w:pPr>
      <w:r w:rsidRPr="00A1432E">
        <w:lastRenderedPageBreak/>
        <w:t>2.1 Indirect to direct path switch</w:t>
      </w:r>
    </w:p>
    <w:p w14:paraId="1F01BFE3" w14:textId="746BF962" w:rsidR="00201094" w:rsidRPr="00A1432E" w:rsidRDefault="03CE7A9B" w:rsidP="03CE7A9B">
      <w:r w:rsidRPr="00A1432E">
        <w:t>For indirect to direct path switch:</w:t>
      </w:r>
    </w:p>
    <w:p w14:paraId="69376E18" w14:textId="28CE6BF7" w:rsidR="00B457E4" w:rsidRPr="00A1432E" w:rsidRDefault="00B407D3" w:rsidP="00B407D3">
      <w:pPr>
        <w:pStyle w:val="ListParagraph"/>
        <w:numPr>
          <w:ilvl w:val="0"/>
          <w:numId w:val="18"/>
        </w:numPr>
      </w:pPr>
      <w:r>
        <w:t>S</w:t>
      </w:r>
      <w:r w:rsidR="03CE7A9B" w:rsidRPr="00A1432E">
        <w:t xml:space="preserve">erving eNB needs to know Uu measurements to decide whether path switch should be done to the same or different cell </w:t>
      </w:r>
    </w:p>
    <w:p w14:paraId="7FC72BFE" w14:textId="2FFFFBBB" w:rsidR="00B457E4" w:rsidRPr="00A1432E" w:rsidRDefault="03CE7A9B" w:rsidP="00B407D3">
      <w:pPr>
        <w:pStyle w:val="ListParagraph"/>
        <w:numPr>
          <w:ilvl w:val="0"/>
          <w:numId w:val="18"/>
        </w:numPr>
      </w:pPr>
      <w:r w:rsidRPr="00A1432E">
        <w:t>Even if the same cell is the best one, eNB needs to perform admission control, based on this it may choose either to continue with the same cell or decide to use another frequency for load balancing reasons etc.</w:t>
      </w:r>
    </w:p>
    <w:p w14:paraId="26B735FC" w14:textId="54483D1F" w:rsidR="00B457E4" w:rsidRPr="00A1432E" w:rsidRDefault="03CE7A9B" w:rsidP="00B407D3">
      <w:pPr>
        <w:pStyle w:val="ListParagraph"/>
        <w:numPr>
          <w:ilvl w:val="0"/>
          <w:numId w:val="18"/>
        </w:numPr>
      </w:pPr>
      <w:r w:rsidRPr="00A1432E">
        <w:t>Even if the serving eNB does not change, the RRC Reconfiguration message needs to be prepared with proper protocols configuration and provided to the UE</w:t>
      </w:r>
    </w:p>
    <w:p w14:paraId="44AE82B9" w14:textId="5C942395" w:rsidR="00B457E4" w:rsidRPr="00A1432E" w:rsidRDefault="03CE7A9B" w:rsidP="00B407D3">
      <w:pPr>
        <w:pStyle w:val="ListParagraph"/>
        <w:numPr>
          <w:ilvl w:val="0"/>
          <w:numId w:val="18"/>
        </w:numPr>
      </w:pPr>
      <w:r w:rsidRPr="00A1432E">
        <w:t>Only once the eNB is prepared and proper configuration is provided to the UE, the UE should perform path switch</w:t>
      </w:r>
    </w:p>
    <w:p w14:paraId="59B7AD13" w14:textId="0CFA59CB" w:rsidR="00840939" w:rsidRPr="00A1432E" w:rsidRDefault="03CE7A9B" w:rsidP="03CE7A9B">
      <w:r w:rsidRPr="00A1432E">
        <w:t>As can be seen Uu measurements are required for indirect to direct communications path switch. It is natural to follow the event based measurement framework in this situation.</w:t>
      </w:r>
    </w:p>
    <w:p w14:paraId="7B536C80" w14:textId="0542BDB2" w:rsidR="00840939" w:rsidRPr="00A1432E" w:rsidRDefault="03CE7A9B" w:rsidP="03CE7A9B">
      <w:pPr>
        <w:rPr>
          <w:b/>
        </w:rPr>
      </w:pPr>
      <w:r w:rsidRPr="00A1432E">
        <w:rPr>
          <w:b/>
        </w:rPr>
        <w:t>Proposal 1: Current event-based measurement framework is reused as a baseline for triggering path switch procedure.</w:t>
      </w:r>
    </w:p>
    <w:p w14:paraId="188B9695" w14:textId="386ABF25" w:rsidR="00840939" w:rsidRPr="00A1432E" w:rsidRDefault="03CE7A9B" w:rsidP="03CE7A9B">
      <w:r w:rsidRPr="00A1432E">
        <w:t>One difference is that the remote UE would normally have a preference to use relayed connection whenever possible as long as service requirements can be met. The straightforward approach for PC5 interface is to use sidelink RSRP threshold, which can be adjusted by the eNB based on the service requirements and signalled within measurement configuration.</w:t>
      </w:r>
    </w:p>
    <w:p w14:paraId="7233B206" w14:textId="4CB602D4" w:rsidR="003E0AAE" w:rsidRPr="00A1432E" w:rsidRDefault="03CE7A9B" w:rsidP="03CE7A9B">
      <w:pPr>
        <w:rPr>
          <w:b/>
        </w:rPr>
      </w:pPr>
      <w:r w:rsidRPr="00A1432E">
        <w:rPr>
          <w:b/>
        </w:rPr>
        <w:t>Proposal 2: New measurement event(s) are needed to account for PC5 sidelink quality (e.g. based on SD-RSRP threshold).</w:t>
      </w:r>
    </w:p>
    <w:p w14:paraId="717BDBCD" w14:textId="724A6658" w:rsidR="003E0AAE" w:rsidRPr="00A1432E" w:rsidRDefault="03CE7A9B" w:rsidP="03CE7A9B">
      <w:r w:rsidRPr="00A1432E">
        <w:t>For power consumption reasons, remote UE should not be required to measure Uu quality while using indirect communications with good enough quality.</w:t>
      </w:r>
    </w:p>
    <w:p w14:paraId="2CA60ACD" w14:textId="36C239B8" w:rsidR="003E0AAE" w:rsidRPr="00A1432E" w:rsidRDefault="03CE7A9B" w:rsidP="03CE7A9B">
      <w:pPr>
        <w:rPr>
          <w:b/>
        </w:rPr>
      </w:pPr>
      <w:r w:rsidRPr="00A1432E">
        <w:rPr>
          <w:b/>
        </w:rPr>
        <w:t>Proposal 3: RRC Connected remote UE does not need to perform Uu measurements if sidelink quality is above a threshold configured by the eNB.</w:t>
      </w:r>
    </w:p>
    <w:p w14:paraId="4D3A0D00" w14:textId="5B777A9D" w:rsidR="00877F3A" w:rsidRPr="00A1432E" w:rsidRDefault="03CE7A9B" w:rsidP="03CE7A9B">
      <w:r w:rsidRPr="00A1432E">
        <w:t>For non-3GPP interface eNB should not be required to interpret the measurements, so in this case it would be solely up to the UE to decide when non-3GPP interface is not meeting the requirements and indicate it to the network. However, to keep the same framework for both 3GPP and non-3GPP sidelink we propose to reuse the same event-based measurement framework, i.e. if UE uses indirect communication via non-3GPP interface eNB may configure an event, which would trigger “poor non-3GPP sidelink quality” report. Based on this eNB could properly prepare the path switch. It has to be noted though that since when to trigger the report would be in fact up to UE implementation, service continuity cannot be ensured by the 3GPP network.</w:t>
      </w:r>
    </w:p>
    <w:p w14:paraId="11A7CE00" w14:textId="17AA3E34" w:rsidR="006A6506" w:rsidRPr="00A1432E" w:rsidRDefault="03CE7A9B" w:rsidP="03CE7A9B">
      <w:pPr>
        <w:rPr>
          <w:b/>
        </w:rPr>
      </w:pPr>
      <w:r w:rsidRPr="00A1432E">
        <w:rPr>
          <w:b/>
        </w:rPr>
        <w:t>Proposal 4: When indirect communications based on non-3GPP interface is used by the UE, an eNB may configure the remote UE to report “poor non-3GPP sidelink quality” event.</w:t>
      </w:r>
    </w:p>
    <w:p w14:paraId="5B878400" w14:textId="3F41063C" w:rsidR="00877F3A" w:rsidRPr="00A1432E" w:rsidRDefault="03CE7A9B" w:rsidP="03CE7A9B">
      <w:r w:rsidRPr="00A1432E">
        <w:t>Observation 1: In case indirect communications based on non-3GPP interface is used, service continuity during path switch is not ensured by the 3GPP network.</w:t>
      </w:r>
    </w:p>
    <w:p w14:paraId="3C9912E6" w14:textId="17F7244C" w:rsidR="00993CE1" w:rsidRPr="00A1432E" w:rsidRDefault="03CE7A9B" w:rsidP="03CE7A9B">
      <w:r w:rsidRPr="00A1432E">
        <w:t>Once eNB has all the required information needed for path switch decision it should prepare RRC Reconfiguration message (or ask target eNB to prepare such message) and send it to the remote UE and remote UE would reconfigure its connection accordingly.</w:t>
      </w:r>
    </w:p>
    <w:p w14:paraId="1E7F9923" w14:textId="5AECDE7D" w:rsidR="00993CE1" w:rsidRDefault="03CE7A9B" w:rsidP="03CE7A9B">
      <w:pPr>
        <w:rPr>
          <w:b/>
        </w:rPr>
      </w:pPr>
      <w:r w:rsidRPr="00A1432E">
        <w:rPr>
          <w:b/>
        </w:rPr>
        <w:t>Proposal 5: Path switch is executed by the remote UE upon receiving proper RRC Reconfiguration message from its serving eNB.</w:t>
      </w:r>
    </w:p>
    <w:p w14:paraId="4C205194" w14:textId="4DA93A84" w:rsidR="00D554FB" w:rsidRPr="006A7C9C" w:rsidRDefault="00D554FB" w:rsidP="03CE7A9B">
      <w:r>
        <w:t>After applying the new configuration UE would have to perform RACH in the target cell and confirm the switch by sending RRC Reconfiguration Complete message.</w:t>
      </w:r>
    </w:p>
    <w:p w14:paraId="4DF6B859" w14:textId="4CDE8BB3" w:rsidR="00BE4CFF" w:rsidRPr="00A1432E" w:rsidRDefault="00A1432E" w:rsidP="00A1432E">
      <w:pPr>
        <w:pStyle w:val="Heading2"/>
      </w:pPr>
      <w:r>
        <w:t>2.2</w:t>
      </w:r>
      <w:r w:rsidR="03CE7A9B" w:rsidRPr="00A1432E">
        <w:t xml:space="preserve"> Direct to indirect path switch</w:t>
      </w:r>
    </w:p>
    <w:p w14:paraId="7007FAF6" w14:textId="69F925F5" w:rsidR="00201094" w:rsidRPr="00A1432E" w:rsidRDefault="03CE7A9B" w:rsidP="03CE7A9B">
      <w:r w:rsidRPr="00A1432E">
        <w:t>For direct to indirect path switch procedure some additional considerations may apply. As mentioned in the previous sub-section it can be assumed that a natural preference of potential remote UE is to have a relayed connection established. Therefore, whenever an eligible relay becomes available a path switch from direct connection is preferred. However what needs to be considered is:</w:t>
      </w:r>
    </w:p>
    <w:p w14:paraId="2736CC83" w14:textId="4DF85CE0" w:rsidR="00BE4CFF" w:rsidRPr="00A1432E" w:rsidRDefault="03CE7A9B" w:rsidP="00A1432E">
      <w:pPr>
        <w:pStyle w:val="ListParagraph"/>
        <w:numPr>
          <w:ilvl w:val="0"/>
          <w:numId w:val="17"/>
        </w:numPr>
      </w:pPr>
      <w:r w:rsidRPr="00A1432E">
        <w:lastRenderedPageBreak/>
        <w:t>Relay UE preferences and current capabilities to provide the relaying service</w:t>
      </w:r>
    </w:p>
    <w:p w14:paraId="4987A305" w14:textId="77BE7771" w:rsidR="00EC56D5" w:rsidRPr="00A1432E" w:rsidRDefault="03CE7A9B" w:rsidP="00A1432E">
      <w:pPr>
        <w:pStyle w:val="ListParagraph"/>
        <w:numPr>
          <w:ilvl w:val="0"/>
          <w:numId w:val="17"/>
        </w:numPr>
      </w:pPr>
      <w:r w:rsidRPr="00A1432E">
        <w:t>The possibility to establish an RRC Connection between eNB and relay UE (in case it is in RRC IDLE state), which could accommodate the needs of remote UE’s bearers</w:t>
      </w:r>
    </w:p>
    <w:p w14:paraId="72AB2466" w14:textId="3CFB1266" w:rsidR="00CE57FA" w:rsidRPr="00A1432E" w:rsidRDefault="03CE7A9B" w:rsidP="03CE7A9B">
      <w:r w:rsidRPr="00A1432E">
        <w:t xml:space="preserve">The first bullet can be partially addressed by the sidelink RSRP threshold (PC5 case) or “good relay available” indication (non-3GPP case). </w:t>
      </w:r>
    </w:p>
    <w:p w14:paraId="4C0428B1" w14:textId="2CE6F4DD" w:rsidR="00CE57FA" w:rsidRPr="00A1432E" w:rsidRDefault="03CE7A9B" w:rsidP="03CE7A9B">
      <w:pPr>
        <w:rPr>
          <w:b/>
        </w:rPr>
      </w:pPr>
      <w:r w:rsidRPr="00A1432E">
        <w:rPr>
          <w:b/>
        </w:rPr>
        <w:t xml:space="preserve">Proposal </w:t>
      </w:r>
      <w:r w:rsidR="002A45E8">
        <w:rPr>
          <w:b/>
        </w:rPr>
        <w:t>6</w:t>
      </w:r>
      <w:r w:rsidRPr="00A1432E">
        <w:rPr>
          <w:b/>
        </w:rPr>
        <w:t>: Potential remote UE can send an indication to serving eNB when eligible relay UE is available. Eligible relay UE is determined by network configuration (e.g. sidelink RSRP threshold) for PC5 interface and by UE implementation for non-3GPP interface.</w:t>
      </w:r>
    </w:p>
    <w:p w14:paraId="46468A12" w14:textId="1EBB4437" w:rsidR="00EC56D5" w:rsidRPr="00A1432E" w:rsidRDefault="03CE7A9B" w:rsidP="03CE7A9B">
      <w:r w:rsidRPr="00A1432E">
        <w:t>Apart from that, remote UE should make sure that its sidelink connection request will get accepted by the relay UE before path switch is executed. The simplest approach would be to assume that UEs are linked already before the path switch to indirect communications is performed.</w:t>
      </w:r>
    </w:p>
    <w:p w14:paraId="3970091F" w14:textId="334CA065" w:rsidR="00CE57FA" w:rsidRPr="00A1432E" w:rsidRDefault="03CE7A9B" w:rsidP="03CE7A9B">
      <w:pPr>
        <w:rPr>
          <w:b/>
        </w:rPr>
      </w:pPr>
      <w:r w:rsidRPr="00A1432E">
        <w:rPr>
          <w:b/>
        </w:rPr>
        <w:t xml:space="preserve">Proposal </w:t>
      </w:r>
      <w:r w:rsidR="002A45E8">
        <w:rPr>
          <w:b/>
        </w:rPr>
        <w:t>7</w:t>
      </w:r>
      <w:r w:rsidRPr="00A1432E">
        <w:rPr>
          <w:b/>
        </w:rPr>
        <w:t>: Remote UE gets linked with the relay UE before sending the indication about relay availability to the eNB.</w:t>
      </w:r>
    </w:p>
    <w:p w14:paraId="6061A51F" w14:textId="4F09E630" w:rsidR="00516DA1" w:rsidRPr="00A1432E" w:rsidRDefault="03CE7A9B" w:rsidP="03CE7A9B">
      <w:r w:rsidRPr="00A1432E">
        <w:t>It was mentioned during the previous meetings that having Uu and PC5 connection established simultaneously may not be possible for single-receiver UEs. Since single-receiver UEs are usually low-cost devices for which service continuity is not the first priority feature, we do not think that optimizations for this case are required.</w:t>
      </w:r>
    </w:p>
    <w:p w14:paraId="12311209" w14:textId="1DB221ED" w:rsidR="00516DA1" w:rsidRPr="00A1432E" w:rsidRDefault="03CE7A9B" w:rsidP="03CE7A9B">
      <w:pPr>
        <w:rPr>
          <w:b/>
        </w:rPr>
      </w:pPr>
      <w:r w:rsidRPr="00A1432E">
        <w:rPr>
          <w:b/>
        </w:rPr>
        <w:t xml:space="preserve">Proposal </w:t>
      </w:r>
      <w:r w:rsidR="002A45E8">
        <w:rPr>
          <w:b/>
        </w:rPr>
        <w:t>8</w:t>
      </w:r>
      <w:r w:rsidRPr="00A1432E">
        <w:rPr>
          <w:b/>
        </w:rPr>
        <w:t>: Service continuity is not supported for single-receiver UEs, which are not able to maintain Uu and PC5 connections simultaneously during path switch procedure.</w:t>
      </w:r>
    </w:p>
    <w:p w14:paraId="46294999" w14:textId="352192DA" w:rsidR="00516DA1" w:rsidRPr="00A1432E" w:rsidRDefault="03CE7A9B" w:rsidP="03CE7A9B">
      <w:r w:rsidRPr="00A1432E">
        <w:t>Upon receiving the indication mentioned above eNB would prepare the relay UE, i.e. establish an RRC Connection (if not yet established), reconfigure the bearers etc. Once this is performed, eNB would send an RRC Reconfiguration message to (future) remote UE providing it with all the information required to switch a path to indirect one. This would be exactly the same behaviour known from handover procedure and also as proposed for the path switch in the other direction and would thus allow to reuse the currently existing, well-know and well-proven framework.</w:t>
      </w:r>
    </w:p>
    <w:p w14:paraId="3A52BDB8" w14:textId="527F05DD" w:rsidR="00993CE1" w:rsidRDefault="03CE7A9B" w:rsidP="03CE7A9B">
      <w:pPr>
        <w:rPr>
          <w:b/>
        </w:rPr>
      </w:pPr>
      <w:r w:rsidRPr="00A1432E">
        <w:rPr>
          <w:b/>
        </w:rPr>
        <w:t xml:space="preserve">Proposal </w:t>
      </w:r>
      <w:r w:rsidR="002A45E8">
        <w:rPr>
          <w:b/>
        </w:rPr>
        <w:t>9</w:t>
      </w:r>
      <w:r w:rsidRPr="00A1432E">
        <w:rPr>
          <w:b/>
        </w:rPr>
        <w:t>: UE switches path from direct to indirect communications upon receiving proper RRC Reconfiguration message from its serving eNB.</w:t>
      </w:r>
    </w:p>
    <w:p w14:paraId="6E10D7E2" w14:textId="14B348F2" w:rsidR="006A7C9C" w:rsidRPr="006A7C9C" w:rsidRDefault="006A7C9C" w:rsidP="03CE7A9B">
      <w:r w:rsidRPr="006A7C9C">
        <w:t>After applying the new configuration UE would have to confirm the switch by sending RRC Reconfiguration Complete message, this time via relayed connection already.</w:t>
      </w:r>
    </w:p>
    <w:p w14:paraId="05F33055" w14:textId="4BAD4D65" w:rsidR="00C25018" w:rsidRDefault="00C25018" w:rsidP="00C25018">
      <w:pPr>
        <w:pStyle w:val="Heading1"/>
      </w:pPr>
      <w:r>
        <w:t>4</w:t>
      </w:r>
      <w:r w:rsidRPr="00E92394">
        <w:tab/>
      </w:r>
      <w:r>
        <w:t>Summary</w:t>
      </w:r>
    </w:p>
    <w:p w14:paraId="6346E427" w14:textId="126C7067" w:rsidR="00DD54FE" w:rsidRDefault="03CE7A9B" w:rsidP="00DD54FE">
      <w:r>
        <w:t>This paper discusses how currently existing RRC Connected mode mobility framework can easily be adopted to accommodate path switching procedure for relaying feature. This will ensure not only comparable level of reliability as in the case of handovers, but also will keep this functionality’s complexity on a reasonable level. Based on this we propose to agree on the following proposals and observations:</w:t>
      </w:r>
    </w:p>
    <w:p w14:paraId="278A96D7" w14:textId="77777777" w:rsidR="00506011" w:rsidRPr="00A1432E" w:rsidRDefault="00506011" w:rsidP="00506011">
      <w:pPr>
        <w:rPr>
          <w:b/>
        </w:rPr>
      </w:pPr>
      <w:r w:rsidRPr="00A1432E">
        <w:rPr>
          <w:b/>
        </w:rPr>
        <w:t>Proposal 1: Current event-based measurement framework is reused as a baseline for triggering path switch procedure.</w:t>
      </w:r>
    </w:p>
    <w:p w14:paraId="0AC975BA" w14:textId="77777777" w:rsidR="00506011" w:rsidRPr="00A1432E" w:rsidRDefault="00506011" w:rsidP="00506011">
      <w:pPr>
        <w:rPr>
          <w:b/>
        </w:rPr>
      </w:pPr>
      <w:r w:rsidRPr="00A1432E">
        <w:rPr>
          <w:b/>
        </w:rPr>
        <w:t>Proposal 2: New measurement event(s) are needed to account for PC5 sidelink quality (e.g. based on SD-RSRP threshold).</w:t>
      </w:r>
    </w:p>
    <w:p w14:paraId="6DB60CDA" w14:textId="77777777" w:rsidR="00506011" w:rsidRPr="00A1432E" w:rsidRDefault="00506011" w:rsidP="00506011">
      <w:pPr>
        <w:rPr>
          <w:b/>
        </w:rPr>
      </w:pPr>
      <w:r w:rsidRPr="00A1432E">
        <w:rPr>
          <w:b/>
        </w:rPr>
        <w:t>Proposal 3: RRC Connected remote UE does not need to perform Uu measurements if sidelink quality is above a threshold configured by the eNB.</w:t>
      </w:r>
    </w:p>
    <w:p w14:paraId="7C17EE71" w14:textId="77777777" w:rsidR="00506011" w:rsidRPr="00A1432E" w:rsidRDefault="00506011" w:rsidP="00506011">
      <w:pPr>
        <w:rPr>
          <w:b/>
        </w:rPr>
      </w:pPr>
      <w:r w:rsidRPr="00A1432E">
        <w:rPr>
          <w:b/>
        </w:rPr>
        <w:t>Proposal 4: When indirect communications based on non-3GPP interface is used by the UE, an eNB may configure the remote UE to report “poor non-3GPP sidelink quality” event.</w:t>
      </w:r>
    </w:p>
    <w:p w14:paraId="3D2370F1" w14:textId="77777777" w:rsidR="00506011" w:rsidRDefault="00506011" w:rsidP="00506011">
      <w:pPr>
        <w:rPr>
          <w:b/>
        </w:rPr>
      </w:pPr>
      <w:r w:rsidRPr="00A1432E">
        <w:rPr>
          <w:b/>
        </w:rPr>
        <w:t>Proposal 5: Path switch is executed by the remote UE upon receiving proper RRC Reconfiguration message from its serving eNB.</w:t>
      </w:r>
    </w:p>
    <w:p w14:paraId="13B0AC30" w14:textId="77777777" w:rsidR="00506011" w:rsidRPr="00A1432E" w:rsidRDefault="00506011" w:rsidP="00506011">
      <w:pPr>
        <w:rPr>
          <w:b/>
        </w:rPr>
      </w:pPr>
      <w:r w:rsidRPr="00A1432E">
        <w:rPr>
          <w:b/>
        </w:rPr>
        <w:t xml:space="preserve">Proposal </w:t>
      </w:r>
      <w:r>
        <w:rPr>
          <w:b/>
        </w:rPr>
        <w:t>6</w:t>
      </w:r>
      <w:r w:rsidRPr="00A1432E">
        <w:rPr>
          <w:b/>
        </w:rPr>
        <w:t>: Potential remote UE can send an indication to serving eNB when eligible relay UE is available. Eligible relay UE is determined by network configuration (e.g. sidelink RSRP threshold) for PC5 interface and by UE implementation for non-3GPP interface.</w:t>
      </w:r>
    </w:p>
    <w:p w14:paraId="7BCA70B8" w14:textId="77777777" w:rsidR="00506011" w:rsidRPr="00A1432E" w:rsidRDefault="00506011" w:rsidP="00506011">
      <w:pPr>
        <w:rPr>
          <w:b/>
        </w:rPr>
      </w:pPr>
      <w:r w:rsidRPr="00A1432E">
        <w:rPr>
          <w:b/>
        </w:rPr>
        <w:lastRenderedPageBreak/>
        <w:t xml:space="preserve">Proposal </w:t>
      </w:r>
      <w:r>
        <w:rPr>
          <w:b/>
        </w:rPr>
        <w:t>7</w:t>
      </w:r>
      <w:r w:rsidRPr="00A1432E">
        <w:rPr>
          <w:b/>
        </w:rPr>
        <w:t>: Remote UE gets linked with the relay UE before sending the indication about relay availability to the eNB.</w:t>
      </w:r>
    </w:p>
    <w:p w14:paraId="20534765" w14:textId="77777777" w:rsidR="00506011" w:rsidRPr="00A1432E" w:rsidRDefault="00506011" w:rsidP="00506011">
      <w:pPr>
        <w:rPr>
          <w:b/>
        </w:rPr>
      </w:pPr>
      <w:r w:rsidRPr="00A1432E">
        <w:rPr>
          <w:b/>
        </w:rPr>
        <w:t xml:space="preserve">Proposal </w:t>
      </w:r>
      <w:r>
        <w:rPr>
          <w:b/>
        </w:rPr>
        <w:t>8</w:t>
      </w:r>
      <w:r w:rsidRPr="00A1432E">
        <w:rPr>
          <w:b/>
        </w:rPr>
        <w:t>: Service continuity is not supported for single-receiver UEs, which are not able to maintain Uu and PC5 connections simultaneously during path switch procedure.</w:t>
      </w:r>
    </w:p>
    <w:p w14:paraId="35E6AD9B" w14:textId="77777777" w:rsidR="00506011" w:rsidRDefault="00506011" w:rsidP="00506011">
      <w:pPr>
        <w:rPr>
          <w:b/>
        </w:rPr>
      </w:pPr>
      <w:r w:rsidRPr="00A1432E">
        <w:rPr>
          <w:b/>
        </w:rPr>
        <w:t xml:space="preserve">Proposal </w:t>
      </w:r>
      <w:r>
        <w:rPr>
          <w:b/>
        </w:rPr>
        <w:t>9</w:t>
      </w:r>
      <w:r w:rsidRPr="00A1432E">
        <w:rPr>
          <w:b/>
        </w:rPr>
        <w:t>: UE switches path from direct to indirect communications upon receiving proper RRC Reconfiguration message from its serving eNB.</w:t>
      </w:r>
    </w:p>
    <w:p w14:paraId="6162BD13" w14:textId="77777777" w:rsidR="00C25018" w:rsidRPr="00E92394" w:rsidRDefault="03CE7A9B" w:rsidP="00C25018">
      <w:pPr>
        <w:pStyle w:val="Heading1"/>
      </w:pPr>
      <w:r>
        <w:t>References</w:t>
      </w:r>
    </w:p>
    <w:p w14:paraId="28ABE450" w14:textId="41F1CFE1" w:rsidR="00080512" w:rsidRPr="00CD4C7B" w:rsidRDefault="006A7C9C" w:rsidP="00C00440">
      <w:pPr>
        <w:numPr>
          <w:ilvl w:val="0"/>
          <w:numId w:val="4"/>
        </w:numPr>
        <w:overflowPunct w:val="0"/>
        <w:autoSpaceDE w:val="0"/>
        <w:autoSpaceDN w:val="0"/>
        <w:adjustRightInd w:val="0"/>
        <w:textAlignment w:val="baseline"/>
      </w:pPr>
      <w:r w:rsidRPr="0077096E">
        <w:t>R2-1703796</w:t>
      </w:r>
      <w:r>
        <w:t xml:space="preserve">, </w:t>
      </w:r>
      <w:r w:rsidRPr="006A7C9C">
        <w:rPr>
          <w:i/>
        </w:rPr>
        <w:t>Report from NR/LTE Break-Out Session (UP NR, FeD2D, Wearables, Rel-14 corrections)</w:t>
      </w:r>
      <w:r>
        <w:t xml:space="preserve"> - </w:t>
      </w:r>
      <w:r w:rsidRPr="00DE6BA3">
        <w:t>Vice-Chair</w:t>
      </w:r>
      <w:r>
        <w:t>woman</w:t>
      </w:r>
      <w:r w:rsidRPr="00F33D0A">
        <w:rPr>
          <w:rFonts w:eastAsia="Malgun Gothic" w:hint="eastAsia"/>
          <w:lang w:eastAsia="ko-KR"/>
        </w:rPr>
        <w:t xml:space="preserve"> (</w:t>
      </w:r>
      <w:r>
        <w:rPr>
          <w:rFonts w:eastAsia="Malgun Gothic"/>
          <w:lang w:eastAsia="ko-KR"/>
        </w:rPr>
        <w:t>InterDigital</w:t>
      </w:r>
      <w:r w:rsidRPr="00F33D0A">
        <w:rPr>
          <w:rFonts w:eastAsia="Malgun Gothic" w:hint="eastAsia"/>
          <w:lang w:eastAsia="ko-KR"/>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3A053" w14:textId="77777777" w:rsidR="00A74069" w:rsidRDefault="00A74069">
      <w:r>
        <w:separator/>
      </w:r>
    </w:p>
  </w:endnote>
  <w:endnote w:type="continuationSeparator" w:id="0">
    <w:p w14:paraId="1E6708E7" w14:textId="77777777" w:rsidR="00A74069" w:rsidRDefault="00A7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DA496" w14:textId="77777777" w:rsidR="00A74069" w:rsidRDefault="00A74069">
      <w:r>
        <w:separator/>
      </w:r>
    </w:p>
  </w:footnote>
  <w:footnote w:type="continuationSeparator" w:id="0">
    <w:p w14:paraId="2FBF0A65" w14:textId="77777777" w:rsidR="00A74069" w:rsidRDefault="00A74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A23779"/>
    <w:multiLevelType w:val="hybridMultilevel"/>
    <w:tmpl w:val="B3648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B831FB"/>
    <w:multiLevelType w:val="hybridMultilevel"/>
    <w:tmpl w:val="4B7C6280"/>
    <w:lvl w:ilvl="0" w:tplc="04090003">
      <w:start w:val="1"/>
      <w:numFmt w:val="bullet"/>
      <w:lvlText w:val="o"/>
      <w:lvlJc w:val="left"/>
      <w:pPr>
        <w:ind w:left="1619" w:hanging="360"/>
      </w:pPr>
      <w:rPr>
        <w:rFonts w:ascii="Courier New" w:hAnsi="Courier New" w:cs="Courier New"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B15F65"/>
    <w:multiLevelType w:val="hybridMultilevel"/>
    <w:tmpl w:val="FFC60934"/>
    <w:lvl w:ilvl="0" w:tplc="644E77CA">
      <w:start w:val="2"/>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F743586"/>
    <w:multiLevelType w:val="hybridMultilevel"/>
    <w:tmpl w:val="2BDCFB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B978F5"/>
    <w:multiLevelType w:val="hybridMultilevel"/>
    <w:tmpl w:val="A9D248BE"/>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C0F16A6"/>
    <w:multiLevelType w:val="hybridMultilevel"/>
    <w:tmpl w:val="0F2439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6973637"/>
    <w:multiLevelType w:val="hybridMultilevel"/>
    <w:tmpl w:val="18944F36"/>
    <w:lvl w:ilvl="0" w:tplc="B88A15A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B07F13"/>
    <w:multiLevelType w:val="hybridMultilevel"/>
    <w:tmpl w:val="9D86C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CB7E6B"/>
    <w:multiLevelType w:val="hybridMultilevel"/>
    <w:tmpl w:val="A5ECC02E"/>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5E068AB4">
      <w:numFmt w:val="bullet"/>
      <w:lvlText w:val="–"/>
      <w:lvlJc w:val="left"/>
      <w:pPr>
        <w:ind w:left="3239" w:hanging="360"/>
      </w:pPr>
      <w:rPr>
        <w:rFonts w:ascii="Arial" w:eastAsia="MS Mincho" w:hAnsi="Arial" w:cs="Arial" w:hint="default"/>
      </w:rPr>
    </w:lvl>
    <w:lvl w:ilvl="3" w:tplc="FA401E98">
      <w:numFmt w:val="bullet"/>
      <w:lvlText w:val=""/>
      <w:lvlJc w:val="left"/>
      <w:pPr>
        <w:ind w:left="3779" w:hanging="360"/>
      </w:pPr>
      <w:rPr>
        <w:rFonts w:ascii="Wingdings" w:eastAsia="MS Mincho" w:hAnsi="Wingdings" w:cs="Times New Roman" w:hint="default"/>
      </w:rPr>
    </w:lvl>
    <w:lvl w:ilvl="4" w:tplc="AE3E1022">
      <w:numFmt w:val="bullet"/>
      <w:lvlText w:val="-"/>
      <w:lvlJc w:val="left"/>
      <w:pPr>
        <w:ind w:left="4499" w:hanging="360"/>
      </w:pPr>
      <w:rPr>
        <w:rFonts w:ascii="Arial" w:eastAsia="MS Mincho" w:hAnsi="Arial" w:cs="Arial" w:hint="default"/>
      </w:r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EE52FAA"/>
    <w:multiLevelType w:val="hybridMultilevel"/>
    <w:tmpl w:val="AB2EA3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4A85673"/>
    <w:multiLevelType w:val="hybridMultilevel"/>
    <w:tmpl w:val="1DDAA8D0"/>
    <w:lvl w:ilvl="0" w:tplc="68EA3EE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8775DBA"/>
    <w:multiLevelType w:val="hybridMultilevel"/>
    <w:tmpl w:val="3446EDFC"/>
    <w:lvl w:ilvl="0" w:tplc="4300B82E">
      <w:numFmt w:val="bullet"/>
      <w:lvlText w:val="-"/>
      <w:lvlJc w:val="left"/>
      <w:pPr>
        <w:ind w:left="720" w:hanging="360"/>
      </w:pPr>
      <w:rPr>
        <w:rFonts w:ascii="Times New Roman" w:eastAsia="SimSu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1981B6A"/>
    <w:multiLevelType w:val="hybridMultilevel"/>
    <w:tmpl w:val="AAE6BB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D5566A6"/>
    <w:multiLevelType w:val="hybridMultilevel"/>
    <w:tmpl w:val="7954E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10"/>
  </w:num>
  <w:num w:numId="7">
    <w:abstractNumId w:val="7"/>
  </w:num>
  <w:num w:numId="8">
    <w:abstractNumId w:val="11"/>
  </w:num>
  <w:num w:numId="9">
    <w:abstractNumId w:val="16"/>
  </w:num>
  <w:num w:numId="10">
    <w:abstractNumId w:val="13"/>
  </w:num>
  <w:num w:numId="11">
    <w:abstractNumId w:val="3"/>
  </w:num>
  <w:num w:numId="12">
    <w:abstractNumId w:val="14"/>
  </w:num>
  <w:num w:numId="13">
    <w:abstractNumId w:val="4"/>
  </w:num>
  <w:num w:numId="14">
    <w:abstractNumId w:val="15"/>
  </w:num>
  <w:num w:numId="15">
    <w:abstractNumId w:val="8"/>
  </w:num>
  <w:num w:numId="16">
    <w:abstractNumId w:val="5"/>
  </w:num>
  <w:num w:numId="17">
    <w:abstractNumId w:val="2"/>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40"/>
    <w:rsid w:val="0006078D"/>
    <w:rsid w:val="0006581D"/>
    <w:rsid w:val="000765C0"/>
    <w:rsid w:val="00080512"/>
    <w:rsid w:val="00090468"/>
    <w:rsid w:val="00092B8B"/>
    <w:rsid w:val="000A6734"/>
    <w:rsid w:val="000A74E2"/>
    <w:rsid w:val="000B7BCF"/>
    <w:rsid w:val="000C522B"/>
    <w:rsid w:val="000D3116"/>
    <w:rsid w:val="000D58AB"/>
    <w:rsid w:val="00101F82"/>
    <w:rsid w:val="001266CA"/>
    <w:rsid w:val="001345E6"/>
    <w:rsid w:val="00142BD9"/>
    <w:rsid w:val="00165FAB"/>
    <w:rsid w:val="001741A0"/>
    <w:rsid w:val="00187E12"/>
    <w:rsid w:val="00194CD0"/>
    <w:rsid w:val="001B2087"/>
    <w:rsid w:val="001B49C9"/>
    <w:rsid w:val="001E79D9"/>
    <w:rsid w:val="001F168B"/>
    <w:rsid w:val="001F7831"/>
    <w:rsid w:val="001F7F87"/>
    <w:rsid w:val="00201094"/>
    <w:rsid w:val="00204045"/>
    <w:rsid w:val="00220D27"/>
    <w:rsid w:val="0022466B"/>
    <w:rsid w:val="00225552"/>
    <w:rsid w:val="0022606D"/>
    <w:rsid w:val="002747EC"/>
    <w:rsid w:val="002855BF"/>
    <w:rsid w:val="002A45E8"/>
    <w:rsid w:val="002B2B18"/>
    <w:rsid w:val="002D03CC"/>
    <w:rsid w:val="002D650E"/>
    <w:rsid w:val="002E2100"/>
    <w:rsid w:val="002F0D22"/>
    <w:rsid w:val="002F2F50"/>
    <w:rsid w:val="003172DC"/>
    <w:rsid w:val="00322866"/>
    <w:rsid w:val="00326069"/>
    <w:rsid w:val="003419A2"/>
    <w:rsid w:val="0035462D"/>
    <w:rsid w:val="003610E7"/>
    <w:rsid w:val="00361A0E"/>
    <w:rsid w:val="00372205"/>
    <w:rsid w:val="00391732"/>
    <w:rsid w:val="003B224B"/>
    <w:rsid w:val="003B25C9"/>
    <w:rsid w:val="003B40AD"/>
    <w:rsid w:val="003C430E"/>
    <w:rsid w:val="003C4E37"/>
    <w:rsid w:val="003C7D1D"/>
    <w:rsid w:val="003E0AAE"/>
    <w:rsid w:val="003E16BE"/>
    <w:rsid w:val="003E5795"/>
    <w:rsid w:val="0040022A"/>
    <w:rsid w:val="00401855"/>
    <w:rsid w:val="00455AFB"/>
    <w:rsid w:val="00464E6C"/>
    <w:rsid w:val="00477455"/>
    <w:rsid w:val="00486493"/>
    <w:rsid w:val="00497DAA"/>
    <w:rsid w:val="004D3578"/>
    <w:rsid w:val="004D380D"/>
    <w:rsid w:val="004E213A"/>
    <w:rsid w:val="004E6F0F"/>
    <w:rsid w:val="004F4210"/>
    <w:rsid w:val="004F7518"/>
    <w:rsid w:val="00503171"/>
    <w:rsid w:val="00506011"/>
    <w:rsid w:val="00506C28"/>
    <w:rsid w:val="00516DA1"/>
    <w:rsid w:val="00534DA0"/>
    <w:rsid w:val="00543E6C"/>
    <w:rsid w:val="00565087"/>
    <w:rsid w:val="0056573F"/>
    <w:rsid w:val="00570002"/>
    <w:rsid w:val="005911B6"/>
    <w:rsid w:val="00591A5F"/>
    <w:rsid w:val="005948FF"/>
    <w:rsid w:val="005A5DD6"/>
    <w:rsid w:val="005B2ABB"/>
    <w:rsid w:val="005B4D3C"/>
    <w:rsid w:val="005F06DD"/>
    <w:rsid w:val="005F0F15"/>
    <w:rsid w:val="005F5D86"/>
    <w:rsid w:val="00606D40"/>
    <w:rsid w:val="00611566"/>
    <w:rsid w:val="00622F89"/>
    <w:rsid w:val="00633233"/>
    <w:rsid w:val="00646D99"/>
    <w:rsid w:val="00655F97"/>
    <w:rsid w:val="00656910"/>
    <w:rsid w:val="00657EE9"/>
    <w:rsid w:val="00672C6F"/>
    <w:rsid w:val="0067376D"/>
    <w:rsid w:val="006901CB"/>
    <w:rsid w:val="006A6506"/>
    <w:rsid w:val="006A75AE"/>
    <w:rsid w:val="006A7C9C"/>
    <w:rsid w:val="006C4579"/>
    <w:rsid w:val="006C66D8"/>
    <w:rsid w:val="006D1E24"/>
    <w:rsid w:val="006E1417"/>
    <w:rsid w:val="006F6A2C"/>
    <w:rsid w:val="00734A5B"/>
    <w:rsid w:val="00737E75"/>
    <w:rsid w:val="00744E76"/>
    <w:rsid w:val="00753B6C"/>
    <w:rsid w:val="00755414"/>
    <w:rsid w:val="00757D40"/>
    <w:rsid w:val="00781F0F"/>
    <w:rsid w:val="0078727C"/>
    <w:rsid w:val="0079049D"/>
    <w:rsid w:val="007B18D8"/>
    <w:rsid w:val="007B3704"/>
    <w:rsid w:val="007C095F"/>
    <w:rsid w:val="007D0B6A"/>
    <w:rsid w:val="007D192D"/>
    <w:rsid w:val="007F1CE1"/>
    <w:rsid w:val="008028A4"/>
    <w:rsid w:val="008056F3"/>
    <w:rsid w:val="00815FC5"/>
    <w:rsid w:val="00840939"/>
    <w:rsid w:val="00843945"/>
    <w:rsid w:val="00853C8A"/>
    <w:rsid w:val="0086533B"/>
    <w:rsid w:val="00866A4F"/>
    <w:rsid w:val="008768CA"/>
    <w:rsid w:val="00877EF9"/>
    <w:rsid w:val="00877F3A"/>
    <w:rsid w:val="00880559"/>
    <w:rsid w:val="00896267"/>
    <w:rsid w:val="008B5306"/>
    <w:rsid w:val="008E3DC4"/>
    <w:rsid w:val="00900C89"/>
    <w:rsid w:val="0090271F"/>
    <w:rsid w:val="00902DB9"/>
    <w:rsid w:val="0090466A"/>
    <w:rsid w:val="00936071"/>
    <w:rsid w:val="00942A53"/>
    <w:rsid w:val="00942EC2"/>
    <w:rsid w:val="00944FCD"/>
    <w:rsid w:val="00953DAC"/>
    <w:rsid w:val="00956BF2"/>
    <w:rsid w:val="00961B32"/>
    <w:rsid w:val="00974BB0"/>
    <w:rsid w:val="00993CE1"/>
    <w:rsid w:val="009A0AF3"/>
    <w:rsid w:val="009B07CD"/>
    <w:rsid w:val="009B4185"/>
    <w:rsid w:val="009C19E9"/>
    <w:rsid w:val="009C1A2C"/>
    <w:rsid w:val="00A10F02"/>
    <w:rsid w:val="00A1432E"/>
    <w:rsid w:val="00A143A8"/>
    <w:rsid w:val="00A204CA"/>
    <w:rsid w:val="00A22025"/>
    <w:rsid w:val="00A53724"/>
    <w:rsid w:val="00A61670"/>
    <w:rsid w:val="00A70CB6"/>
    <w:rsid w:val="00A71455"/>
    <w:rsid w:val="00A74069"/>
    <w:rsid w:val="00A82346"/>
    <w:rsid w:val="00A92952"/>
    <w:rsid w:val="00A9671C"/>
    <w:rsid w:val="00AA1553"/>
    <w:rsid w:val="00AA349E"/>
    <w:rsid w:val="00AA37A2"/>
    <w:rsid w:val="00AC0D36"/>
    <w:rsid w:val="00AC1D01"/>
    <w:rsid w:val="00AE4A5F"/>
    <w:rsid w:val="00B0769E"/>
    <w:rsid w:val="00B15449"/>
    <w:rsid w:val="00B23760"/>
    <w:rsid w:val="00B34DD4"/>
    <w:rsid w:val="00B407D3"/>
    <w:rsid w:val="00B457E4"/>
    <w:rsid w:val="00B47FD1"/>
    <w:rsid w:val="00B553E8"/>
    <w:rsid w:val="00B62318"/>
    <w:rsid w:val="00B67FDD"/>
    <w:rsid w:val="00B7606E"/>
    <w:rsid w:val="00B83AAF"/>
    <w:rsid w:val="00BA2038"/>
    <w:rsid w:val="00BE4CFF"/>
    <w:rsid w:val="00C00440"/>
    <w:rsid w:val="00C05B85"/>
    <w:rsid w:val="00C12B51"/>
    <w:rsid w:val="00C24650"/>
    <w:rsid w:val="00C25018"/>
    <w:rsid w:val="00C26027"/>
    <w:rsid w:val="00C33079"/>
    <w:rsid w:val="00C60B22"/>
    <w:rsid w:val="00C6793C"/>
    <w:rsid w:val="00C83A13"/>
    <w:rsid w:val="00C840D4"/>
    <w:rsid w:val="00C92967"/>
    <w:rsid w:val="00C94389"/>
    <w:rsid w:val="00CA34DB"/>
    <w:rsid w:val="00CA3D0C"/>
    <w:rsid w:val="00CA654B"/>
    <w:rsid w:val="00CC0ADA"/>
    <w:rsid w:val="00CC2811"/>
    <w:rsid w:val="00CD4C7B"/>
    <w:rsid w:val="00CD72CA"/>
    <w:rsid w:val="00CE57FA"/>
    <w:rsid w:val="00CF49B4"/>
    <w:rsid w:val="00D05B7E"/>
    <w:rsid w:val="00D073D0"/>
    <w:rsid w:val="00D3350C"/>
    <w:rsid w:val="00D51AEE"/>
    <w:rsid w:val="00D554FB"/>
    <w:rsid w:val="00D55903"/>
    <w:rsid w:val="00D5763F"/>
    <w:rsid w:val="00D738D6"/>
    <w:rsid w:val="00D74FA2"/>
    <w:rsid w:val="00D76997"/>
    <w:rsid w:val="00D77F6F"/>
    <w:rsid w:val="00D8044F"/>
    <w:rsid w:val="00D80795"/>
    <w:rsid w:val="00D8690D"/>
    <w:rsid w:val="00D87E00"/>
    <w:rsid w:val="00D9134D"/>
    <w:rsid w:val="00D96D11"/>
    <w:rsid w:val="00DA3C72"/>
    <w:rsid w:val="00DA7A03"/>
    <w:rsid w:val="00DB1818"/>
    <w:rsid w:val="00DC309B"/>
    <w:rsid w:val="00DC401E"/>
    <w:rsid w:val="00DC4DA2"/>
    <w:rsid w:val="00DC73EB"/>
    <w:rsid w:val="00DD06A4"/>
    <w:rsid w:val="00DD54FE"/>
    <w:rsid w:val="00DF11A8"/>
    <w:rsid w:val="00DF7AEC"/>
    <w:rsid w:val="00E0288F"/>
    <w:rsid w:val="00E07CB7"/>
    <w:rsid w:val="00E24907"/>
    <w:rsid w:val="00E26887"/>
    <w:rsid w:val="00E400C8"/>
    <w:rsid w:val="00E62835"/>
    <w:rsid w:val="00E720D3"/>
    <w:rsid w:val="00E72D3A"/>
    <w:rsid w:val="00E77645"/>
    <w:rsid w:val="00E83697"/>
    <w:rsid w:val="00E96FAD"/>
    <w:rsid w:val="00EC4A25"/>
    <w:rsid w:val="00EC56D5"/>
    <w:rsid w:val="00EC74EC"/>
    <w:rsid w:val="00F025A2"/>
    <w:rsid w:val="00F07388"/>
    <w:rsid w:val="00F2026E"/>
    <w:rsid w:val="00F2210A"/>
    <w:rsid w:val="00F24DAB"/>
    <w:rsid w:val="00F33A48"/>
    <w:rsid w:val="00F37743"/>
    <w:rsid w:val="00F5434C"/>
    <w:rsid w:val="00F54A3D"/>
    <w:rsid w:val="00F552C8"/>
    <w:rsid w:val="00F65160"/>
    <w:rsid w:val="00F653B8"/>
    <w:rsid w:val="00F71B89"/>
    <w:rsid w:val="00F7353C"/>
    <w:rsid w:val="00F76F8F"/>
    <w:rsid w:val="00FA1266"/>
    <w:rsid w:val="00FC05C0"/>
    <w:rsid w:val="00FC1192"/>
    <w:rsid w:val="00FD4999"/>
    <w:rsid w:val="03CE7A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5C7C7"/>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C25018"/>
    <w:pPr>
      <w:ind w:left="720"/>
      <w:contextualSpacing/>
    </w:pPr>
  </w:style>
  <w:style w:type="character" w:styleId="CommentReference">
    <w:name w:val="annotation reference"/>
    <w:basedOn w:val="DefaultParagraphFont"/>
    <w:rsid w:val="00AA37A2"/>
    <w:rPr>
      <w:sz w:val="16"/>
      <w:szCs w:val="16"/>
    </w:rPr>
  </w:style>
  <w:style w:type="paragraph" w:styleId="CommentText">
    <w:name w:val="annotation text"/>
    <w:basedOn w:val="Normal"/>
    <w:link w:val="CommentTextChar"/>
    <w:rsid w:val="00AA37A2"/>
  </w:style>
  <w:style w:type="character" w:customStyle="1" w:styleId="CommentTextChar">
    <w:name w:val="Comment Text Char"/>
    <w:basedOn w:val="DefaultParagraphFont"/>
    <w:link w:val="CommentText"/>
    <w:rsid w:val="00AA37A2"/>
    <w:rPr>
      <w:lang w:eastAsia="en-US"/>
    </w:rPr>
  </w:style>
  <w:style w:type="paragraph" w:styleId="CommentSubject">
    <w:name w:val="annotation subject"/>
    <w:basedOn w:val="CommentText"/>
    <w:next w:val="CommentText"/>
    <w:link w:val="CommentSubjectChar"/>
    <w:rsid w:val="00AA37A2"/>
    <w:rPr>
      <w:b/>
      <w:bCs/>
    </w:rPr>
  </w:style>
  <w:style w:type="character" w:customStyle="1" w:styleId="CommentSubjectChar">
    <w:name w:val="Comment Subject Char"/>
    <w:basedOn w:val="CommentTextChar"/>
    <w:link w:val="CommentSubject"/>
    <w:rsid w:val="00AA37A2"/>
    <w:rPr>
      <w:b/>
      <w:bCs/>
      <w:lang w:eastAsia="en-US"/>
    </w:rPr>
  </w:style>
  <w:style w:type="paragraph" w:styleId="BalloonText">
    <w:name w:val="Balloon Text"/>
    <w:basedOn w:val="Normal"/>
    <w:link w:val="BalloonTextChar"/>
    <w:rsid w:val="00AA37A2"/>
    <w:pPr>
      <w:spacing w:after="0"/>
    </w:pPr>
    <w:rPr>
      <w:rFonts w:ascii="Segoe UI" w:hAnsi="Segoe UI" w:cs="Segoe UI"/>
      <w:sz w:val="18"/>
      <w:szCs w:val="18"/>
    </w:rPr>
  </w:style>
  <w:style w:type="character" w:customStyle="1" w:styleId="BalloonTextChar">
    <w:name w:val="Balloon Text Char"/>
    <w:basedOn w:val="DefaultParagraphFont"/>
    <w:link w:val="BalloonText"/>
    <w:rsid w:val="00AA37A2"/>
    <w:rPr>
      <w:rFonts w:ascii="Segoe UI" w:hAnsi="Segoe UI" w:cs="Segoe UI"/>
      <w:sz w:val="18"/>
      <w:szCs w:val="18"/>
      <w:lang w:eastAsia="en-US"/>
    </w:rPr>
  </w:style>
  <w:style w:type="paragraph" w:customStyle="1" w:styleId="Doc-text2">
    <w:name w:val="Doc-text2"/>
    <w:basedOn w:val="Normal"/>
    <w:link w:val="Doc-text2Char"/>
    <w:qFormat/>
    <w:rsid w:val="003610E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610E7"/>
    <w:rPr>
      <w:rFonts w:ascii="Arial" w:eastAsia="MS Mincho" w:hAnsi="Arial"/>
      <w:szCs w:val="24"/>
    </w:rPr>
  </w:style>
  <w:style w:type="table" w:styleId="TableGrid">
    <w:name w:val="Table Grid"/>
    <w:basedOn w:val="TableNormal"/>
    <w:rsid w:val="003B2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SP-5AIRPNAIUNRU-859666464-248</_dlc_DocId>
    <_dlc_DocIdUrl xmlns="71c5aaf6-e6ce-465b-b873-5148d2a4c105">
      <Url>https://nokia.sharepoint.com/sites/c5g/e2earch/_layouts/15/DocIdRedir.aspx?ID=SP-5AIRPNAIUNRU-859666464-248</Url>
      <Description>SP-5AIRPNAIUNRU-859666464-248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3314E-904D-4FCA-8D39-627967AF19B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340BCE7-9D5C-4EF7-B907-CF213A1B0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D4B92-FBC5-40AF-A674-F6DFCC30F1B3}">
  <ds:schemaRefs>
    <ds:schemaRef ds:uri="http://schemas.microsoft.com/sharepoint/events"/>
  </ds:schemaRefs>
</ds:datastoreItem>
</file>

<file path=customXml/itemProps4.xml><?xml version="1.0" encoding="utf-8"?>
<ds:datastoreItem xmlns:ds="http://schemas.openxmlformats.org/officeDocument/2006/customXml" ds:itemID="{71D7AD42-4689-4427-A64F-11154E933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83</TotalTime>
  <Pages>4</Pages>
  <Words>1561</Words>
  <Characters>9371</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Van Phan, Vinh (Nokia - FI/Oulu)</dc:creator>
  <cp:lastModifiedBy>Dawid Koziol</cp:lastModifiedBy>
  <cp:revision>40</cp:revision>
  <dcterms:created xsi:type="dcterms:W3CDTF">2017-03-24T07:27:00Z</dcterms:created>
  <dcterms:modified xsi:type="dcterms:W3CDTF">2017-05-05T15:58:00Z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b478be04-3f43-439b-a687-988a1b6e21bd</vt:lpwstr>
  </property>
</Properties>
</file>