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EE4CD" w14:textId="1F9B2EC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694079" w:rsidRPr="00694079">
        <w:rPr>
          <w:bCs/>
          <w:noProof w:val="0"/>
          <w:sz w:val="24"/>
          <w:szCs w:val="24"/>
        </w:rPr>
        <w:t>R2-1701087</w:t>
      </w:r>
    </w:p>
    <w:p w14:paraId="4BEC8961"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C5F2049" w14:textId="77777777" w:rsidR="00CD4C7B" w:rsidRPr="00B266B0" w:rsidRDefault="00CD4C7B" w:rsidP="00CD4C7B">
      <w:pPr>
        <w:pStyle w:val="Header"/>
        <w:rPr>
          <w:bCs/>
          <w:noProof w:val="0"/>
          <w:sz w:val="24"/>
        </w:rPr>
      </w:pPr>
    </w:p>
    <w:p w14:paraId="78666662" w14:textId="77777777" w:rsidR="00CD4C7B" w:rsidRPr="00B266B0" w:rsidRDefault="00CD4C7B" w:rsidP="00CD4C7B">
      <w:pPr>
        <w:pStyle w:val="Header"/>
        <w:rPr>
          <w:bCs/>
          <w:noProof w:val="0"/>
          <w:sz w:val="24"/>
        </w:rPr>
      </w:pPr>
    </w:p>
    <w:p w14:paraId="0B72C3F4" w14:textId="1DC338E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4079">
        <w:rPr>
          <w:rFonts w:cs="Arial"/>
          <w:b/>
          <w:bCs/>
          <w:sz w:val="24"/>
          <w:lang w:eastAsia="ja-JP"/>
        </w:rPr>
        <w:t>9.1.2.4</w:t>
      </w:r>
    </w:p>
    <w:p w14:paraId="4CD40EF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E4F7485" w14:textId="6A0ADE5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4079">
        <w:rPr>
          <w:rFonts w:ascii="Arial" w:hAnsi="Arial" w:cs="Arial"/>
          <w:b/>
          <w:bCs/>
          <w:sz w:val="24"/>
        </w:rPr>
        <w:t>Additional coverage scenario</w:t>
      </w:r>
      <w:r w:rsidR="00DD3FDB">
        <w:rPr>
          <w:rFonts w:ascii="Arial" w:hAnsi="Arial" w:cs="Arial"/>
          <w:b/>
          <w:bCs/>
          <w:sz w:val="24"/>
        </w:rPr>
        <w:t>s</w:t>
      </w:r>
      <w:bookmarkStart w:id="1" w:name="_GoBack"/>
      <w:bookmarkEnd w:id="1"/>
    </w:p>
    <w:p w14:paraId="4935FB24"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25018" w:rsidRPr="008C5FA6">
        <w:rPr>
          <w:rFonts w:ascii="Arial" w:hAnsi="Arial" w:cs="Arial"/>
          <w:b/>
          <w:bCs/>
          <w:sz w:val="24"/>
        </w:rPr>
        <w:t>FS_feD2D_IoT_relay_wearable</w:t>
      </w:r>
    </w:p>
    <w:p w14:paraId="36F0726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235BF9F4" w14:textId="7F50CAA8" w:rsidR="00C25018" w:rsidRDefault="0025086B" w:rsidP="00C25018">
      <w:pPr>
        <w:rPr>
          <w:rFonts w:eastAsia="SimSun"/>
        </w:rPr>
      </w:pPr>
      <w:r>
        <w:rPr>
          <w:lang w:val="en-US"/>
        </w:rPr>
        <w:t xml:space="preserve">The feD2D Study Item’s TR </w:t>
      </w:r>
      <w:r w:rsidR="00F504B9">
        <w:rPr>
          <w:lang w:val="en-US"/>
        </w:rPr>
        <w:t xml:space="preserve">[1] </w:t>
      </w:r>
      <w:r>
        <w:rPr>
          <w:lang w:val="en-US"/>
        </w:rPr>
        <w:t>currently contains 4 coverage scenarios with remote UE either being out of network coverage or in the coverage of the same cell as used by relay UE (i.e. relay’s serving cell</w:t>
      </w:r>
      <w:r w:rsidR="00F504B9">
        <w:rPr>
          <w:lang w:val="en-US"/>
        </w:rPr>
        <w:t xml:space="preserve"> or a cell the relay is camping on</w:t>
      </w:r>
      <w:r>
        <w:rPr>
          <w:lang w:val="en-US"/>
        </w:rPr>
        <w:t xml:space="preserve">). </w:t>
      </w:r>
      <w:r w:rsidR="00F504B9">
        <w:rPr>
          <w:lang w:val="en-US"/>
        </w:rPr>
        <w:t>The need to study additional scenarios where remote UE is under the coverage of a cell different from the one used by the relay UE was analyzed for example in [2]. In this contribution we present our view on that topic.</w:t>
      </w:r>
    </w:p>
    <w:p w14:paraId="1A90BD9D" w14:textId="093B4B64" w:rsidR="00AA37A2" w:rsidRPr="00E92394" w:rsidRDefault="00C60B22" w:rsidP="00AA37A2">
      <w:pPr>
        <w:pStyle w:val="Heading1"/>
      </w:pPr>
      <w:r>
        <w:t>2</w:t>
      </w:r>
      <w:r w:rsidR="00AA37A2" w:rsidRPr="00E92394">
        <w:tab/>
      </w:r>
      <w:r w:rsidR="00A97D7A">
        <w:t>Discussion</w:t>
      </w:r>
    </w:p>
    <w:p w14:paraId="3BA361FE" w14:textId="5A6A685F" w:rsidR="00C25018" w:rsidRDefault="00CC1DF0" w:rsidP="00CC1DF0">
      <w:r>
        <w:t>One of the primary use cases companies have in mind for UE to network relaying is support of wearables devices. As mentioned on many occasions such devices are likely to be in proximity of their relay, which is likely to be a smartphone belonging to the same user. However</w:t>
      </w:r>
      <w:r w:rsidR="00A07BAA">
        <w:t>,</w:t>
      </w:r>
      <w:r>
        <w:t xml:space="preserve"> it has to be noted that physical proximity of the devices does not necessarily mean that they are served or camping on the same cell. Being on the cell edge is one possible scenario, but there are more situation</w:t>
      </w:r>
      <w:r w:rsidR="00A114FA">
        <w:t xml:space="preserve">s where this can happen, e.g. </w:t>
      </w:r>
      <w:r>
        <w:t>UEs may be served on different frequency layers due to load balancing reasons or as shown in [2] remote UE could be CE or BL UE and thus be served by a</w:t>
      </w:r>
      <w:r w:rsidR="00A114FA">
        <w:t>nother</w:t>
      </w:r>
      <w:r>
        <w:t xml:space="preserve"> cell</w:t>
      </w:r>
      <w:r w:rsidR="00A114FA">
        <w:t>, which</w:t>
      </w:r>
      <w:r>
        <w:t xml:space="preserve"> support</w:t>
      </w:r>
      <w:r w:rsidR="00A114FA">
        <w:t xml:space="preserve">s </w:t>
      </w:r>
      <w:r>
        <w:t xml:space="preserve">such UEs. </w:t>
      </w:r>
    </w:p>
    <w:p w14:paraId="3A18BBA8" w14:textId="3EA93C19" w:rsidR="00A07BAA" w:rsidRDefault="00A07BAA" w:rsidP="00CC1DF0">
      <w:pPr>
        <w:rPr>
          <w:b/>
        </w:rPr>
      </w:pPr>
      <w:r>
        <w:rPr>
          <w:b/>
        </w:rPr>
        <w:t>Observation 1: There are many situations in which remote UE and relay UE are under the coverage of different cells or served/camping on different cells.</w:t>
      </w:r>
    </w:p>
    <w:p w14:paraId="27959BF7" w14:textId="5D161A9E" w:rsidR="00A07BAA" w:rsidRDefault="00A07BAA" w:rsidP="00CC1DF0">
      <w:r>
        <w:t>In [2] it is suggested that additional scenarios of UEs being served by different cells belonging to the same eNB are considered, but f</w:t>
      </w:r>
      <w:r w:rsidR="0008750E">
        <w:t>or simplicity it is proposed not to study the scenario where cells belong to different eNBs. In fact</w:t>
      </w:r>
      <w:r w:rsidR="00A114FA">
        <w:t>,</w:t>
      </w:r>
      <w:r w:rsidR="0008750E">
        <w:t xml:space="preserve"> this scenario may require some more complex procedures e.g. in order to support path switch between indirect and direct 3GPP communications or when establishing a connection using relay (e.g. which eNB should be in charge of the sidelink resources allocation). </w:t>
      </w:r>
      <w:r w:rsidR="00A114FA">
        <w:t>T</w:t>
      </w:r>
      <w:r w:rsidR="0008750E">
        <w:t xml:space="preserve">his may be argued </w:t>
      </w:r>
      <w:r w:rsidR="00A114FA">
        <w:t xml:space="preserve">again </w:t>
      </w:r>
      <w:r w:rsidR="0008750E">
        <w:t xml:space="preserve">that wearables are likely to be close to their relay for most of the time. It has to be noted though that wearables, although definitely the leading theme for this SI, are not the only use case and in MTC or Public Safety use cases a very close proximity is not going to be the general rule. </w:t>
      </w:r>
      <w:r w:rsidR="005C212A">
        <w:t>Moreo</w:t>
      </w:r>
      <w:r w:rsidR="00AF1EC9">
        <w:t>ver, as captured in [1]: “</w:t>
      </w:r>
      <w:r w:rsidR="00AF1EC9" w:rsidRPr="00A9538A">
        <w:t>It is assumed that evolved ProSe Remote UEs can support both WAN and D2D connection, and that evolved ProSe Remote UEs have 3GPP subscription credentials.</w:t>
      </w:r>
      <w:r w:rsidR="00AF1EC9">
        <w:t>” Even in case of wearables it is not an unlikely scenario that a remote UE having its data relayed is moving away from the relay UE into the coverage of another eNB, e.g. when a user is going for a run with her/his smartwatch</w:t>
      </w:r>
      <w:r w:rsidR="00A114FA">
        <w:t xml:space="preserve"> leaving the smartphone at home</w:t>
      </w:r>
      <w:r w:rsidR="00AF1EC9">
        <w:t xml:space="preserve">. </w:t>
      </w:r>
      <w:r w:rsidR="006510BA">
        <w:t>Disregarding such scenarios will not change the fact that they will occur in real life, which may only cause users’ frustration when their ongoing service is disrupted. RAN2 should at least consider such scenarios and look for simple solutions where possible instead of disregarding them completely.</w:t>
      </w:r>
    </w:p>
    <w:p w14:paraId="503BB0BF" w14:textId="22313A40" w:rsidR="006510BA" w:rsidRDefault="006510BA" w:rsidP="00CC1DF0">
      <w:pPr>
        <w:rPr>
          <w:b/>
        </w:rPr>
      </w:pPr>
      <w:r>
        <w:rPr>
          <w:b/>
        </w:rPr>
        <w:t>Proposal 1: RAN2 should analyse scenarios where remote UE is under the coverage of, served or camped on another cell than the one of relay UE.</w:t>
      </w:r>
    </w:p>
    <w:p w14:paraId="55945E99" w14:textId="4BCE1197" w:rsidR="006510BA" w:rsidRDefault="003A2EF6" w:rsidP="00CC1DF0">
      <w:pPr>
        <w:rPr>
          <w:lang w:val="en-US"/>
        </w:rPr>
      </w:pPr>
      <w:r>
        <w:rPr>
          <w:lang w:val="en-US"/>
        </w:rPr>
        <w:t>We think that the situation where different cells</w:t>
      </w:r>
      <w:r w:rsidR="002558D5">
        <w:rPr>
          <w:lang w:val="en-US"/>
        </w:rPr>
        <w:t xml:space="preserve"> of the same eNB </w:t>
      </w:r>
      <w:r>
        <w:rPr>
          <w:lang w:val="en-US"/>
        </w:rPr>
        <w:t>are used by remote UE and relay UE</w:t>
      </w:r>
      <w:r w:rsidR="002558D5">
        <w:rPr>
          <w:lang w:val="en-US"/>
        </w:rPr>
        <w:t xml:space="preserve"> can be already covered by the scenario 3 and 4 and it is enough to add the proper clarification to the TR. In turn, the situation where cells belonging to two different eNBs are used requires additional scenarios to be added. We then propose to update Figure 4.3-1 in the TR with the scenarios depicted below.</w:t>
      </w:r>
    </w:p>
    <w:p w14:paraId="3B859A35" w14:textId="26BAFB84" w:rsidR="002558D5" w:rsidRDefault="005C212A" w:rsidP="005C212A">
      <w:pPr>
        <w:jc w:val="center"/>
      </w:pPr>
      <w:r>
        <w:object w:dxaOrig="8692" w:dyaOrig="3651" w14:anchorId="653F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82.25pt" o:ole="">
            <v:imagedata r:id="rId7" o:title=""/>
          </v:shape>
          <o:OLEObject Type="Embed" ProgID="Visio.Drawing.11" ShapeID="_x0000_i1025" DrawAspect="Content" ObjectID="_1547561307" r:id="rId8"/>
        </w:object>
      </w:r>
    </w:p>
    <w:p w14:paraId="6E4FC746" w14:textId="1645BD54" w:rsidR="005C212A" w:rsidRDefault="005C212A" w:rsidP="005C212A">
      <w:pPr>
        <w:jc w:val="center"/>
        <w:rPr>
          <w:lang w:val="en-US"/>
        </w:rPr>
      </w:pPr>
      <w:r>
        <w:t>Figure 1 Additional coverage scenarios with remote UE and relay UE under the coverage of different eNBs.</w:t>
      </w:r>
    </w:p>
    <w:p w14:paraId="42532361" w14:textId="7994CCEA" w:rsidR="006510BA" w:rsidRDefault="005C212A" w:rsidP="00CC1DF0">
      <w:pPr>
        <w:rPr>
          <w:b/>
          <w:lang w:val="en-US"/>
        </w:rPr>
      </w:pPr>
      <w:r>
        <w:rPr>
          <w:b/>
          <w:lang w:val="en-US"/>
        </w:rPr>
        <w:t>Proposal 2: Clarify in the TR that in scenario 3</w:t>
      </w:r>
      <w:r w:rsidR="00DD42E8">
        <w:rPr>
          <w:b/>
          <w:lang w:val="en-US"/>
        </w:rPr>
        <w:t xml:space="preserve"> and 4</w:t>
      </w:r>
      <w:r>
        <w:rPr>
          <w:b/>
          <w:lang w:val="en-US"/>
        </w:rPr>
        <w:t xml:space="preserve"> the remote UE may be camping</w:t>
      </w:r>
      <w:r w:rsidR="00DD42E8">
        <w:rPr>
          <w:b/>
          <w:lang w:val="en-US"/>
        </w:rPr>
        <w:t xml:space="preserve"> on</w:t>
      </w:r>
      <w:r>
        <w:rPr>
          <w:b/>
          <w:lang w:val="en-US"/>
        </w:rPr>
        <w:t xml:space="preserve"> or be served by a cell different than the one use</w:t>
      </w:r>
      <w:r w:rsidR="00DD42E8">
        <w:rPr>
          <w:b/>
          <w:lang w:val="en-US"/>
        </w:rPr>
        <w:t>d</w:t>
      </w:r>
      <w:r>
        <w:rPr>
          <w:b/>
          <w:lang w:val="en-US"/>
        </w:rPr>
        <w:t xml:space="preserve"> by the relay UE.</w:t>
      </w:r>
    </w:p>
    <w:p w14:paraId="3DDFDB24" w14:textId="7F7A1A46" w:rsidR="005C212A" w:rsidRPr="005C212A" w:rsidRDefault="005C212A" w:rsidP="00CC1DF0">
      <w:pPr>
        <w:rPr>
          <w:b/>
          <w:lang w:val="en-US"/>
        </w:rPr>
      </w:pPr>
      <w:r>
        <w:rPr>
          <w:b/>
          <w:lang w:val="en-US"/>
        </w:rPr>
        <w:t>Proposal 3: Add the scenarios depicted on Figure 1 of this contribution to the TR.</w:t>
      </w:r>
    </w:p>
    <w:p w14:paraId="05F33055" w14:textId="77777777" w:rsidR="00C25018" w:rsidRPr="00E92394" w:rsidRDefault="00C25018" w:rsidP="00C25018">
      <w:pPr>
        <w:pStyle w:val="Heading1"/>
      </w:pPr>
      <w:r>
        <w:t>4</w:t>
      </w:r>
      <w:r w:rsidRPr="00E92394">
        <w:tab/>
      </w:r>
      <w:r>
        <w:t>Summary</w:t>
      </w:r>
    </w:p>
    <w:p w14:paraId="298F543E" w14:textId="0F9A0DD1" w:rsidR="00EB1B08" w:rsidRDefault="00C25018" w:rsidP="00C25018">
      <w:pPr>
        <w:rPr>
          <w:lang w:val="en-US"/>
        </w:rPr>
      </w:pPr>
      <w:r>
        <w:rPr>
          <w:lang w:val="en-US"/>
        </w:rPr>
        <w:t xml:space="preserve">In this </w:t>
      </w:r>
      <w:r w:rsidR="001720EE">
        <w:rPr>
          <w:lang w:val="en-US"/>
        </w:rPr>
        <w:t>paper,</w:t>
      </w:r>
      <w:r>
        <w:rPr>
          <w:lang w:val="en-US"/>
        </w:rPr>
        <w:t xml:space="preserve"> </w:t>
      </w:r>
      <w:r w:rsidR="00DD42E8">
        <w:rPr>
          <w:lang w:val="en-US"/>
        </w:rPr>
        <w:t>we show that the scenarios where remote UE and relay UE are under the coverage of different eNBs or are camping/served on different cell</w:t>
      </w:r>
      <w:r w:rsidR="001720EE">
        <w:rPr>
          <w:lang w:val="en-US"/>
        </w:rPr>
        <w:t>s</w:t>
      </w:r>
      <w:r w:rsidR="00DD42E8">
        <w:rPr>
          <w:lang w:val="en-US"/>
        </w:rPr>
        <w:t xml:space="preserve"> are not unlikely to happen in the real deployments. </w:t>
      </w:r>
    </w:p>
    <w:p w14:paraId="571FCF9D" w14:textId="77777777" w:rsidR="00EB1B08" w:rsidRDefault="00EB1B08" w:rsidP="00EB1B08">
      <w:pPr>
        <w:rPr>
          <w:b/>
        </w:rPr>
      </w:pPr>
      <w:r>
        <w:rPr>
          <w:b/>
        </w:rPr>
        <w:t>Observation 1: There are many situations in which remote UE and relay UE are under the coverage of different cells or served/camping on different cells.</w:t>
      </w:r>
    </w:p>
    <w:p w14:paraId="5D91E54C" w14:textId="27E9DA5A" w:rsidR="00C25018" w:rsidRDefault="00DD42E8" w:rsidP="00C25018">
      <w:pPr>
        <w:rPr>
          <w:lang w:val="en-US"/>
        </w:rPr>
      </w:pPr>
      <w:r>
        <w:rPr>
          <w:lang w:val="en-US"/>
        </w:rPr>
        <w:t xml:space="preserve">We also indicate that disregarding </w:t>
      </w:r>
      <w:r w:rsidR="00EB1B08">
        <w:rPr>
          <w:lang w:val="en-US"/>
        </w:rPr>
        <w:t>these situations</w:t>
      </w:r>
      <w:r>
        <w:rPr>
          <w:lang w:val="en-US"/>
        </w:rPr>
        <w:t xml:space="preserve"> may lead to degraded service performance perceived by the end user, which leads us to propose the following:</w:t>
      </w:r>
    </w:p>
    <w:p w14:paraId="06CB0975" w14:textId="77777777" w:rsidR="00DD42E8" w:rsidRDefault="00DD42E8" w:rsidP="00DD42E8">
      <w:pPr>
        <w:rPr>
          <w:b/>
        </w:rPr>
      </w:pPr>
      <w:r>
        <w:rPr>
          <w:b/>
        </w:rPr>
        <w:t>Proposal 1: RAN2 should analyse scenarios where remote UE is under the coverage of, served or camped on another cell than the one of relay UE.</w:t>
      </w:r>
    </w:p>
    <w:p w14:paraId="36367CEF" w14:textId="77777777" w:rsidR="00DD42E8" w:rsidRDefault="00DD42E8" w:rsidP="00DD42E8">
      <w:pPr>
        <w:rPr>
          <w:b/>
          <w:lang w:val="en-US"/>
        </w:rPr>
      </w:pPr>
      <w:r>
        <w:rPr>
          <w:b/>
          <w:lang w:val="en-US"/>
        </w:rPr>
        <w:t>Proposal 2: Clarify in the TR that in scenario 3 and 4 the remote UE may be camping on or be served by a cell different than the one used by the relay UE.</w:t>
      </w:r>
    </w:p>
    <w:p w14:paraId="6363B5D6" w14:textId="77777777" w:rsidR="00DD42E8" w:rsidRPr="005C212A" w:rsidRDefault="00DD42E8" w:rsidP="00DD42E8">
      <w:pPr>
        <w:rPr>
          <w:b/>
          <w:lang w:val="en-US"/>
        </w:rPr>
      </w:pPr>
      <w:r>
        <w:rPr>
          <w:b/>
          <w:lang w:val="en-US"/>
        </w:rPr>
        <w:t>Proposal 3: Add the scenarios depicted on Figure 1 of this contribution to the TR.</w:t>
      </w:r>
    </w:p>
    <w:p w14:paraId="6162BD13" w14:textId="77777777" w:rsidR="00C25018" w:rsidRPr="00E92394" w:rsidRDefault="00C25018" w:rsidP="00C25018">
      <w:pPr>
        <w:pStyle w:val="Heading1"/>
      </w:pPr>
      <w:r w:rsidRPr="00E92394">
        <w:t>References</w:t>
      </w:r>
    </w:p>
    <w:p w14:paraId="597B92AE" w14:textId="77777777" w:rsidR="00F504B9" w:rsidRDefault="00F504B9" w:rsidP="00F504B9">
      <w:pPr>
        <w:numPr>
          <w:ilvl w:val="0"/>
          <w:numId w:val="4"/>
        </w:numPr>
        <w:overflowPunct w:val="0"/>
        <w:autoSpaceDE w:val="0"/>
        <w:autoSpaceDN w:val="0"/>
        <w:adjustRightInd w:val="0"/>
        <w:textAlignment w:val="baseline"/>
      </w:pPr>
      <w:r>
        <w:t>3GPP TR 36.746 V0.3.1 (2016-11</w:t>
      </w:r>
      <w:r w:rsidRPr="00E56830">
        <w:t>)</w:t>
      </w:r>
      <w:r>
        <w:t xml:space="preserve">, </w:t>
      </w:r>
      <w:r w:rsidRPr="00E56830">
        <w:rPr>
          <w:i/>
        </w:rPr>
        <w:t>Study on further enhancements to LTE Device to Device (D2D), User Equipment (UE) to network relays for Internet of Things (IoT) and wearables</w:t>
      </w:r>
    </w:p>
    <w:p w14:paraId="25AE3ECC" w14:textId="1BE4B038" w:rsidR="00C25018" w:rsidRPr="00E92394" w:rsidRDefault="00F504B9" w:rsidP="00F504B9">
      <w:pPr>
        <w:numPr>
          <w:ilvl w:val="0"/>
          <w:numId w:val="4"/>
        </w:numPr>
        <w:overflowPunct w:val="0"/>
        <w:autoSpaceDE w:val="0"/>
        <w:autoSpaceDN w:val="0"/>
        <w:adjustRightInd w:val="0"/>
        <w:textAlignment w:val="baseline"/>
      </w:pPr>
      <w:r w:rsidRPr="00F504B9">
        <w:t>R2-168202</w:t>
      </w:r>
      <w:r w:rsidR="00C25018">
        <w:t xml:space="preserve">, </w:t>
      </w:r>
      <w:r w:rsidRPr="00F504B9">
        <w:rPr>
          <w:i/>
        </w:rPr>
        <w:t>Considerations on the additional coverage scenarios</w:t>
      </w:r>
      <w:r w:rsidR="00C25018">
        <w:t xml:space="preserve">, </w:t>
      </w:r>
      <w:r>
        <w:t>ZTE</w:t>
      </w:r>
    </w:p>
    <w:p w14:paraId="28ABE450" w14:textId="77777777" w:rsidR="00080512" w:rsidRPr="00CD4C7B" w:rsidRDefault="00080512" w:rsidP="00C25018"/>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0520C" w14:textId="77777777" w:rsidR="001C4B68" w:rsidRDefault="001C4B68">
      <w:r>
        <w:separator/>
      </w:r>
    </w:p>
  </w:endnote>
  <w:endnote w:type="continuationSeparator" w:id="0">
    <w:p w14:paraId="0EC16447" w14:textId="77777777" w:rsidR="001C4B68" w:rsidRDefault="001C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0E219" w14:textId="77777777" w:rsidR="001C4B68" w:rsidRDefault="001C4B68">
      <w:r>
        <w:separator/>
      </w:r>
    </w:p>
  </w:footnote>
  <w:footnote w:type="continuationSeparator" w:id="0">
    <w:p w14:paraId="50769D3B" w14:textId="77777777" w:rsidR="001C4B68" w:rsidRDefault="001C4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2927"/>
    <w:rsid w:val="0006078D"/>
    <w:rsid w:val="00080512"/>
    <w:rsid w:val="0008750E"/>
    <w:rsid w:val="00090468"/>
    <w:rsid w:val="000B7BCF"/>
    <w:rsid w:val="000C522B"/>
    <w:rsid w:val="000D58AB"/>
    <w:rsid w:val="001345E6"/>
    <w:rsid w:val="001720EE"/>
    <w:rsid w:val="001741A0"/>
    <w:rsid w:val="00194CD0"/>
    <w:rsid w:val="001B49C9"/>
    <w:rsid w:val="001C4B68"/>
    <w:rsid w:val="001F168B"/>
    <w:rsid w:val="001F7831"/>
    <w:rsid w:val="00204045"/>
    <w:rsid w:val="00220D27"/>
    <w:rsid w:val="00223B50"/>
    <w:rsid w:val="0022606D"/>
    <w:rsid w:val="0025086B"/>
    <w:rsid w:val="002558D5"/>
    <w:rsid w:val="002747EC"/>
    <w:rsid w:val="002855BF"/>
    <w:rsid w:val="002A34DF"/>
    <w:rsid w:val="002B2B18"/>
    <w:rsid w:val="002F0D22"/>
    <w:rsid w:val="002F2F50"/>
    <w:rsid w:val="003172DC"/>
    <w:rsid w:val="00326069"/>
    <w:rsid w:val="0035462D"/>
    <w:rsid w:val="00361A0E"/>
    <w:rsid w:val="00391732"/>
    <w:rsid w:val="003A2EF6"/>
    <w:rsid w:val="003B40AD"/>
    <w:rsid w:val="003C4E37"/>
    <w:rsid w:val="003E16BE"/>
    <w:rsid w:val="00401855"/>
    <w:rsid w:val="00477455"/>
    <w:rsid w:val="004D3578"/>
    <w:rsid w:val="004D380D"/>
    <w:rsid w:val="004E213A"/>
    <w:rsid w:val="004F4210"/>
    <w:rsid w:val="00503171"/>
    <w:rsid w:val="00506C28"/>
    <w:rsid w:val="00534DA0"/>
    <w:rsid w:val="00543E6C"/>
    <w:rsid w:val="00565087"/>
    <w:rsid w:val="0056573F"/>
    <w:rsid w:val="005C212A"/>
    <w:rsid w:val="005F5D86"/>
    <w:rsid w:val="00611566"/>
    <w:rsid w:val="00622F89"/>
    <w:rsid w:val="00646D99"/>
    <w:rsid w:val="006510BA"/>
    <w:rsid w:val="00656910"/>
    <w:rsid w:val="00657EE9"/>
    <w:rsid w:val="00672C6F"/>
    <w:rsid w:val="0067376D"/>
    <w:rsid w:val="00694079"/>
    <w:rsid w:val="006C66D8"/>
    <w:rsid w:val="006D1E24"/>
    <w:rsid w:val="006E1417"/>
    <w:rsid w:val="006F6A2C"/>
    <w:rsid w:val="00734A5B"/>
    <w:rsid w:val="00737E75"/>
    <w:rsid w:val="00744E76"/>
    <w:rsid w:val="00757D40"/>
    <w:rsid w:val="00781F0F"/>
    <w:rsid w:val="0078727C"/>
    <w:rsid w:val="0079049D"/>
    <w:rsid w:val="007B18D8"/>
    <w:rsid w:val="007C095F"/>
    <w:rsid w:val="008028A4"/>
    <w:rsid w:val="008056F3"/>
    <w:rsid w:val="008768CA"/>
    <w:rsid w:val="00877EF9"/>
    <w:rsid w:val="00880559"/>
    <w:rsid w:val="008B5306"/>
    <w:rsid w:val="008E3A96"/>
    <w:rsid w:val="008F7799"/>
    <w:rsid w:val="0090271F"/>
    <w:rsid w:val="00902DB9"/>
    <w:rsid w:val="0090466A"/>
    <w:rsid w:val="00936071"/>
    <w:rsid w:val="00942EC2"/>
    <w:rsid w:val="00961B32"/>
    <w:rsid w:val="00974BB0"/>
    <w:rsid w:val="009A0AF3"/>
    <w:rsid w:val="009B07CD"/>
    <w:rsid w:val="009C19E9"/>
    <w:rsid w:val="00A07BAA"/>
    <w:rsid w:val="00A10F02"/>
    <w:rsid w:val="00A114FA"/>
    <w:rsid w:val="00A143A8"/>
    <w:rsid w:val="00A204CA"/>
    <w:rsid w:val="00A53724"/>
    <w:rsid w:val="00A82346"/>
    <w:rsid w:val="00A9671C"/>
    <w:rsid w:val="00A97D7A"/>
    <w:rsid w:val="00AA1553"/>
    <w:rsid w:val="00AA37A2"/>
    <w:rsid w:val="00AC1D01"/>
    <w:rsid w:val="00AF1EC9"/>
    <w:rsid w:val="00B0769E"/>
    <w:rsid w:val="00B15449"/>
    <w:rsid w:val="00B47FD1"/>
    <w:rsid w:val="00B83AAF"/>
    <w:rsid w:val="00C12B51"/>
    <w:rsid w:val="00C24650"/>
    <w:rsid w:val="00C25018"/>
    <w:rsid w:val="00C33079"/>
    <w:rsid w:val="00C60B22"/>
    <w:rsid w:val="00C83A13"/>
    <w:rsid w:val="00C92967"/>
    <w:rsid w:val="00CA3D0C"/>
    <w:rsid w:val="00CA654B"/>
    <w:rsid w:val="00CC1DF0"/>
    <w:rsid w:val="00CD4C7B"/>
    <w:rsid w:val="00D14F89"/>
    <w:rsid w:val="00D5763F"/>
    <w:rsid w:val="00D738D6"/>
    <w:rsid w:val="00D77F6F"/>
    <w:rsid w:val="00D8044F"/>
    <w:rsid w:val="00D80795"/>
    <w:rsid w:val="00D87E00"/>
    <w:rsid w:val="00D9134D"/>
    <w:rsid w:val="00D96D11"/>
    <w:rsid w:val="00DA7A03"/>
    <w:rsid w:val="00DB1818"/>
    <w:rsid w:val="00DC309B"/>
    <w:rsid w:val="00DC4DA2"/>
    <w:rsid w:val="00DD3FDB"/>
    <w:rsid w:val="00DD42E8"/>
    <w:rsid w:val="00E400C8"/>
    <w:rsid w:val="00E62835"/>
    <w:rsid w:val="00E72D3A"/>
    <w:rsid w:val="00E77645"/>
    <w:rsid w:val="00E80E72"/>
    <w:rsid w:val="00E83697"/>
    <w:rsid w:val="00EB1B08"/>
    <w:rsid w:val="00EC4A25"/>
    <w:rsid w:val="00EC74EC"/>
    <w:rsid w:val="00F025A2"/>
    <w:rsid w:val="00F07388"/>
    <w:rsid w:val="00F2026E"/>
    <w:rsid w:val="00F2210A"/>
    <w:rsid w:val="00F37743"/>
    <w:rsid w:val="00F504B9"/>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E76BEAEF-0B9D-4572-94A4-4E7FA95BA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94</TotalTime>
  <Pages>2</Pages>
  <Words>750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Rapporteur (Nokia)</dc:creator>
  <cp:keywords/>
  <dc:description/>
  <cp:lastModifiedBy>Dawid</cp:lastModifiedBy>
  <cp:revision>13</cp:revision>
  <dcterms:created xsi:type="dcterms:W3CDTF">2017-02-02T14:13:00Z</dcterms:created>
  <dcterms:modified xsi:type="dcterms:W3CDTF">2017-02-02T16:22:00Z</dcterms:modified>
</cp:coreProperties>
</file>