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87E" w:rsidRPr="0047727E" w:rsidRDefault="0065087E" w:rsidP="0065087E">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eeting #</w:t>
      </w:r>
      <w:r w:rsidRPr="0047727E">
        <w:rPr>
          <w:rFonts w:eastAsia="宋体" w:cs="Arial" w:hint="eastAsia"/>
          <w:sz w:val="22"/>
          <w:szCs w:val="22"/>
          <w:lang w:eastAsia="zh-CN"/>
        </w:rPr>
        <w:t>9</w:t>
      </w:r>
      <w:r>
        <w:rPr>
          <w:rFonts w:eastAsia="宋体" w:cs="Arial"/>
          <w:sz w:val="22"/>
          <w:szCs w:val="22"/>
          <w:lang w:eastAsia="zh-CN"/>
        </w:rPr>
        <w:t>6</w:t>
      </w:r>
      <w:r w:rsidRPr="0047727E">
        <w:rPr>
          <w:rFonts w:cs="Arial"/>
          <w:sz w:val="22"/>
          <w:szCs w:val="22"/>
        </w:rPr>
        <w:tab/>
        <w:t>R</w:t>
      </w:r>
      <w:r>
        <w:rPr>
          <w:rFonts w:eastAsia="宋体" w:cs="Arial" w:hint="eastAsia"/>
          <w:sz w:val="22"/>
          <w:szCs w:val="22"/>
          <w:lang w:eastAsia="zh-CN"/>
        </w:rPr>
        <w:t>2</w:t>
      </w:r>
      <w:r w:rsidRPr="0047727E">
        <w:rPr>
          <w:rFonts w:cs="Arial"/>
          <w:sz w:val="22"/>
          <w:szCs w:val="22"/>
        </w:rPr>
        <w:t>-</w:t>
      </w:r>
      <w:r w:rsidRPr="0047727E">
        <w:rPr>
          <w:rFonts w:eastAsia="宋体" w:cs="Arial" w:hint="eastAsia"/>
          <w:sz w:val="22"/>
          <w:szCs w:val="22"/>
          <w:lang w:eastAsia="zh-CN"/>
        </w:rPr>
        <w:t>16</w:t>
      </w:r>
      <w:r w:rsidR="005D1A08">
        <w:rPr>
          <w:rFonts w:eastAsia="宋体" w:cs="Arial"/>
          <w:sz w:val="22"/>
          <w:szCs w:val="22"/>
          <w:lang w:eastAsia="zh-CN"/>
        </w:rPr>
        <w:t>7962</w:t>
      </w:r>
    </w:p>
    <w:p w:rsidR="0065087E" w:rsidRDefault="0065087E" w:rsidP="0065087E">
      <w:pPr>
        <w:pStyle w:val="Header"/>
        <w:jc w:val="both"/>
        <w:rPr>
          <w:rFonts w:eastAsia="宋体" w:cs="Arial"/>
          <w:sz w:val="22"/>
          <w:szCs w:val="22"/>
          <w:lang w:val="en-GB" w:eastAsia="zh-CN"/>
        </w:rPr>
      </w:pPr>
      <w:r>
        <w:rPr>
          <w:rFonts w:eastAsia="宋体" w:cs="Arial"/>
          <w:sz w:val="22"/>
          <w:szCs w:val="22"/>
          <w:lang w:val="en-GB" w:eastAsia="zh-CN"/>
        </w:rPr>
        <w:t>Reno, USA, 14th</w:t>
      </w:r>
      <w:r w:rsidRPr="005A48F8">
        <w:rPr>
          <w:rFonts w:eastAsia="宋体" w:cs="Arial"/>
          <w:sz w:val="22"/>
          <w:szCs w:val="22"/>
          <w:lang w:val="en-GB" w:eastAsia="zh-CN"/>
        </w:rPr>
        <w:t xml:space="preserve"> – </w:t>
      </w:r>
      <w:r>
        <w:rPr>
          <w:rFonts w:eastAsia="宋体" w:cs="Arial"/>
          <w:sz w:val="22"/>
          <w:szCs w:val="22"/>
          <w:lang w:val="en-GB" w:eastAsia="zh-CN"/>
        </w:rPr>
        <w:t>18th</w:t>
      </w:r>
      <w:r w:rsidRPr="005A48F8">
        <w:rPr>
          <w:rFonts w:eastAsia="宋体" w:cs="Arial"/>
          <w:sz w:val="22"/>
          <w:szCs w:val="22"/>
          <w:lang w:val="en-GB" w:eastAsia="zh-CN"/>
        </w:rPr>
        <w:t xml:space="preserve"> </w:t>
      </w:r>
      <w:r>
        <w:rPr>
          <w:rFonts w:eastAsia="宋体" w:cs="Arial"/>
          <w:sz w:val="22"/>
          <w:szCs w:val="22"/>
          <w:lang w:val="en-GB" w:eastAsia="zh-CN"/>
        </w:rPr>
        <w:t>November</w:t>
      </w:r>
      <w:r w:rsidRPr="005A48F8">
        <w:rPr>
          <w:rFonts w:eastAsia="宋体" w:cs="Arial"/>
          <w:sz w:val="22"/>
          <w:szCs w:val="22"/>
          <w:lang w:val="en-GB" w:eastAsia="zh-CN"/>
        </w:rPr>
        <w:t xml:space="preserve"> 2016</w:t>
      </w:r>
    </w:p>
    <w:p w:rsidR="0065087E" w:rsidRPr="005A48F8" w:rsidRDefault="0065087E" w:rsidP="0065087E">
      <w:pPr>
        <w:pStyle w:val="Header"/>
        <w:jc w:val="both"/>
        <w:rPr>
          <w:rFonts w:eastAsia="宋体" w:cs="Arial"/>
          <w:sz w:val="22"/>
          <w:szCs w:val="22"/>
          <w:lang w:val="en-GB" w:eastAsia="zh-CN"/>
        </w:rPr>
      </w:pPr>
    </w:p>
    <w:p w:rsidR="0065087E" w:rsidRPr="00076E3A" w:rsidRDefault="0065087E" w:rsidP="0065087E">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65087E" w:rsidRPr="006B37EF" w:rsidRDefault="0065087E" w:rsidP="0065087E">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5539C" w:rsidRPr="0095539C">
        <w:rPr>
          <w:rFonts w:cs="Arial"/>
          <w:sz w:val="22"/>
          <w:szCs w:val="22"/>
        </w:rPr>
        <w:t>Connected state and idle state cells</w:t>
      </w:r>
    </w:p>
    <w:p w:rsidR="0065087E" w:rsidRPr="00076E3A" w:rsidRDefault="0065087E" w:rsidP="0065087E">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sz w:val="22"/>
          <w:szCs w:val="22"/>
          <w:lang w:eastAsia="zh-CN"/>
        </w:rPr>
        <w:t>9.</w:t>
      </w:r>
      <w:r w:rsidR="0095539C">
        <w:rPr>
          <w:rFonts w:eastAsia="宋体" w:cs="Arial"/>
          <w:sz w:val="22"/>
          <w:szCs w:val="22"/>
          <w:lang w:eastAsia="zh-CN"/>
        </w:rPr>
        <w:t>3.1.1.1</w:t>
      </w:r>
    </w:p>
    <w:p w:rsidR="0065087E" w:rsidRPr="00B81B31" w:rsidRDefault="0065087E" w:rsidP="0065087E">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60855997"/>
      <w:r w:rsidRPr="00D62F40">
        <w:rPr>
          <w:szCs w:val="28"/>
        </w:rPr>
        <w:t>Introduction</w:t>
      </w:r>
      <w:bookmarkEnd w:id="3"/>
    </w:p>
    <w:p w:rsidR="00035F2E" w:rsidRDefault="00035F2E" w:rsidP="00FE4CDE">
      <w:pPr>
        <w:pStyle w:val="ListParagraph"/>
        <w:ind w:left="0"/>
        <w:jc w:val="both"/>
        <w:rPr>
          <w:rFonts w:eastAsia="宋体"/>
          <w:lang w:eastAsia="zh-CN"/>
        </w:rPr>
      </w:pPr>
      <w:r>
        <w:rPr>
          <w:rFonts w:eastAsia="宋体"/>
          <w:lang w:eastAsia="zh-CN"/>
        </w:rPr>
        <w:t xml:space="preserve">At RAN2#95bis meeting, the following </w:t>
      </w:r>
      <w:r w:rsidR="00AF1357">
        <w:rPr>
          <w:rFonts w:eastAsia="宋体"/>
          <w:lang w:eastAsia="zh-CN"/>
        </w:rPr>
        <w:t>agreements related to NR cell were made:</w:t>
      </w:r>
    </w:p>
    <w:p w:rsidR="00AF1357" w:rsidRDefault="00AF1357" w:rsidP="00AF1357">
      <w:pPr>
        <w:pStyle w:val="Doc-text2"/>
        <w:pBdr>
          <w:top w:val="single" w:sz="4" w:space="1" w:color="auto"/>
          <w:left w:val="single" w:sz="4" w:space="4" w:color="auto"/>
          <w:bottom w:val="single" w:sz="4" w:space="1" w:color="auto"/>
          <w:right w:val="single" w:sz="4" w:space="4" w:color="auto"/>
        </w:pBdr>
      </w:pPr>
      <w:r>
        <w:t xml:space="preserve">Agreements for </w:t>
      </w:r>
      <w:r w:rsidRPr="001D454D">
        <w:t>DL-based mobility in RRC_CONNECTED mode (optimized for data transmission, at least for network-controlled mobility) mobility with RRC involvement, concerning beams and the relation to the NR cell definition</w:t>
      </w:r>
      <w:r>
        <w:t>:</w:t>
      </w:r>
    </w:p>
    <w:p w:rsidR="00AF1357" w:rsidRDefault="00AF1357" w:rsidP="00AF1357">
      <w:pPr>
        <w:pStyle w:val="Doc-text2"/>
        <w:pBdr>
          <w:top w:val="single" w:sz="4" w:space="1" w:color="auto"/>
          <w:left w:val="single" w:sz="4" w:space="4" w:color="auto"/>
          <w:bottom w:val="single" w:sz="4" w:space="1" w:color="auto"/>
          <w:right w:val="single" w:sz="4" w:space="4" w:color="auto"/>
        </w:pBdr>
      </w:pPr>
    </w:p>
    <w:p w:rsidR="00AF1357" w:rsidRDefault="00F71479" w:rsidP="00AF1357">
      <w:pPr>
        <w:pStyle w:val="Doc-text2"/>
        <w:pBdr>
          <w:top w:val="single" w:sz="4" w:space="1" w:color="auto"/>
          <w:left w:val="single" w:sz="4" w:space="4" w:color="auto"/>
          <w:bottom w:val="single" w:sz="4" w:space="1" w:color="auto"/>
          <w:right w:val="single" w:sz="4" w:space="4" w:color="auto"/>
        </w:pBdr>
      </w:pPr>
      <w:r>
        <w:t>(...)</w:t>
      </w:r>
    </w:p>
    <w:p w:rsidR="00F71479" w:rsidRDefault="00F71479" w:rsidP="00AF1357">
      <w:pPr>
        <w:pStyle w:val="Doc-text2"/>
        <w:pBdr>
          <w:top w:val="single" w:sz="4" w:space="1" w:color="auto"/>
          <w:left w:val="single" w:sz="4" w:space="4" w:color="auto"/>
          <w:bottom w:val="single" w:sz="4" w:space="1" w:color="auto"/>
          <w:right w:val="single" w:sz="4" w:space="4" w:color="auto"/>
        </w:pBdr>
      </w:pPr>
    </w:p>
    <w:p w:rsidR="00AF1357" w:rsidRDefault="00AF1357" w:rsidP="00AF1357">
      <w:pPr>
        <w:pStyle w:val="Doc-text2"/>
        <w:pBdr>
          <w:top w:val="single" w:sz="4" w:space="1" w:color="auto"/>
          <w:left w:val="single" w:sz="4" w:space="4" w:color="auto"/>
          <w:bottom w:val="single" w:sz="4" w:space="1" w:color="auto"/>
          <w:right w:val="single" w:sz="4" w:space="4" w:color="auto"/>
        </w:pBdr>
      </w:pPr>
      <w:r>
        <w:t>2. UE should be able to distinguish between the beams from its serving cell and beams from non-serving cells for RRM measurements in active mobility. UE should be able to determine if a beam is from its serving cell.</w:t>
      </w:r>
    </w:p>
    <w:p w:rsidR="00AF1357" w:rsidRDefault="00AF1357" w:rsidP="00AF1357">
      <w:pPr>
        <w:pStyle w:val="Doc-text2"/>
        <w:pBdr>
          <w:top w:val="single" w:sz="4" w:space="1" w:color="auto"/>
          <w:left w:val="single" w:sz="4" w:space="4" w:color="auto"/>
          <w:bottom w:val="single" w:sz="4" w:space="1" w:color="auto"/>
          <w:right w:val="single" w:sz="4" w:space="4" w:color="auto"/>
        </w:pBdr>
      </w:pPr>
      <w:r>
        <w:t>–</w:t>
      </w:r>
      <w:r>
        <w:tab/>
        <w:t>FFS whether serving/non serving cell may be termed 'serving/non serving set of beam)</w:t>
      </w:r>
    </w:p>
    <w:p w:rsidR="00AF1357" w:rsidRDefault="00AF1357" w:rsidP="00AF1357">
      <w:pPr>
        <w:pStyle w:val="Doc-text2"/>
        <w:pBdr>
          <w:top w:val="single" w:sz="4" w:space="1" w:color="auto"/>
          <w:left w:val="single" w:sz="4" w:space="4" w:color="auto"/>
          <w:bottom w:val="single" w:sz="4" w:space="1" w:color="auto"/>
          <w:right w:val="single" w:sz="4" w:space="4" w:color="auto"/>
        </w:pBdr>
      </w:pPr>
      <w:r>
        <w:t>–</w:t>
      </w:r>
      <w:r>
        <w:tab/>
        <w:t>FFS: whether the UE is informed via dedicated signalling or implicitly detected by the UE based on some broadcast signals.</w:t>
      </w:r>
    </w:p>
    <w:p w:rsidR="00AF1357" w:rsidRDefault="00AF1357" w:rsidP="00AF1357">
      <w:pPr>
        <w:pStyle w:val="Doc-text2"/>
        <w:pBdr>
          <w:top w:val="single" w:sz="4" w:space="1" w:color="auto"/>
          <w:left w:val="single" w:sz="4" w:space="4" w:color="auto"/>
          <w:bottom w:val="single" w:sz="4" w:space="1" w:color="auto"/>
          <w:right w:val="single" w:sz="4" w:space="4" w:color="auto"/>
        </w:pBdr>
      </w:pPr>
      <w:r>
        <w:t>-</w:t>
      </w:r>
      <w:r>
        <w:tab/>
      </w:r>
      <w:r w:rsidRPr="00966E03">
        <w:rPr>
          <w:highlight w:val="yellow"/>
        </w:rPr>
        <w:t>FFS how the cell in connected relates to the cell in idle</w:t>
      </w:r>
    </w:p>
    <w:p w:rsidR="00AF1357" w:rsidRDefault="00AF1357" w:rsidP="00AF1357">
      <w:pPr>
        <w:pStyle w:val="Doc-text2"/>
        <w:pBdr>
          <w:top w:val="single" w:sz="4" w:space="1" w:color="auto"/>
          <w:left w:val="single" w:sz="4" w:space="4" w:color="auto"/>
          <w:bottom w:val="single" w:sz="4" w:space="1" w:color="auto"/>
          <w:right w:val="single" w:sz="4" w:space="4" w:color="auto"/>
        </w:pBdr>
      </w:pPr>
    </w:p>
    <w:p w:rsidR="00966E03" w:rsidRDefault="00966E03" w:rsidP="00966E03">
      <w:pPr>
        <w:pStyle w:val="Doc-text2"/>
        <w:pBdr>
          <w:top w:val="single" w:sz="4" w:space="1" w:color="auto"/>
          <w:left w:val="single" w:sz="4" w:space="4" w:color="auto"/>
          <w:bottom w:val="single" w:sz="4" w:space="1" w:color="auto"/>
          <w:right w:val="single" w:sz="4" w:space="4" w:color="auto"/>
        </w:pBdr>
      </w:pPr>
      <w:r>
        <w:t>(...)</w:t>
      </w:r>
    </w:p>
    <w:p w:rsidR="00AF1357" w:rsidRDefault="00AF1357" w:rsidP="00AF1357">
      <w:pPr>
        <w:pStyle w:val="Doc-text2"/>
        <w:pBdr>
          <w:top w:val="single" w:sz="4" w:space="1" w:color="auto"/>
          <w:left w:val="single" w:sz="4" w:space="4" w:color="auto"/>
          <w:bottom w:val="single" w:sz="4" w:space="1" w:color="auto"/>
          <w:right w:val="single" w:sz="4" w:space="4" w:color="auto"/>
        </w:pBdr>
      </w:pPr>
    </w:p>
    <w:p w:rsidR="00AF1357" w:rsidRDefault="00AF1357" w:rsidP="00AF1357">
      <w:pPr>
        <w:pStyle w:val="Doc-text2"/>
        <w:pBdr>
          <w:top w:val="single" w:sz="4" w:space="1" w:color="auto"/>
          <w:left w:val="single" w:sz="4" w:space="4" w:color="auto"/>
          <w:bottom w:val="single" w:sz="4" w:space="1" w:color="auto"/>
          <w:right w:val="single" w:sz="4" w:space="4" w:color="auto"/>
        </w:pBdr>
      </w:pPr>
      <w:r>
        <w:t xml:space="preserve">4. </w:t>
      </w:r>
      <w:r>
        <w:tab/>
        <w:t>In connected mode, intra-cell mobility can be handled by m</w:t>
      </w:r>
      <w:r w:rsidRPr="001D43A1">
        <w:t>obility without RRC involvement</w:t>
      </w:r>
      <w:r>
        <w:t xml:space="preserve">. </w:t>
      </w:r>
    </w:p>
    <w:p w:rsidR="00AF1357" w:rsidRDefault="00AF1357" w:rsidP="00AF1357">
      <w:pPr>
        <w:pStyle w:val="Doc-text2"/>
        <w:pBdr>
          <w:top w:val="single" w:sz="4" w:space="1" w:color="auto"/>
          <w:left w:val="single" w:sz="4" w:space="4" w:color="auto"/>
          <w:bottom w:val="single" w:sz="4" w:space="1" w:color="auto"/>
          <w:right w:val="single" w:sz="4" w:space="4" w:color="auto"/>
        </w:pBdr>
      </w:pPr>
      <w:r>
        <w:t>-</w:t>
      </w:r>
      <w:r w:rsidR="00966E03">
        <w:tab/>
      </w:r>
      <w:r>
        <w:t>FFS whether there may be cases that do require RRC involvement.</w:t>
      </w:r>
    </w:p>
    <w:p w:rsidR="00AF1357" w:rsidRDefault="00AF1357" w:rsidP="00AF1357">
      <w:pPr>
        <w:pStyle w:val="Doc-text2"/>
        <w:pBdr>
          <w:top w:val="single" w:sz="4" w:space="1" w:color="auto"/>
          <w:left w:val="single" w:sz="4" w:space="4" w:color="auto"/>
          <w:bottom w:val="single" w:sz="4" w:space="1" w:color="auto"/>
          <w:right w:val="single" w:sz="4" w:space="4" w:color="auto"/>
        </w:pBdr>
      </w:pPr>
    </w:p>
    <w:p w:rsidR="00AF1357" w:rsidRDefault="00AF1357" w:rsidP="00FE4CDE">
      <w:pPr>
        <w:pStyle w:val="ListParagraph"/>
        <w:ind w:left="0"/>
        <w:jc w:val="both"/>
        <w:rPr>
          <w:rFonts w:ascii="Arial" w:hAnsi="Arial"/>
          <w:szCs w:val="24"/>
          <w:lang w:eastAsia="en-GB"/>
        </w:rPr>
      </w:pPr>
    </w:p>
    <w:p w:rsidR="00966E03" w:rsidRDefault="00FE4CDE" w:rsidP="00FE4CDE">
      <w:pPr>
        <w:pStyle w:val="ListParagraph"/>
        <w:ind w:left="0"/>
        <w:jc w:val="both"/>
        <w:rPr>
          <w:rFonts w:eastAsia="宋体"/>
          <w:lang w:eastAsia="zh-CN"/>
        </w:rPr>
      </w:pPr>
      <w:r>
        <w:rPr>
          <w:rFonts w:eastAsia="宋体"/>
          <w:lang w:eastAsia="zh-CN"/>
        </w:rPr>
        <w:t xml:space="preserve">In this contribution we </w:t>
      </w:r>
      <w:r w:rsidR="00966E03">
        <w:rPr>
          <w:rFonts w:eastAsia="宋体"/>
          <w:lang w:eastAsia="zh-CN"/>
        </w:rPr>
        <w:t>specifically aim at answering the highlighted FFS above rega</w:t>
      </w:r>
      <w:r w:rsidR="0083246C">
        <w:rPr>
          <w:rFonts w:eastAsia="宋体"/>
          <w:lang w:eastAsia="zh-CN"/>
        </w:rPr>
        <w:t xml:space="preserve">rding the relationship between </w:t>
      </w:r>
      <w:r w:rsidR="006E2BE4">
        <w:rPr>
          <w:rFonts w:eastAsia="宋体"/>
          <w:lang w:eastAsia="zh-CN"/>
        </w:rPr>
        <w:t xml:space="preserve">NR cell in </w:t>
      </w:r>
      <w:r w:rsidR="0083246C">
        <w:rPr>
          <w:rFonts w:eastAsia="宋体"/>
          <w:lang w:eastAsia="zh-CN"/>
        </w:rPr>
        <w:t>I</w:t>
      </w:r>
      <w:r w:rsidR="00966E03">
        <w:rPr>
          <w:rFonts w:eastAsia="宋体"/>
          <w:lang w:eastAsia="zh-CN"/>
        </w:rPr>
        <w:t xml:space="preserve">dle </w:t>
      </w:r>
      <w:r w:rsidR="0083246C">
        <w:rPr>
          <w:rFonts w:eastAsia="宋体"/>
          <w:lang w:eastAsia="zh-CN"/>
        </w:rPr>
        <w:t>state and C</w:t>
      </w:r>
      <w:r w:rsidR="00966E03">
        <w:rPr>
          <w:rFonts w:eastAsia="宋体"/>
          <w:lang w:eastAsia="zh-CN"/>
        </w:rPr>
        <w:t>onnected state.</w:t>
      </w:r>
      <w:r w:rsidR="006E2BE4">
        <w:rPr>
          <w:rFonts w:eastAsia="宋体"/>
          <w:lang w:eastAsia="zh-CN"/>
        </w:rPr>
        <w:t xml:space="preserve"> We will refer to both “cells” as Idle state cell and Connected state cell.</w:t>
      </w:r>
    </w:p>
    <w:p w:rsidR="00BE38BD" w:rsidRDefault="00B81B31" w:rsidP="000909F5">
      <w:pPr>
        <w:pStyle w:val="Heading1"/>
        <w:jc w:val="both"/>
      </w:pPr>
      <w:r w:rsidRPr="00AA54B6">
        <w:rPr>
          <w:rFonts w:hint="eastAsia"/>
        </w:rPr>
        <w:t>Discussion</w:t>
      </w:r>
    </w:p>
    <w:p w:rsidR="003A67E4" w:rsidRDefault="00E11EFE" w:rsidP="003A67E4">
      <w:pPr>
        <w:pStyle w:val="BodyText"/>
        <w:rPr>
          <w:lang w:eastAsia="zh-CN"/>
        </w:rPr>
      </w:pPr>
      <w:r>
        <w:rPr>
          <w:lang w:eastAsia="zh-CN"/>
        </w:rPr>
        <w:t xml:space="preserve">The NR </w:t>
      </w:r>
      <w:r w:rsidR="00386E72">
        <w:rPr>
          <w:lang w:eastAsia="zh-CN"/>
        </w:rPr>
        <w:t xml:space="preserve">cell is primarily defined by RAN1 for the </w:t>
      </w:r>
      <w:r w:rsidR="005D1A08">
        <w:rPr>
          <w:lang w:eastAsia="zh-CN"/>
        </w:rPr>
        <w:t>I</w:t>
      </w:r>
      <w:r w:rsidR="00386E72">
        <w:rPr>
          <w:lang w:eastAsia="zh-CN"/>
        </w:rPr>
        <w:t xml:space="preserve">dle state </w:t>
      </w:r>
      <w:r>
        <w:rPr>
          <w:lang w:eastAsia="zh-CN"/>
        </w:rPr>
        <w:t xml:space="preserve">so far </w:t>
      </w:r>
      <w:r w:rsidR="00386E72">
        <w:rPr>
          <w:lang w:eastAsia="zh-CN"/>
        </w:rPr>
        <w:t xml:space="preserve">and assumes very similar principles as in LTE, i.e. it is identified by two </w:t>
      </w:r>
      <w:r>
        <w:rPr>
          <w:lang w:eastAsia="zh-CN"/>
        </w:rPr>
        <w:t>DL synchronization signals, “</w:t>
      </w:r>
      <w:r w:rsidRPr="00BB0192">
        <w:rPr>
          <w:i/>
          <w:lang w:eastAsia="zh-CN"/>
        </w:rPr>
        <w:t>NR-PSS at least for initial symbol boundary synchronization to the NR cell</w:t>
      </w:r>
      <w:r>
        <w:rPr>
          <w:lang w:eastAsia="zh-CN"/>
        </w:rPr>
        <w:t>”, and “</w:t>
      </w:r>
      <w:r w:rsidRPr="00BB0192">
        <w:rPr>
          <w:i/>
          <w:lang w:eastAsia="zh-CN"/>
        </w:rPr>
        <w:t>NR-SSS for detection of NR cell ID or at least part of NR cell ID</w:t>
      </w:r>
      <w:r>
        <w:rPr>
          <w:lang w:eastAsia="zh-CN"/>
        </w:rPr>
        <w:t>” (extract of RAN1 agreements). RAN1 further assumes that “</w:t>
      </w:r>
      <w:r w:rsidRPr="00BB0192">
        <w:rPr>
          <w:i/>
          <w:lang w:eastAsia="zh-CN"/>
        </w:rPr>
        <w:t xml:space="preserve">NR cell corresponds </w:t>
      </w:r>
      <w:r w:rsidR="00BB0192" w:rsidRPr="00BB0192">
        <w:rPr>
          <w:i/>
          <w:lang w:eastAsia="zh-CN"/>
        </w:rPr>
        <w:t xml:space="preserve">to </w:t>
      </w:r>
      <w:r w:rsidRPr="00BB0192">
        <w:rPr>
          <w:i/>
          <w:lang w:eastAsia="zh-CN"/>
        </w:rPr>
        <w:t>one or multiple TRP(s)</w:t>
      </w:r>
      <w:r>
        <w:rPr>
          <w:lang w:eastAsia="zh-CN"/>
        </w:rPr>
        <w:t>”.</w:t>
      </w:r>
      <w:r w:rsidR="00BB0192">
        <w:rPr>
          <w:lang w:eastAsia="zh-CN"/>
        </w:rPr>
        <w:t xml:space="preserve"> And similar to LTE, it is expected, from earlier RAN1 agreements, that such synchronization signals provide mean to access the system information broadcasted in the cell. As a result, such cell shows lot of commonalities with the legacy LTE cell, at least for </w:t>
      </w:r>
      <w:r w:rsidR="005D1A08">
        <w:rPr>
          <w:lang w:eastAsia="zh-CN"/>
        </w:rPr>
        <w:t>I</w:t>
      </w:r>
      <w:r w:rsidR="00BB0192">
        <w:rPr>
          <w:lang w:eastAsia="zh-CN"/>
        </w:rPr>
        <w:t xml:space="preserve">dle state. On the other hand, the NR cell in RAN2 </w:t>
      </w:r>
      <w:r w:rsidR="00D76684">
        <w:rPr>
          <w:lang w:eastAsia="zh-CN"/>
        </w:rPr>
        <w:t xml:space="preserve">was </w:t>
      </w:r>
      <w:r w:rsidR="00BB0192">
        <w:rPr>
          <w:lang w:eastAsia="zh-CN"/>
        </w:rPr>
        <w:t>mainly d</w:t>
      </w:r>
      <w:r w:rsidR="00D76684">
        <w:rPr>
          <w:lang w:eastAsia="zh-CN"/>
        </w:rPr>
        <w:t xml:space="preserve">iscussed </w:t>
      </w:r>
      <w:r w:rsidR="00BB0192">
        <w:rPr>
          <w:lang w:eastAsia="zh-CN"/>
        </w:rPr>
        <w:t>in the context of Connected state mobility</w:t>
      </w:r>
      <w:r w:rsidR="00D76684">
        <w:rPr>
          <w:lang w:eastAsia="zh-CN"/>
        </w:rPr>
        <w:t xml:space="preserve">, leading to the following primary agreement captured in RAN2#94 meeting linking the NR cell with the </w:t>
      </w:r>
      <w:r w:rsidR="007A5145">
        <w:rPr>
          <w:lang w:eastAsia="zh-CN"/>
        </w:rPr>
        <w:t>two levels of mobility in C</w:t>
      </w:r>
      <w:r w:rsidR="00D76684">
        <w:rPr>
          <w:lang w:eastAsia="zh-CN"/>
        </w:rPr>
        <w:t>onnected state:</w:t>
      </w:r>
    </w:p>
    <w:p w:rsidR="00D76684" w:rsidRDefault="00D76684" w:rsidP="00D76684">
      <w:pPr>
        <w:pStyle w:val="Doc-text2"/>
        <w:pBdr>
          <w:top w:val="single" w:sz="4" w:space="1" w:color="auto"/>
          <w:left w:val="single" w:sz="4" w:space="4" w:color="auto"/>
          <w:bottom w:val="single" w:sz="4" w:space="1" w:color="auto"/>
          <w:right w:val="single" w:sz="4" w:space="4" w:color="auto"/>
        </w:pBdr>
      </w:pPr>
      <w:r>
        <w:t>Agreements</w:t>
      </w:r>
    </w:p>
    <w:p w:rsidR="00D76684" w:rsidRDefault="00D76684" w:rsidP="00D76684">
      <w:pPr>
        <w:pStyle w:val="Doc-text2"/>
        <w:pBdr>
          <w:top w:val="single" w:sz="4" w:space="1" w:color="auto"/>
          <w:left w:val="single" w:sz="4" w:space="4" w:color="auto"/>
          <w:bottom w:val="single" w:sz="4" w:space="1" w:color="auto"/>
          <w:right w:val="single" w:sz="4" w:space="4" w:color="auto"/>
        </w:pBdr>
      </w:pPr>
      <w:r>
        <w:t>Two levels of network controlled mobility:</w:t>
      </w:r>
    </w:p>
    <w:p w:rsidR="00D76684" w:rsidRDefault="00D76684" w:rsidP="00D76684">
      <w:pPr>
        <w:pStyle w:val="Doc-text2"/>
        <w:pBdr>
          <w:top w:val="single" w:sz="4" w:space="1" w:color="auto"/>
          <w:left w:val="single" w:sz="4" w:space="4" w:color="auto"/>
          <w:bottom w:val="single" w:sz="4" w:space="1" w:color="auto"/>
          <w:right w:val="single" w:sz="4" w:space="4" w:color="auto"/>
        </w:pBdr>
      </w:pPr>
      <w:r>
        <w:t>1: RRC driven at 'cell' level.</w:t>
      </w:r>
    </w:p>
    <w:p w:rsidR="00D76684" w:rsidRDefault="00D76684" w:rsidP="00D76684">
      <w:pPr>
        <w:pStyle w:val="Doc-text2"/>
        <w:pBdr>
          <w:top w:val="single" w:sz="4" w:space="1" w:color="auto"/>
          <w:left w:val="single" w:sz="4" w:space="4" w:color="auto"/>
          <w:bottom w:val="single" w:sz="4" w:space="1" w:color="auto"/>
          <w:right w:val="single" w:sz="4" w:space="4" w:color="auto"/>
        </w:pBdr>
      </w:pPr>
      <w:r>
        <w:t xml:space="preserve">2: Zero/Minimum RRC  involvement (e.g. at MAC /PHY) </w:t>
      </w:r>
    </w:p>
    <w:p w:rsidR="00D76684" w:rsidRDefault="00D76684" w:rsidP="00D76684">
      <w:pPr>
        <w:pStyle w:val="Doc-text2"/>
        <w:pBdr>
          <w:top w:val="single" w:sz="4" w:space="1" w:color="auto"/>
          <w:left w:val="single" w:sz="4" w:space="4" w:color="auto"/>
          <w:bottom w:val="single" w:sz="4" w:space="1" w:color="auto"/>
          <w:right w:val="single" w:sz="4" w:space="4" w:color="auto"/>
        </w:pBdr>
      </w:pPr>
      <w:r>
        <w:t>FFS what is the definition of a cell</w:t>
      </w:r>
    </w:p>
    <w:p w:rsidR="00D76684" w:rsidRDefault="00D76684" w:rsidP="00D76684">
      <w:pPr>
        <w:pStyle w:val="Doc-text2"/>
        <w:pBdr>
          <w:top w:val="single" w:sz="4" w:space="1" w:color="auto"/>
          <w:left w:val="single" w:sz="4" w:space="4" w:color="auto"/>
          <w:bottom w:val="single" w:sz="4" w:space="1" w:color="auto"/>
          <w:right w:val="single" w:sz="4" w:space="4" w:color="auto"/>
        </w:pBdr>
      </w:pPr>
    </w:p>
    <w:p w:rsidR="00D76684" w:rsidRDefault="00D76684" w:rsidP="003B08B2">
      <w:pPr>
        <w:pStyle w:val="BodyText"/>
        <w:spacing w:before="120"/>
        <w:rPr>
          <w:lang w:val="en-GB" w:eastAsia="zh-CN"/>
        </w:rPr>
      </w:pPr>
      <w:r>
        <w:rPr>
          <w:lang w:val="en-GB" w:eastAsia="zh-CN"/>
        </w:rPr>
        <w:t xml:space="preserve">This “definition” was further confirmed in RAN2#95bis meeting with the </w:t>
      </w:r>
      <w:r w:rsidR="003B08B2">
        <w:rPr>
          <w:lang w:val="en-GB" w:eastAsia="zh-CN"/>
        </w:rPr>
        <w:t>agreement#4</w:t>
      </w:r>
      <w:r>
        <w:rPr>
          <w:lang w:val="en-GB" w:eastAsia="zh-CN"/>
        </w:rPr>
        <w:t>:</w:t>
      </w:r>
    </w:p>
    <w:p w:rsidR="00D76684" w:rsidRPr="00D76684" w:rsidRDefault="003B08B2" w:rsidP="00D76684">
      <w:pPr>
        <w:pStyle w:val="Doc-text2"/>
        <w:pBdr>
          <w:top w:val="single" w:sz="4" w:space="1" w:color="auto"/>
          <w:left w:val="single" w:sz="4" w:space="4" w:color="auto"/>
          <w:bottom w:val="single" w:sz="4" w:space="1" w:color="auto"/>
          <w:right w:val="single" w:sz="4" w:space="4" w:color="auto"/>
        </w:pBdr>
      </w:pPr>
      <w:r>
        <w:lastRenderedPageBreak/>
        <w:t>4.</w:t>
      </w:r>
      <w:r>
        <w:tab/>
      </w:r>
      <w:r w:rsidR="00D76684" w:rsidRPr="00D76684">
        <w:t xml:space="preserve">In connected mode, intra-cell mobility can be handled by mobility without RRC involvement. </w:t>
      </w:r>
    </w:p>
    <w:p w:rsidR="00D76684" w:rsidRDefault="00D76684" w:rsidP="00D76684">
      <w:pPr>
        <w:pStyle w:val="Doc-text2"/>
        <w:pBdr>
          <w:top w:val="single" w:sz="4" w:space="1" w:color="auto"/>
          <w:left w:val="single" w:sz="4" w:space="4" w:color="auto"/>
          <w:bottom w:val="single" w:sz="4" w:space="1" w:color="auto"/>
          <w:right w:val="single" w:sz="4" w:space="4" w:color="auto"/>
        </w:pBdr>
      </w:pPr>
      <w:r w:rsidRPr="00D76684">
        <w:t>-</w:t>
      </w:r>
      <w:r w:rsidRPr="00D76684">
        <w:tab/>
        <w:t>FFS whether there may be cases that do require RRC involvement</w:t>
      </w:r>
    </w:p>
    <w:p w:rsidR="006C5BB6" w:rsidRDefault="006C5BB6" w:rsidP="003B08B2">
      <w:pPr>
        <w:pStyle w:val="BodyText"/>
        <w:spacing w:before="120"/>
      </w:pPr>
      <w:r>
        <w:t xml:space="preserve">Clearly, for legacy deployments of e.g. non-overlapping </w:t>
      </w:r>
      <w:r w:rsidR="005D1A08">
        <w:t xml:space="preserve">multi-sector </w:t>
      </w:r>
      <w:r>
        <w:t xml:space="preserve">macro-cells, it makes sense to keep the simple and well-known cell model where both RAN1 and RAN2 definitions based on </w:t>
      </w:r>
      <w:r w:rsidR="005D1A08">
        <w:t>I</w:t>
      </w:r>
      <w:r>
        <w:t xml:space="preserve">dle state and </w:t>
      </w:r>
      <w:r w:rsidR="005D1A08">
        <w:t>C</w:t>
      </w:r>
      <w:r>
        <w:t xml:space="preserve">onnected state respectively lead to the same single cell. Hence, Connected state cell = </w:t>
      </w:r>
      <w:r w:rsidR="00484F4F">
        <w:t>I</w:t>
      </w:r>
      <w:r>
        <w:t>dle state cell can be the baseline starting point at least valid for legacy macro cell deployments.</w:t>
      </w:r>
    </w:p>
    <w:p w:rsidR="0083246C" w:rsidRPr="001414F8" w:rsidRDefault="0083246C" w:rsidP="0083246C">
      <w:pPr>
        <w:pStyle w:val="BodyText"/>
        <w:spacing w:before="120"/>
        <w:rPr>
          <w:rFonts w:eastAsia="宋体"/>
          <w:b/>
          <w:lang w:eastAsia="zh-CN"/>
        </w:rPr>
      </w:pPr>
      <w:r>
        <w:rPr>
          <w:rFonts w:eastAsia="宋体"/>
          <w:b/>
          <w:lang w:eastAsia="zh-CN"/>
        </w:rPr>
        <w:t>Observation 1</w:t>
      </w:r>
      <w:r w:rsidRPr="001414F8">
        <w:rPr>
          <w:rFonts w:eastAsia="宋体" w:hint="eastAsia"/>
          <w:b/>
          <w:lang w:eastAsia="zh-CN"/>
        </w:rPr>
        <w:t>:</w:t>
      </w:r>
      <w:r w:rsidRPr="001414F8">
        <w:rPr>
          <w:rFonts w:eastAsia="宋体"/>
          <w:b/>
          <w:lang w:eastAsia="zh-CN"/>
        </w:rPr>
        <w:t xml:space="preserve"> </w:t>
      </w:r>
      <w:r w:rsidRPr="0083246C">
        <w:rPr>
          <w:rFonts w:eastAsia="宋体"/>
          <w:b/>
          <w:lang w:eastAsia="zh-CN"/>
        </w:rPr>
        <w:t>Connected state cell = Idle state cell can be the baseline starting point at least valid for legacy macro cell deployments</w:t>
      </w:r>
      <w:r>
        <w:rPr>
          <w:rFonts w:eastAsia="宋体"/>
          <w:b/>
          <w:lang w:eastAsia="zh-CN"/>
        </w:rPr>
        <w:t>.</w:t>
      </w:r>
    </w:p>
    <w:p w:rsidR="00D76684" w:rsidRDefault="00484F4F" w:rsidP="003B08B2">
      <w:pPr>
        <w:pStyle w:val="BodyText"/>
        <w:spacing w:before="120"/>
        <w:rPr>
          <w:noProof/>
        </w:rPr>
      </w:pPr>
      <w:r>
        <w:t>However, the discussions in both RAN1 and RAN2 WGs also assume quite different types of deployments for NR where a cell (at least as def</w:t>
      </w:r>
      <w:r w:rsidR="007A5145">
        <w:t>ined in I</w:t>
      </w:r>
      <w:r>
        <w:t>dle state) includes multiple TRPs and where beamforming is an essential transmission scheme in high frequency bands. In this context, i</w:t>
      </w:r>
      <w:r w:rsidR="003B08B2">
        <w:t xml:space="preserve">t is expected that when </w:t>
      </w:r>
      <w:r w:rsidR="003B08B2" w:rsidRPr="00D76684">
        <w:t xml:space="preserve">intra-cell mobility </w:t>
      </w:r>
      <w:r w:rsidR="003B08B2">
        <w:t xml:space="preserve">is </w:t>
      </w:r>
      <w:r w:rsidR="003B08B2" w:rsidRPr="00D76684">
        <w:t>handled without RRC involvement</w:t>
      </w:r>
      <w:r w:rsidR="00D76684">
        <w:rPr>
          <w:lang w:val="en-GB" w:eastAsia="zh-CN"/>
        </w:rPr>
        <w:t xml:space="preserve"> </w:t>
      </w:r>
      <w:r w:rsidR="003B08B2">
        <w:rPr>
          <w:noProof/>
        </w:rPr>
        <w:t xml:space="preserve">the </w:t>
      </w:r>
      <w:r w:rsidR="003B08B2" w:rsidRPr="00FE0B3B">
        <w:rPr>
          <w:noProof/>
        </w:rPr>
        <w:t xml:space="preserve">UE </w:t>
      </w:r>
      <w:r w:rsidR="003B08B2">
        <w:rPr>
          <w:noProof/>
        </w:rPr>
        <w:t xml:space="preserve">mobility is controlled by MAC/PHY within a set of TRP/beams. The UE is RRC-configured in first place with an associated set of RSs to monitor/measure and report. Mobility can then be reduced to dynamic TRP/beam selection </w:t>
      </w:r>
      <w:r w:rsidR="003B08B2" w:rsidRPr="00FE0B3B">
        <w:rPr>
          <w:noProof/>
        </w:rPr>
        <w:t xml:space="preserve">by MAC/PHY. This approach maximizes chances to meet the 0ms interruption time KPI </w:t>
      </w:r>
      <w:r w:rsidR="003B08B2" w:rsidRPr="000A73A0">
        <w:rPr>
          <w:noProof/>
        </w:rPr>
        <w:t>most of the time</w:t>
      </w:r>
      <w:r>
        <w:rPr>
          <w:noProof/>
        </w:rPr>
        <w:t xml:space="preserve"> within a potentially large area</w:t>
      </w:r>
      <w:r w:rsidR="003B08B2" w:rsidRPr="000A73A0">
        <w:rPr>
          <w:noProof/>
        </w:rPr>
        <w:t>.</w:t>
      </w:r>
      <w:r w:rsidR="005D65CA">
        <w:rPr>
          <w:noProof/>
        </w:rPr>
        <w:t xml:space="preserve"> Compared to LTE, such MAC/PHY controlled mobility within a set of TRP/beams can be viewed as an extension of the CoMP feature.</w:t>
      </w:r>
    </w:p>
    <w:p w:rsidR="009E021C" w:rsidRDefault="007A5145" w:rsidP="003B08B2">
      <w:pPr>
        <w:pStyle w:val="BodyText"/>
        <w:spacing w:before="120"/>
        <w:rPr>
          <w:noProof/>
        </w:rPr>
      </w:pPr>
      <w:r>
        <w:rPr>
          <w:noProof/>
        </w:rPr>
        <w:t>However</w:t>
      </w:r>
      <w:r w:rsidR="009E021C">
        <w:rPr>
          <w:noProof/>
        </w:rPr>
        <w:t xml:space="preserve">, </w:t>
      </w:r>
      <w:r w:rsidR="006862BE">
        <w:rPr>
          <w:noProof/>
        </w:rPr>
        <w:t xml:space="preserve">some analysis (Section 4.1 in </w:t>
      </w:r>
      <w:r w:rsidR="00DD575C">
        <w:rPr>
          <w:noProof/>
        </w:rPr>
        <w:fldChar w:fldCharType="begin"/>
      </w:r>
      <w:r w:rsidR="006862BE">
        <w:rPr>
          <w:noProof/>
        </w:rPr>
        <w:instrText xml:space="preserve"> REF _Ref465845531 \n \h </w:instrText>
      </w:r>
      <w:r w:rsidR="00DD575C">
        <w:rPr>
          <w:noProof/>
        </w:rPr>
      </w:r>
      <w:r w:rsidR="00DD575C">
        <w:rPr>
          <w:noProof/>
        </w:rPr>
        <w:fldChar w:fldCharType="separate"/>
      </w:r>
      <w:r w:rsidR="006862BE">
        <w:rPr>
          <w:noProof/>
        </w:rPr>
        <w:t>[1]</w:t>
      </w:r>
      <w:r w:rsidR="00DD575C">
        <w:rPr>
          <w:noProof/>
        </w:rPr>
        <w:fldChar w:fldCharType="end"/>
      </w:r>
      <w:r w:rsidR="006862BE">
        <w:rPr>
          <w:noProof/>
        </w:rPr>
        <w:t>) show that “</w:t>
      </w:r>
      <w:r w:rsidR="006862BE" w:rsidRPr="00A3787D">
        <w:rPr>
          <w:i/>
          <w:noProof/>
        </w:rPr>
        <w:t>for the agreed TRP antenna @ 30GHz, an estimation on the number of BRS beams is close to 50</w:t>
      </w:r>
      <w:r w:rsidR="006862BE">
        <w:rPr>
          <w:noProof/>
        </w:rPr>
        <w:t xml:space="preserve">”. </w:t>
      </w:r>
      <w:r w:rsidR="006862BE">
        <w:rPr>
          <w:lang w:val="en-GB" w:eastAsia="zh-CN"/>
        </w:rPr>
        <w:t>G</w:t>
      </w:r>
      <w:r w:rsidR="009E021C">
        <w:rPr>
          <w:lang w:val="en-GB" w:eastAsia="zh-CN"/>
        </w:rPr>
        <w:t xml:space="preserve">iven the </w:t>
      </w:r>
      <w:r w:rsidR="006862BE">
        <w:rPr>
          <w:lang w:val="en-GB" w:eastAsia="zh-CN"/>
        </w:rPr>
        <w:t xml:space="preserve">resulting </w:t>
      </w:r>
      <w:r w:rsidR="009E021C">
        <w:rPr>
          <w:lang w:val="en-GB" w:eastAsia="zh-CN"/>
        </w:rPr>
        <w:t xml:space="preserve">potentially huge amount of </w:t>
      </w:r>
      <w:r w:rsidR="006862BE">
        <w:rPr>
          <w:lang w:val="en-GB" w:eastAsia="zh-CN"/>
        </w:rPr>
        <w:t xml:space="preserve">total </w:t>
      </w:r>
      <w:r w:rsidR="009E021C">
        <w:rPr>
          <w:lang w:val="en-GB" w:eastAsia="zh-CN"/>
        </w:rPr>
        <w:t>possible beams across a multi-TRP (</w:t>
      </w:r>
      <w:r w:rsidR="005D1A08">
        <w:rPr>
          <w:lang w:val="en-GB" w:eastAsia="zh-CN"/>
        </w:rPr>
        <w:t>I</w:t>
      </w:r>
      <w:r w:rsidR="009E021C">
        <w:rPr>
          <w:lang w:val="en-GB" w:eastAsia="zh-CN"/>
        </w:rPr>
        <w:t>dle state) cell, it looks overkill to configure a Connected UE with all such beams as its serving set of beams.</w:t>
      </w:r>
    </w:p>
    <w:p w:rsidR="006E2BE4" w:rsidRPr="001414F8" w:rsidRDefault="006E2BE4" w:rsidP="006E2BE4">
      <w:pPr>
        <w:pStyle w:val="BodyText"/>
        <w:spacing w:before="120"/>
        <w:rPr>
          <w:rFonts w:eastAsia="宋体"/>
          <w:b/>
          <w:lang w:eastAsia="zh-CN"/>
        </w:rPr>
      </w:pPr>
      <w:r>
        <w:rPr>
          <w:rFonts w:eastAsia="宋体"/>
          <w:b/>
          <w:lang w:eastAsia="zh-CN"/>
        </w:rPr>
        <w:t>Observation 2</w:t>
      </w:r>
      <w:r w:rsidRPr="001414F8">
        <w:rPr>
          <w:rFonts w:eastAsia="宋体" w:hint="eastAsia"/>
          <w:b/>
          <w:lang w:eastAsia="zh-CN"/>
        </w:rPr>
        <w:t>:</w:t>
      </w:r>
      <w:r w:rsidRPr="001414F8">
        <w:rPr>
          <w:rFonts w:eastAsia="宋体"/>
          <w:b/>
          <w:lang w:eastAsia="zh-CN"/>
        </w:rPr>
        <w:t xml:space="preserve"> </w:t>
      </w:r>
      <w:r>
        <w:rPr>
          <w:rFonts w:eastAsia="宋体"/>
          <w:b/>
          <w:lang w:eastAsia="zh-CN"/>
        </w:rPr>
        <w:t>I</w:t>
      </w:r>
      <w:r w:rsidRPr="006E2BE4">
        <w:rPr>
          <w:rFonts w:eastAsia="宋体"/>
          <w:b/>
          <w:lang w:eastAsia="zh-CN"/>
        </w:rPr>
        <w:t xml:space="preserve">t looks overkill to configure a Connected UE with all beams available in a </w:t>
      </w:r>
      <w:r>
        <w:rPr>
          <w:rFonts w:eastAsia="宋体"/>
          <w:b/>
          <w:lang w:eastAsia="zh-CN"/>
        </w:rPr>
        <w:t xml:space="preserve">multi-TRP </w:t>
      </w:r>
      <w:r w:rsidRPr="006E2BE4">
        <w:rPr>
          <w:rFonts w:eastAsia="宋体"/>
          <w:b/>
          <w:lang w:eastAsia="zh-CN"/>
        </w:rPr>
        <w:t>(Idle state) cell as its serving set of beams</w:t>
      </w:r>
      <w:r>
        <w:rPr>
          <w:rFonts w:eastAsia="宋体"/>
          <w:b/>
          <w:lang w:eastAsia="zh-CN"/>
        </w:rPr>
        <w:t>.</w:t>
      </w:r>
    </w:p>
    <w:p w:rsidR="00E3460D" w:rsidRDefault="00E3460D" w:rsidP="003B08B2">
      <w:pPr>
        <w:pStyle w:val="BodyText"/>
        <w:spacing w:before="120"/>
        <w:rPr>
          <w:lang w:val="en-GB" w:eastAsia="zh-CN"/>
        </w:rPr>
      </w:pPr>
      <w:r>
        <w:rPr>
          <w:lang w:val="en-GB" w:eastAsia="zh-CN"/>
        </w:rPr>
        <w:t xml:space="preserve">Therefore we still require defining a mobility area defined as the serving set of TRP/beams outside which UE needs to search </w:t>
      </w:r>
      <w:r w:rsidR="0031625B" w:rsidRPr="0031625B">
        <w:rPr>
          <w:i/>
          <w:lang w:val="en-GB" w:eastAsia="zh-CN"/>
        </w:rPr>
        <w:t>autonomously</w:t>
      </w:r>
      <w:r w:rsidR="0031625B">
        <w:rPr>
          <w:lang w:val="en-GB" w:eastAsia="zh-CN"/>
        </w:rPr>
        <w:t xml:space="preserve"> </w:t>
      </w:r>
      <w:r>
        <w:rPr>
          <w:lang w:val="en-GB" w:eastAsia="zh-CN"/>
        </w:rPr>
        <w:t xml:space="preserve">for neighbour beams for reporting to gNB potentially triggering a reconfiguration of the serving beams. And at least from UE perspective, it is not clear how these intra-cell neighbour beams measurements need to be specified differently from neighbour (Idle) cell beams measurements. Both are identified with non-UE-specific TRP/beam-specific RS searched autonomously by the UE and are expected to follow the same measurement method. Only report triggers might be different, since a different Qhyst should apply to intra </w:t>
      </w:r>
      <w:r w:rsidR="004026D1">
        <w:rPr>
          <w:lang w:val="en-GB" w:eastAsia="zh-CN"/>
        </w:rPr>
        <w:t xml:space="preserve">(Idle state) </w:t>
      </w:r>
      <w:r>
        <w:rPr>
          <w:lang w:val="en-GB" w:eastAsia="zh-CN"/>
        </w:rPr>
        <w:t xml:space="preserve">cell measurement reports compared to neighbour cell reports. But assuming those TRP/beam-specific RS allow identifying the (Idle state) cell they belong to, the UE can distinguish between intra and inter-cell </w:t>
      </w:r>
      <w:r w:rsidR="007A5145">
        <w:rPr>
          <w:lang w:val="en-GB" w:eastAsia="zh-CN"/>
        </w:rPr>
        <w:t xml:space="preserve">beam </w:t>
      </w:r>
      <w:r>
        <w:rPr>
          <w:lang w:val="en-GB" w:eastAsia="zh-CN"/>
        </w:rPr>
        <w:t>measurements</w:t>
      </w:r>
      <w:r w:rsidR="005900FC">
        <w:rPr>
          <w:lang w:val="en-GB" w:eastAsia="zh-CN"/>
        </w:rPr>
        <w:t>.</w:t>
      </w:r>
    </w:p>
    <w:p w:rsidR="00E3460D" w:rsidRPr="001414F8" w:rsidRDefault="00E3460D" w:rsidP="00E3460D">
      <w:pPr>
        <w:pStyle w:val="BodyText"/>
        <w:spacing w:before="120"/>
        <w:rPr>
          <w:rFonts w:eastAsia="宋体"/>
          <w:b/>
          <w:lang w:eastAsia="zh-CN"/>
        </w:rPr>
      </w:pPr>
      <w:r>
        <w:rPr>
          <w:rFonts w:eastAsia="宋体"/>
          <w:b/>
          <w:lang w:eastAsia="zh-CN"/>
        </w:rPr>
        <w:t>Observation 3</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From UE perspective, </w:t>
      </w:r>
      <w:r w:rsidR="007A5145">
        <w:rPr>
          <w:rFonts w:eastAsia="宋体"/>
          <w:b/>
          <w:lang w:eastAsia="zh-CN"/>
        </w:rPr>
        <w:t xml:space="preserve">there is no difference between </w:t>
      </w:r>
      <w:r>
        <w:rPr>
          <w:rFonts w:eastAsia="宋体"/>
          <w:b/>
          <w:lang w:eastAsia="zh-CN"/>
        </w:rPr>
        <w:t xml:space="preserve">autonomous search for </w:t>
      </w:r>
      <w:r w:rsidRPr="00E3460D">
        <w:rPr>
          <w:rFonts w:eastAsia="宋体"/>
          <w:b/>
          <w:lang w:eastAsia="zh-CN"/>
        </w:rPr>
        <w:t xml:space="preserve">non-UE-specific TRP/beam-specific RS </w:t>
      </w:r>
      <w:r w:rsidR="007A5145">
        <w:rPr>
          <w:rFonts w:eastAsia="宋体"/>
          <w:b/>
          <w:lang w:eastAsia="zh-CN"/>
        </w:rPr>
        <w:t>outside its</w:t>
      </w:r>
      <w:r>
        <w:rPr>
          <w:rFonts w:eastAsia="宋体"/>
          <w:b/>
          <w:lang w:eastAsia="zh-CN"/>
        </w:rPr>
        <w:t xml:space="preserve"> </w:t>
      </w:r>
      <w:r w:rsidR="006B19F9">
        <w:rPr>
          <w:rFonts w:eastAsia="宋体"/>
          <w:b/>
          <w:lang w:eastAsia="zh-CN"/>
        </w:rPr>
        <w:t xml:space="preserve">configured </w:t>
      </w:r>
      <w:r w:rsidRPr="00E3460D">
        <w:rPr>
          <w:rFonts w:eastAsia="宋体"/>
          <w:b/>
          <w:lang w:eastAsia="zh-CN"/>
        </w:rPr>
        <w:t xml:space="preserve">serving set of TRP/beams </w:t>
      </w:r>
      <w:r w:rsidR="007A5145">
        <w:rPr>
          <w:rFonts w:eastAsia="宋体"/>
          <w:b/>
          <w:lang w:eastAsia="zh-CN"/>
        </w:rPr>
        <w:t>and</w:t>
      </w:r>
      <w:r w:rsidR="006B19F9">
        <w:rPr>
          <w:rFonts w:eastAsia="宋体"/>
          <w:b/>
          <w:lang w:eastAsia="zh-CN"/>
        </w:rPr>
        <w:t xml:space="preserve"> outsi</w:t>
      </w:r>
      <w:r w:rsidR="007A5145">
        <w:rPr>
          <w:rFonts w:eastAsia="宋体"/>
          <w:b/>
          <w:lang w:eastAsia="zh-CN"/>
        </w:rPr>
        <w:t>de its (Idle state) cell</w:t>
      </w:r>
      <w:r w:rsidR="006B19F9">
        <w:rPr>
          <w:rFonts w:eastAsia="宋体"/>
          <w:b/>
          <w:lang w:eastAsia="zh-CN"/>
        </w:rPr>
        <w:t>.</w:t>
      </w:r>
    </w:p>
    <w:p w:rsidR="006E2BE4" w:rsidRDefault="006E2BE4" w:rsidP="003B08B2">
      <w:pPr>
        <w:pStyle w:val="BodyText"/>
        <w:spacing w:before="120"/>
        <w:rPr>
          <w:noProof/>
        </w:rPr>
      </w:pPr>
      <w:r>
        <w:rPr>
          <w:noProof/>
        </w:rPr>
        <w:t xml:space="preserve">It should </w:t>
      </w:r>
      <w:r w:rsidR="005D1A08">
        <w:rPr>
          <w:noProof/>
        </w:rPr>
        <w:t xml:space="preserve">also </w:t>
      </w:r>
      <w:r>
        <w:rPr>
          <w:noProof/>
        </w:rPr>
        <w:t xml:space="preserve">be observed that, </w:t>
      </w:r>
      <w:r>
        <w:rPr>
          <w:lang w:val="en-GB" w:eastAsia="zh-CN"/>
        </w:rPr>
        <w:t xml:space="preserve">similar to </w:t>
      </w:r>
      <w:r w:rsidR="005D1A08">
        <w:rPr>
          <w:lang w:val="en-GB" w:eastAsia="zh-CN"/>
        </w:rPr>
        <w:t xml:space="preserve">some </w:t>
      </w:r>
      <w:r>
        <w:rPr>
          <w:lang w:val="en-GB" w:eastAsia="zh-CN"/>
        </w:rPr>
        <w:t>CoMP scenarios, the serving set of TRP/beams can be across multiple (Idle state) cells. We believe it is an important design goal of NR to allow supporting at least the same level of flexibility and performance provided by LTE CoMP features.</w:t>
      </w:r>
    </w:p>
    <w:p w:rsidR="006E2BE4" w:rsidRPr="001414F8" w:rsidRDefault="006E2BE4" w:rsidP="006E2BE4">
      <w:pPr>
        <w:pStyle w:val="BodyText"/>
        <w:spacing w:before="120"/>
        <w:rPr>
          <w:rFonts w:eastAsia="宋体"/>
          <w:b/>
          <w:lang w:eastAsia="zh-CN"/>
        </w:rPr>
      </w:pPr>
      <w:r>
        <w:rPr>
          <w:rFonts w:eastAsia="宋体"/>
          <w:b/>
          <w:lang w:eastAsia="zh-CN"/>
        </w:rPr>
        <w:t xml:space="preserve">Observation </w:t>
      </w:r>
      <w:r w:rsidR="00E3460D">
        <w:rPr>
          <w:rFonts w:eastAsia="宋体"/>
          <w:b/>
          <w:lang w:eastAsia="zh-CN"/>
        </w:rPr>
        <w:t>4</w:t>
      </w:r>
      <w:r w:rsidRPr="001414F8">
        <w:rPr>
          <w:rFonts w:eastAsia="宋体" w:hint="eastAsia"/>
          <w:b/>
          <w:lang w:eastAsia="zh-CN"/>
        </w:rPr>
        <w:t>:</w:t>
      </w:r>
      <w:r w:rsidRPr="001414F8">
        <w:rPr>
          <w:rFonts w:eastAsia="宋体"/>
          <w:b/>
          <w:lang w:eastAsia="zh-CN"/>
        </w:rPr>
        <w:t xml:space="preserve"> </w:t>
      </w:r>
      <w:r>
        <w:rPr>
          <w:rFonts w:eastAsia="宋体"/>
          <w:b/>
          <w:lang w:eastAsia="zh-CN"/>
        </w:rPr>
        <w:t>S</w:t>
      </w:r>
      <w:r w:rsidRPr="006E2BE4">
        <w:rPr>
          <w:rFonts w:eastAsia="宋体"/>
          <w:b/>
          <w:lang w:eastAsia="zh-CN"/>
        </w:rPr>
        <w:t xml:space="preserve">imilar to </w:t>
      </w:r>
      <w:r w:rsidR="00CE135E">
        <w:rPr>
          <w:rFonts w:eastAsia="宋体"/>
          <w:b/>
          <w:lang w:eastAsia="zh-CN"/>
        </w:rPr>
        <w:t xml:space="preserve">some </w:t>
      </w:r>
      <w:r w:rsidRPr="006E2BE4">
        <w:rPr>
          <w:rFonts w:eastAsia="宋体"/>
          <w:b/>
          <w:lang w:eastAsia="zh-CN"/>
        </w:rPr>
        <w:t>CoMP scenarios, the serving set of TRP/beams can be across multiple (Idle state) cells</w:t>
      </w:r>
      <w:r>
        <w:rPr>
          <w:rFonts w:eastAsia="宋体"/>
          <w:b/>
          <w:lang w:eastAsia="zh-CN"/>
        </w:rPr>
        <w:t>.</w:t>
      </w:r>
    </w:p>
    <w:p w:rsidR="00EB6FF5" w:rsidRPr="00D57714" w:rsidRDefault="003B08B2" w:rsidP="003B08B2">
      <w:pPr>
        <w:pStyle w:val="BodyText"/>
        <w:spacing w:before="120"/>
      </w:pPr>
      <w:r>
        <w:rPr>
          <w:noProof/>
        </w:rPr>
        <w:t>Now, agreement 4 can be interpreted in the strict sense i.e. excuding any RRC involvement or with some “tolerance” allowing some minimum RRC involvement, as suggested by the FFS</w:t>
      </w:r>
      <w:r w:rsidR="00D57714">
        <w:rPr>
          <w:noProof/>
        </w:rPr>
        <w:t>.</w:t>
      </w:r>
      <w:r w:rsidR="00D57714">
        <w:t xml:space="preserve"> </w:t>
      </w:r>
      <w:r w:rsidR="00EB6FF5">
        <w:rPr>
          <w:lang w:val="en-GB" w:eastAsia="zh-CN"/>
        </w:rPr>
        <w:t>We elaborate both options below.</w:t>
      </w:r>
    </w:p>
    <w:p w:rsidR="00EB6FF5" w:rsidRDefault="00EB6FF5" w:rsidP="00EB6FF5">
      <w:pPr>
        <w:pStyle w:val="Heading2"/>
        <w:ind w:left="562" w:hanging="562"/>
        <w:jc w:val="both"/>
        <w:rPr>
          <w:rFonts w:eastAsia="宋体"/>
        </w:rPr>
      </w:pPr>
      <w:bookmarkStart w:id="4" w:name="_Ref462432227"/>
      <w:r>
        <w:rPr>
          <w:rFonts w:eastAsia="宋体"/>
        </w:rPr>
        <w:t>Strict sense interpretation: no RRC involvement</w:t>
      </w:r>
      <w:bookmarkEnd w:id="4"/>
      <w:r>
        <w:rPr>
          <w:rFonts w:eastAsia="宋体"/>
        </w:rPr>
        <w:t xml:space="preserve"> </w:t>
      </w:r>
    </w:p>
    <w:p w:rsidR="007A5145" w:rsidRDefault="006C5BB6" w:rsidP="003B08B2">
      <w:pPr>
        <w:pStyle w:val="BodyText"/>
        <w:spacing w:before="120"/>
        <w:rPr>
          <w:lang w:val="en-GB" w:eastAsia="zh-CN"/>
        </w:rPr>
      </w:pPr>
      <w:r>
        <w:rPr>
          <w:lang w:val="en-GB" w:eastAsia="zh-CN"/>
        </w:rPr>
        <w:t>It is clear that if agreement 4 is interpreted in the strict sense, then a</w:t>
      </w:r>
      <w:r w:rsidR="00484F4F">
        <w:rPr>
          <w:lang w:val="en-GB" w:eastAsia="zh-CN"/>
        </w:rPr>
        <w:t>s</w:t>
      </w:r>
      <w:r>
        <w:rPr>
          <w:lang w:val="en-GB" w:eastAsia="zh-CN"/>
        </w:rPr>
        <w:t xml:space="preserve"> soon as </w:t>
      </w:r>
      <w:r w:rsidR="00484F4F">
        <w:rPr>
          <w:lang w:val="en-GB" w:eastAsia="zh-CN"/>
        </w:rPr>
        <w:t xml:space="preserve">a UE is </w:t>
      </w:r>
      <w:r w:rsidR="005D65CA">
        <w:rPr>
          <w:lang w:val="en-GB" w:eastAsia="zh-CN"/>
        </w:rPr>
        <w:t>RRC-</w:t>
      </w:r>
      <w:r w:rsidR="00484F4F">
        <w:rPr>
          <w:lang w:val="en-GB" w:eastAsia="zh-CN"/>
        </w:rPr>
        <w:t xml:space="preserve">reconfigured with e.g. a new </w:t>
      </w:r>
      <w:r w:rsidR="005D65CA">
        <w:rPr>
          <w:lang w:val="en-GB" w:eastAsia="zh-CN"/>
        </w:rPr>
        <w:t>TRP/</w:t>
      </w:r>
      <w:r w:rsidR="00484F4F">
        <w:rPr>
          <w:lang w:val="en-GB" w:eastAsia="zh-CN"/>
        </w:rPr>
        <w:t xml:space="preserve">beam or set of </w:t>
      </w:r>
      <w:r w:rsidR="005D65CA">
        <w:rPr>
          <w:lang w:val="en-GB" w:eastAsia="zh-CN"/>
        </w:rPr>
        <w:t>TRP/</w:t>
      </w:r>
      <w:r w:rsidR="00484F4F">
        <w:rPr>
          <w:lang w:val="en-GB" w:eastAsia="zh-CN"/>
        </w:rPr>
        <w:t xml:space="preserve">beams in his current serving set, this is considered as a cell change. As a result, the Connected state cell is necessarily restricted to the current serving set of </w:t>
      </w:r>
      <w:r w:rsidR="005D65CA">
        <w:rPr>
          <w:lang w:val="en-GB" w:eastAsia="zh-CN"/>
        </w:rPr>
        <w:t>TRP/</w:t>
      </w:r>
      <w:r w:rsidR="00484F4F">
        <w:rPr>
          <w:lang w:val="en-GB" w:eastAsia="zh-CN"/>
        </w:rPr>
        <w:t>beams in this case</w:t>
      </w:r>
      <w:r w:rsidR="00D57714">
        <w:rPr>
          <w:lang w:val="en-GB" w:eastAsia="zh-CN"/>
        </w:rPr>
        <w:t xml:space="preserve">, which answers the first FFS listed in Section </w:t>
      </w:r>
      <w:r w:rsidR="00DD575C">
        <w:rPr>
          <w:lang w:val="en-GB" w:eastAsia="zh-CN"/>
        </w:rPr>
        <w:fldChar w:fldCharType="begin"/>
      </w:r>
      <w:r w:rsidR="00D57714">
        <w:rPr>
          <w:lang w:val="en-GB" w:eastAsia="zh-CN"/>
        </w:rPr>
        <w:instrText xml:space="preserve"> REF _Ref460855997 \n \h </w:instrText>
      </w:r>
      <w:r w:rsidR="00DD575C">
        <w:rPr>
          <w:lang w:val="en-GB" w:eastAsia="zh-CN"/>
        </w:rPr>
      </w:r>
      <w:r w:rsidR="00DD575C">
        <w:rPr>
          <w:lang w:val="en-GB" w:eastAsia="zh-CN"/>
        </w:rPr>
        <w:fldChar w:fldCharType="separate"/>
      </w:r>
      <w:r w:rsidR="006D3CB1">
        <w:rPr>
          <w:lang w:val="en-GB" w:eastAsia="zh-CN"/>
        </w:rPr>
        <w:t>1</w:t>
      </w:r>
      <w:r w:rsidR="00DD575C">
        <w:rPr>
          <w:lang w:val="en-GB" w:eastAsia="zh-CN"/>
        </w:rPr>
        <w:fldChar w:fldCharType="end"/>
      </w:r>
      <w:r w:rsidR="00484F4F">
        <w:rPr>
          <w:lang w:val="en-GB" w:eastAsia="zh-CN"/>
        </w:rPr>
        <w:t>.</w:t>
      </w:r>
    </w:p>
    <w:p w:rsidR="007A5145" w:rsidRPr="001414F8" w:rsidRDefault="007A5145" w:rsidP="007A5145">
      <w:pPr>
        <w:pStyle w:val="BodyText"/>
        <w:spacing w:before="120"/>
        <w:rPr>
          <w:rFonts w:eastAsia="宋体"/>
          <w:b/>
          <w:lang w:eastAsia="zh-CN"/>
        </w:rPr>
      </w:pPr>
      <w:r>
        <w:rPr>
          <w:rFonts w:eastAsia="宋体"/>
          <w:b/>
          <w:lang w:eastAsia="zh-CN"/>
        </w:rPr>
        <w:t xml:space="preserve">Observation </w:t>
      </w:r>
      <w:r w:rsidR="00D57714">
        <w:rPr>
          <w:rFonts w:eastAsia="宋体"/>
          <w:b/>
          <w:lang w:eastAsia="zh-CN"/>
        </w:rPr>
        <w:t>5</w:t>
      </w:r>
      <w:r w:rsidRPr="001414F8">
        <w:rPr>
          <w:rFonts w:eastAsia="宋体" w:hint="eastAsia"/>
          <w:b/>
          <w:lang w:eastAsia="zh-CN"/>
        </w:rPr>
        <w:t>:</w:t>
      </w:r>
      <w:r w:rsidRPr="001414F8">
        <w:rPr>
          <w:rFonts w:eastAsia="宋体"/>
          <w:b/>
          <w:lang w:eastAsia="zh-CN"/>
        </w:rPr>
        <w:t xml:space="preserve"> </w:t>
      </w:r>
      <w:r w:rsidR="00D57714">
        <w:rPr>
          <w:rFonts w:eastAsia="宋体"/>
          <w:b/>
          <w:lang w:eastAsia="zh-CN"/>
        </w:rPr>
        <w:t xml:space="preserve">If </w:t>
      </w:r>
      <w:r w:rsidR="00D57714" w:rsidRPr="00D57714">
        <w:rPr>
          <w:rFonts w:eastAsia="宋体"/>
          <w:b/>
          <w:lang w:eastAsia="zh-CN"/>
        </w:rPr>
        <w:t xml:space="preserve">intra-cell mobility </w:t>
      </w:r>
      <w:r w:rsidR="00D57714">
        <w:rPr>
          <w:rFonts w:eastAsia="宋体"/>
          <w:b/>
          <w:lang w:eastAsia="zh-CN"/>
        </w:rPr>
        <w:t xml:space="preserve">can be handled </w:t>
      </w:r>
      <w:r w:rsidR="00D57714" w:rsidRPr="00D57714">
        <w:rPr>
          <w:rFonts w:eastAsia="宋体"/>
          <w:b/>
          <w:lang w:eastAsia="zh-CN"/>
        </w:rPr>
        <w:t xml:space="preserve">without </w:t>
      </w:r>
      <w:r w:rsidR="00D57714" w:rsidRPr="00D57714">
        <w:rPr>
          <w:rFonts w:eastAsia="宋体"/>
          <w:b/>
          <w:i/>
          <w:lang w:eastAsia="zh-CN"/>
        </w:rPr>
        <w:t>any</w:t>
      </w:r>
      <w:r w:rsidR="00D57714">
        <w:rPr>
          <w:rFonts w:eastAsia="宋体"/>
          <w:b/>
          <w:lang w:eastAsia="zh-CN"/>
        </w:rPr>
        <w:t xml:space="preserve"> </w:t>
      </w:r>
      <w:r w:rsidR="00D57714" w:rsidRPr="00D57714">
        <w:rPr>
          <w:rFonts w:eastAsia="宋体"/>
          <w:b/>
          <w:lang w:eastAsia="zh-CN"/>
        </w:rPr>
        <w:t>RRC involvement</w:t>
      </w:r>
      <w:r w:rsidR="00D57714">
        <w:rPr>
          <w:rFonts w:eastAsia="宋体"/>
          <w:b/>
          <w:lang w:eastAsia="zh-CN"/>
        </w:rPr>
        <w:t>,</w:t>
      </w:r>
      <w:r w:rsidR="00D57714" w:rsidRPr="00D57714">
        <w:rPr>
          <w:rFonts w:eastAsia="宋体"/>
          <w:b/>
          <w:lang w:eastAsia="zh-CN"/>
        </w:rPr>
        <w:t xml:space="preserve"> </w:t>
      </w:r>
      <w:r w:rsidR="00D57714">
        <w:rPr>
          <w:rFonts w:eastAsia="宋体"/>
          <w:b/>
          <w:lang w:eastAsia="zh-CN"/>
        </w:rPr>
        <w:t xml:space="preserve">then </w:t>
      </w:r>
      <w:r w:rsidR="00D57714" w:rsidRPr="00D57714">
        <w:rPr>
          <w:rFonts w:eastAsia="宋体"/>
          <w:b/>
          <w:lang w:eastAsia="zh-CN"/>
        </w:rPr>
        <w:t xml:space="preserve">the Connected state cell is necessarily restricted to the </w:t>
      </w:r>
      <w:r w:rsidR="00D57714">
        <w:rPr>
          <w:rFonts w:eastAsia="宋体"/>
          <w:b/>
          <w:lang w:eastAsia="zh-CN"/>
        </w:rPr>
        <w:t xml:space="preserve">configured </w:t>
      </w:r>
      <w:r w:rsidR="00D57714" w:rsidRPr="00D57714">
        <w:rPr>
          <w:rFonts w:eastAsia="宋体"/>
          <w:b/>
          <w:lang w:eastAsia="zh-CN"/>
        </w:rPr>
        <w:t xml:space="preserve">serving set of TRP/beams </w:t>
      </w:r>
      <w:r w:rsidR="00D57714">
        <w:rPr>
          <w:rFonts w:eastAsia="宋体"/>
          <w:b/>
          <w:lang w:eastAsia="zh-CN"/>
        </w:rPr>
        <w:t>of the UE.</w:t>
      </w:r>
    </w:p>
    <w:p w:rsidR="006C5BB6" w:rsidRDefault="00484F4F" w:rsidP="003B08B2">
      <w:pPr>
        <w:pStyle w:val="BodyText"/>
        <w:spacing w:before="120"/>
        <w:rPr>
          <w:lang w:val="en-GB" w:eastAsia="zh-CN"/>
        </w:rPr>
      </w:pPr>
      <w:r>
        <w:rPr>
          <w:lang w:val="en-GB" w:eastAsia="zh-CN"/>
        </w:rPr>
        <w:t xml:space="preserve">This interpretation has the benefit to provide a clean and simple definition of the </w:t>
      </w:r>
      <w:r w:rsidR="007A5145">
        <w:rPr>
          <w:lang w:val="en-GB" w:eastAsia="zh-CN"/>
        </w:rPr>
        <w:t>C</w:t>
      </w:r>
      <w:r>
        <w:rPr>
          <w:lang w:val="en-GB" w:eastAsia="zh-CN"/>
        </w:rPr>
        <w:t>onnected state cell with the following implications:</w:t>
      </w:r>
    </w:p>
    <w:p w:rsidR="005D65CA" w:rsidRDefault="00484F4F" w:rsidP="00484F4F">
      <w:pPr>
        <w:pStyle w:val="BodyText"/>
        <w:numPr>
          <w:ilvl w:val="0"/>
          <w:numId w:val="12"/>
        </w:numPr>
        <w:spacing w:before="120"/>
        <w:rPr>
          <w:lang w:val="en-GB" w:eastAsia="zh-CN"/>
        </w:rPr>
      </w:pPr>
      <w:r>
        <w:rPr>
          <w:lang w:val="en-GB" w:eastAsia="zh-CN"/>
        </w:rPr>
        <w:lastRenderedPageBreak/>
        <w:t xml:space="preserve">Since different UEs may be configured with different </w:t>
      </w:r>
      <w:r w:rsidR="005D65CA">
        <w:rPr>
          <w:lang w:val="en-GB" w:eastAsia="zh-CN"/>
        </w:rPr>
        <w:t>serving sets of TRP/beams, the Connected state cell can be UE-specific</w:t>
      </w:r>
    </w:p>
    <w:p w:rsidR="005D65CA" w:rsidRDefault="00281A5C" w:rsidP="00484F4F">
      <w:pPr>
        <w:pStyle w:val="BodyText"/>
        <w:numPr>
          <w:ilvl w:val="0"/>
          <w:numId w:val="12"/>
        </w:numPr>
        <w:spacing w:before="120"/>
        <w:rPr>
          <w:lang w:val="en-GB" w:eastAsia="zh-CN"/>
        </w:rPr>
      </w:pPr>
      <w:r>
        <w:rPr>
          <w:lang w:val="en-GB" w:eastAsia="zh-CN"/>
        </w:rPr>
        <w:t>From the above bullet</w:t>
      </w:r>
      <w:r w:rsidR="002E43D1">
        <w:rPr>
          <w:lang w:val="en-GB" w:eastAsia="zh-CN"/>
        </w:rPr>
        <w:t xml:space="preserve"> and observation #2</w:t>
      </w:r>
      <w:r>
        <w:rPr>
          <w:lang w:val="en-GB" w:eastAsia="zh-CN"/>
        </w:rPr>
        <w:t xml:space="preserve">, it results that </w:t>
      </w:r>
      <w:r w:rsidR="005D65CA">
        <w:rPr>
          <w:lang w:val="en-GB" w:eastAsia="zh-CN"/>
        </w:rPr>
        <w:t xml:space="preserve">the Connected state cell is necessarily different </w:t>
      </w:r>
      <w:r w:rsidR="002E43D1">
        <w:rPr>
          <w:lang w:val="en-GB" w:eastAsia="zh-CN"/>
        </w:rPr>
        <w:t xml:space="preserve">and independent </w:t>
      </w:r>
      <w:r w:rsidR="005D65CA">
        <w:rPr>
          <w:lang w:val="en-GB" w:eastAsia="zh-CN"/>
        </w:rPr>
        <w:t>from the Idle state cell</w:t>
      </w:r>
    </w:p>
    <w:p w:rsidR="0083246C" w:rsidRDefault="002E43D1" w:rsidP="00484F4F">
      <w:pPr>
        <w:pStyle w:val="BodyText"/>
        <w:numPr>
          <w:ilvl w:val="0"/>
          <w:numId w:val="12"/>
        </w:numPr>
        <w:spacing w:before="120"/>
        <w:rPr>
          <w:lang w:val="en-GB" w:eastAsia="zh-CN"/>
        </w:rPr>
      </w:pPr>
      <w:r>
        <w:rPr>
          <w:lang w:val="en-GB" w:eastAsia="zh-CN"/>
        </w:rPr>
        <w:t>This definition is aligned with observation #3</w:t>
      </w:r>
    </w:p>
    <w:p w:rsidR="0083246C" w:rsidRPr="0083246C" w:rsidRDefault="0083246C" w:rsidP="0083246C">
      <w:pPr>
        <w:pStyle w:val="BodyText"/>
        <w:spacing w:before="120"/>
        <w:rPr>
          <w:lang w:val="en-GB" w:eastAsia="zh-CN"/>
        </w:rPr>
      </w:pPr>
      <w:r w:rsidRPr="0083246C">
        <w:rPr>
          <w:lang w:val="en-GB" w:eastAsia="zh-CN"/>
        </w:rPr>
        <w:t xml:space="preserve">The above observations are illustrated in </w:t>
      </w:r>
      <w:fldSimple w:instr=" REF _Ref462822290 \h  \* MERGEFORMAT ">
        <w:r w:rsidR="006D3CB1" w:rsidRPr="006D3CB1">
          <w:t xml:space="preserve">Figure </w:t>
        </w:r>
        <w:r w:rsidR="006D3CB1" w:rsidRPr="006D3CB1">
          <w:rPr>
            <w:noProof/>
          </w:rPr>
          <w:t>1</w:t>
        </w:r>
      </w:fldSimple>
      <w:r>
        <w:rPr>
          <w:lang w:val="en-GB" w:eastAsia="zh-CN"/>
        </w:rPr>
        <w:t>.</w:t>
      </w:r>
    </w:p>
    <w:p w:rsidR="0083246C" w:rsidRDefault="0083246C" w:rsidP="00EB6FF5">
      <w:pPr>
        <w:pStyle w:val="BodyText"/>
        <w:keepNext/>
        <w:keepLines/>
        <w:spacing w:before="120"/>
        <w:jc w:val="center"/>
        <w:rPr>
          <w:lang w:val="en-GB" w:eastAsia="zh-CN"/>
        </w:rPr>
      </w:pPr>
      <w:r>
        <w:object w:dxaOrig="11857"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3in" o:ole="">
            <v:imagedata r:id="rId8" o:title=""/>
          </v:shape>
          <o:OLEObject Type="Embed" ProgID="Visio.Drawing.11" ShapeID="_x0000_i1025" DrawAspect="Content" ObjectID="_1539785684" r:id="rId9"/>
        </w:object>
      </w:r>
    </w:p>
    <w:p w:rsidR="0083246C" w:rsidRPr="008B2652" w:rsidRDefault="0083246C" w:rsidP="00EB6FF5">
      <w:pPr>
        <w:pStyle w:val="Caption"/>
        <w:keepNext/>
        <w:keepLines/>
        <w:jc w:val="center"/>
        <w:rPr>
          <w:b/>
          <w:noProof/>
        </w:rPr>
      </w:pPr>
      <w:bookmarkStart w:id="5" w:name="_Ref462822290"/>
      <w:r w:rsidRPr="008B2652">
        <w:rPr>
          <w:b/>
        </w:rPr>
        <w:t xml:space="preserve">Figure </w:t>
      </w:r>
      <w:r w:rsidR="00DD575C" w:rsidRPr="008B2652">
        <w:rPr>
          <w:b/>
        </w:rPr>
        <w:fldChar w:fldCharType="begin"/>
      </w:r>
      <w:r w:rsidRPr="008B2652">
        <w:rPr>
          <w:b/>
        </w:rPr>
        <w:instrText xml:space="preserve"> SEQ Figure \* ARABIC </w:instrText>
      </w:r>
      <w:r w:rsidR="00DD575C" w:rsidRPr="008B2652">
        <w:rPr>
          <w:b/>
        </w:rPr>
        <w:fldChar w:fldCharType="separate"/>
      </w:r>
      <w:r w:rsidR="006D3CB1">
        <w:rPr>
          <w:b/>
          <w:noProof/>
        </w:rPr>
        <w:t>1</w:t>
      </w:r>
      <w:r w:rsidR="00DD575C" w:rsidRPr="008B2652">
        <w:rPr>
          <w:b/>
        </w:rPr>
        <w:fldChar w:fldCharType="end"/>
      </w:r>
      <w:bookmarkEnd w:id="5"/>
      <w:r w:rsidRPr="008B2652">
        <w:rPr>
          <w:rFonts w:hint="eastAsia"/>
          <w:b/>
        </w:rPr>
        <w:t xml:space="preserve"> Cell and mobility</w:t>
      </w:r>
    </w:p>
    <w:p w:rsidR="00EB6FF5" w:rsidRDefault="00EB6FF5" w:rsidP="00EB6FF5">
      <w:pPr>
        <w:pStyle w:val="Heading2"/>
        <w:ind w:left="562" w:hanging="562"/>
        <w:jc w:val="both"/>
        <w:rPr>
          <w:rFonts w:eastAsia="宋体"/>
        </w:rPr>
      </w:pPr>
      <w:r>
        <w:rPr>
          <w:rFonts w:eastAsia="宋体"/>
        </w:rPr>
        <w:t xml:space="preserve">Loose interpretation: minimum RRC involvement </w:t>
      </w:r>
    </w:p>
    <w:p w:rsidR="00484F4F" w:rsidRDefault="00EB6FF5" w:rsidP="0083246C">
      <w:pPr>
        <w:pStyle w:val="BodyText"/>
        <w:spacing w:before="120"/>
        <w:rPr>
          <w:lang w:val="en-GB" w:eastAsia="zh-CN"/>
        </w:rPr>
      </w:pPr>
      <w:r>
        <w:rPr>
          <w:lang w:eastAsia="zh-CN"/>
        </w:rPr>
        <w:t>The main benefit of this interpretation is to allow keeping the simple and legacy model with a single and same cell definition for both Idle and Connected states. Indeed,</w:t>
      </w:r>
      <w:r w:rsidR="00654DBB">
        <w:rPr>
          <w:lang w:eastAsia="zh-CN"/>
        </w:rPr>
        <w:t xml:space="preserve"> assuming RRC reconfiguration of the serving set of </w:t>
      </w:r>
      <w:r w:rsidR="00EB1687">
        <w:rPr>
          <w:lang w:eastAsia="zh-CN"/>
        </w:rPr>
        <w:t>TRP/</w:t>
      </w:r>
      <w:r w:rsidR="00654DBB">
        <w:rPr>
          <w:lang w:eastAsia="zh-CN"/>
        </w:rPr>
        <w:t xml:space="preserve">beams </w:t>
      </w:r>
      <w:r w:rsidR="00EB1687">
        <w:rPr>
          <w:lang w:eastAsia="zh-CN"/>
        </w:rPr>
        <w:t>is not considered as a cell change, the whole Idle state cell can be considered as an area where mobility requires “</w:t>
      </w:r>
      <w:r w:rsidR="00EB1687">
        <w:t>Zero/Minimum RRC</w:t>
      </w:r>
      <w:r w:rsidR="002E43D1">
        <w:t xml:space="preserve"> </w:t>
      </w:r>
      <w:r w:rsidR="00EB1687">
        <w:t>involvement”.</w:t>
      </w:r>
      <w:r w:rsidR="00EB1687">
        <w:rPr>
          <w:lang w:eastAsia="zh-CN"/>
        </w:rPr>
        <w:t xml:space="preserve"> </w:t>
      </w:r>
      <w:r w:rsidR="002E43D1">
        <w:rPr>
          <w:lang w:eastAsia="zh-CN"/>
        </w:rPr>
        <w:t xml:space="preserve">However, </w:t>
      </w:r>
      <w:r w:rsidR="009E021C">
        <w:rPr>
          <w:lang w:eastAsia="zh-CN"/>
        </w:rPr>
        <w:t xml:space="preserve">observation </w:t>
      </w:r>
      <w:r w:rsidR="002E43D1">
        <w:rPr>
          <w:lang w:eastAsia="zh-CN"/>
        </w:rPr>
        <w:t xml:space="preserve">#2 </w:t>
      </w:r>
      <w:r w:rsidR="009E021C">
        <w:rPr>
          <w:lang w:eastAsia="zh-CN"/>
        </w:rPr>
        <w:t xml:space="preserve">in Section </w:t>
      </w:r>
      <w:r w:rsidR="00DD575C">
        <w:rPr>
          <w:lang w:eastAsia="zh-CN"/>
        </w:rPr>
        <w:fldChar w:fldCharType="begin"/>
      </w:r>
      <w:r w:rsidR="009E021C">
        <w:rPr>
          <w:lang w:eastAsia="zh-CN"/>
        </w:rPr>
        <w:instrText xml:space="preserve"> REF _Ref462432227 \n \h </w:instrText>
      </w:r>
      <w:r w:rsidR="00DD575C">
        <w:rPr>
          <w:lang w:eastAsia="zh-CN"/>
        </w:rPr>
      </w:r>
      <w:r w:rsidR="00DD575C">
        <w:rPr>
          <w:lang w:eastAsia="zh-CN"/>
        </w:rPr>
        <w:fldChar w:fldCharType="separate"/>
      </w:r>
      <w:r w:rsidR="006D3CB1">
        <w:rPr>
          <w:lang w:eastAsia="zh-CN"/>
        </w:rPr>
        <w:t>2.1</w:t>
      </w:r>
      <w:r w:rsidR="00DD575C">
        <w:rPr>
          <w:lang w:eastAsia="zh-CN"/>
        </w:rPr>
        <w:fldChar w:fldCharType="end"/>
      </w:r>
      <w:r w:rsidR="009E021C">
        <w:rPr>
          <w:lang w:eastAsia="zh-CN"/>
        </w:rPr>
        <w:t xml:space="preserve"> </w:t>
      </w:r>
      <w:r w:rsidR="009E021C">
        <w:rPr>
          <w:lang w:val="en-GB" w:eastAsia="zh-CN"/>
        </w:rPr>
        <w:t xml:space="preserve">is still valid so that the UE </w:t>
      </w:r>
      <w:r w:rsidR="00DF404B">
        <w:rPr>
          <w:lang w:val="en-GB" w:eastAsia="zh-CN"/>
        </w:rPr>
        <w:t>might</w:t>
      </w:r>
      <w:r w:rsidR="009E021C">
        <w:rPr>
          <w:lang w:val="en-GB" w:eastAsia="zh-CN"/>
        </w:rPr>
        <w:t xml:space="preserve"> as a matter of fact be configured with a subset</w:t>
      </w:r>
      <w:r w:rsidR="0031625B">
        <w:rPr>
          <w:lang w:val="en-GB" w:eastAsia="zh-CN"/>
        </w:rPr>
        <w:t xml:space="preserve"> of the total beams in the cell and</w:t>
      </w:r>
      <w:r w:rsidR="002E43D1">
        <w:rPr>
          <w:lang w:val="en-GB" w:eastAsia="zh-CN"/>
        </w:rPr>
        <w:t xml:space="preserve"> </w:t>
      </w:r>
      <w:r w:rsidR="0031625B">
        <w:rPr>
          <w:lang w:val="en-GB" w:eastAsia="zh-CN"/>
        </w:rPr>
        <w:t>will</w:t>
      </w:r>
      <w:r w:rsidR="00D57714">
        <w:rPr>
          <w:lang w:val="en-GB" w:eastAsia="zh-CN"/>
        </w:rPr>
        <w:t xml:space="preserve"> </w:t>
      </w:r>
      <w:r w:rsidR="0031625B">
        <w:rPr>
          <w:lang w:val="en-GB" w:eastAsia="zh-CN"/>
        </w:rPr>
        <w:t xml:space="preserve">still need to search autonomously for TRP/beams outside this configured set of serving beams. And based on observation #3, it will </w:t>
      </w:r>
      <w:r w:rsidR="00D57714">
        <w:rPr>
          <w:lang w:val="en-GB" w:eastAsia="zh-CN"/>
        </w:rPr>
        <w:t>not make any different mobility measurements in support o</w:t>
      </w:r>
      <w:r w:rsidR="0031625B">
        <w:rPr>
          <w:lang w:val="en-GB" w:eastAsia="zh-CN"/>
        </w:rPr>
        <w:t xml:space="preserve">f intra Connected state cell and inter Connected state </w:t>
      </w:r>
      <w:r w:rsidR="00D57714">
        <w:rPr>
          <w:lang w:val="en-GB" w:eastAsia="zh-CN"/>
        </w:rPr>
        <w:t>cell mobility.</w:t>
      </w:r>
      <w:r w:rsidR="0031625B">
        <w:rPr>
          <w:lang w:val="en-GB" w:eastAsia="zh-CN"/>
        </w:rPr>
        <w:t xml:space="preserve"> Therefore, in Connected state, it looks inappropriate to </w:t>
      </w:r>
      <w:r w:rsidR="00EB5AB9">
        <w:rPr>
          <w:lang w:val="en-GB" w:eastAsia="zh-CN"/>
        </w:rPr>
        <w:t>mandate</w:t>
      </w:r>
      <w:r w:rsidR="0031625B">
        <w:rPr>
          <w:lang w:val="en-GB" w:eastAsia="zh-CN"/>
        </w:rPr>
        <w:t xml:space="preserve"> </w:t>
      </w:r>
      <w:r w:rsidR="00EB5AB9">
        <w:rPr>
          <w:lang w:val="en-GB" w:eastAsia="zh-CN"/>
        </w:rPr>
        <w:t>the</w:t>
      </w:r>
      <w:r w:rsidR="0031625B">
        <w:rPr>
          <w:lang w:val="en-GB" w:eastAsia="zh-CN"/>
        </w:rPr>
        <w:t xml:space="preserve"> cell</w:t>
      </w:r>
      <w:r w:rsidR="00EB5AB9">
        <w:rPr>
          <w:lang w:val="en-GB" w:eastAsia="zh-CN"/>
        </w:rPr>
        <w:t xml:space="preserve"> used to differentiate mobility measurements be mapped to the cell used in Idle state</w:t>
      </w:r>
      <w:r w:rsidR="004E0057">
        <w:rPr>
          <w:lang w:val="en-GB" w:eastAsia="zh-CN"/>
        </w:rPr>
        <w:t>.</w:t>
      </w:r>
    </w:p>
    <w:p w:rsidR="00EB5AB9" w:rsidRPr="00EB6FF5" w:rsidRDefault="00EB5AB9" w:rsidP="0083246C">
      <w:pPr>
        <w:pStyle w:val="BodyText"/>
        <w:spacing w:before="120"/>
        <w:rPr>
          <w:lang w:eastAsia="zh-CN"/>
        </w:rPr>
      </w:pPr>
      <w:r>
        <w:rPr>
          <w:lang w:val="en-GB" w:eastAsia="zh-CN"/>
        </w:rPr>
        <w:t>As a result, we suggest the following proposal:</w:t>
      </w:r>
    </w:p>
    <w:p w:rsidR="00E313C2" w:rsidRPr="005E008C" w:rsidRDefault="00E313C2" w:rsidP="00E313C2">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sidR="00EB5AB9">
        <w:rPr>
          <w:rFonts w:eastAsia="宋体"/>
          <w:b/>
          <w:lang w:eastAsia="zh-CN"/>
        </w:rPr>
        <w:t>1</w:t>
      </w:r>
      <w:r w:rsidRPr="00241D74">
        <w:rPr>
          <w:rFonts w:eastAsia="宋体" w:hint="eastAsia"/>
          <w:b/>
          <w:lang w:eastAsia="zh-CN"/>
        </w:rPr>
        <w:t>:</w:t>
      </w:r>
      <w:r w:rsidRPr="00241D74">
        <w:rPr>
          <w:rFonts w:eastAsia="宋体"/>
          <w:b/>
          <w:lang w:eastAsia="zh-CN"/>
        </w:rPr>
        <w:t xml:space="preserve"> </w:t>
      </w:r>
      <w:r w:rsidR="00EB5AB9" w:rsidRPr="00EB5AB9">
        <w:rPr>
          <w:rFonts w:eastAsia="宋体"/>
          <w:b/>
          <w:lang w:val="en-GB" w:eastAsia="zh-CN"/>
        </w:rPr>
        <w:t>Connected state cell = idle state cell can be the baseline for leg</w:t>
      </w:r>
      <w:r w:rsidR="00EB5AB9">
        <w:rPr>
          <w:rFonts w:eastAsia="宋体"/>
          <w:b/>
          <w:lang w:val="en-GB" w:eastAsia="zh-CN"/>
        </w:rPr>
        <w:t>acy macro-cell deployments, b</w:t>
      </w:r>
      <w:r w:rsidR="00EB5AB9" w:rsidRPr="00EB5AB9">
        <w:rPr>
          <w:rFonts w:eastAsia="宋体"/>
          <w:b/>
          <w:lang w:val="en-GB" w:eastAsia="zh-CN"/>
        </w:rPr>
        <w:t xml:space="preserve">ut allowing different mapping (including UE-specific cell </w:t>
      </w:r>
      <w:r w:rsidR="00CE135E">
        <w:rPr>
          <w:rFonts w:eastAsia="宋体"/>
          <w:b/>
          <w:lang w:val="en-GB" w:eastAsia="zh-CN"/>
        </w:rPr>
        <w:t>in Connected state</w:t>
      </w:r>
      <w:r w:rsidR="00EB5AB9" w:rsidRPr="00EB5AB9">
        <w:rPr>
          <w:rFonts w:eastAsia="宋体"/>
          <w:b/>
          <w:lang w:val="en-GB" w:eastAsia="zh-CN"/>
        </w:rPr>
        <w:t xml:space="preserve">) can </w:t>
      </w:r>
      <w:r w:rsidR="00EB5AB9">
        <w:rPr>
          <w:rFonts w:eastAsia="宋体"/>
          <w:b/>
          <w:lang w:val="en-GB" w:eastAsia="zh-CN"/>
        </w:rPr>
        <w:t xml:space="preserve">be more appropriate </w:t>
      </w:r>
      <w:r w:rsidR="00EB5AB9" w:rsidRPr="00EB5AB9">
        <w:rPr>
          <w:rFonts w:eastAsia="宋体"/>
          <w:b/>
          <w:lang w:val="en-GB" w:eastAsia="zh-CN"/>
        </w:rPr>
        <w:t xml:space="preserve">for more sophisticated </w:t>
      </w:r>
      <w:r w:rsidR="00EB5AB9">
        <w:rPr>
          <w:rFonts w:eastAsia="宋体"/>
          <w:b/>
          <w:lang w:val="en-GB" w:eastAsia="zh-CN"/>
        </w:rPr>
        <w:t xml:space="preserve">NR </w:t>
      </w:r>
      <w:r w:rsidR="00EB5AB9" w:rsidRPr="00EB5AB9">
        <w:rPr>
          <w:rFonts w:eastAsia="宋体"/>
          <w:b/>
          <w:lang w:val="en-GB" w:eastAsia="zh-CN"/>
        </w:rPr>
        <w:t>deployments (dense HF, CoMP</w:t>
      </w:r>
      <w:r w:rsidR="00CE135E">
        <w:rPr>
          <w:rFonts w:eastAsia="宋体"/>
          <w:b/>
          <w:lang w:val="en-GB" w:eastAsia="zh-CN"/>
        </w:rPr>
        <w:t>-like</w:t>
      </w:r>
      <w:r w:rsidR="00EB5AB9" w:rsidRPr="00EB5AB9">
        <w:rPr>
          <w:rFonts w:eastAsia="宋体"/>
          <w:b/>
          <w:lang w:val="en-GB" w:eastAsia="zh-CN"/>
        </w:rPr>
        <w:t>, ...)</w:t>
      </w:r>
      <w:r>
        <w:rPr>
          <w:rFonts w:eastAsia="宋体"/>
          <w:b/>
          <w:lang w:eastAsia="zh-CN"/>
        </w:rPr>
        <w:t>.</w:t>
      </w:r>
    </w:p>
    <w:p w:rsidR="002C6318" w:rsidRDefault="002C6318" w:rsidP="000909F5">
      <w:pPr>
        <w:pStyle w:val="Heading1"/>
        <w:jc w:val="both"/>
      </w:pPr>
      <w:r>
        <w:t>Conclusion</w:t>
      </w:r>
    </w:p>
    <w:p w:rsidR="00EB5AB9" w:rsidRDefault="00644ECC" w:rsidP="00644ECC">
      <w:pPr>
        <w:pStyle w:val="BodyText"/>
        <w:rPr>
          <w:lang w:eastAsia="zh-CN"/>
        </w:rPr>
      </w:pPr>
      <w:r>
        <w:rPr>
          <w:lang w:eastAsia="zh-CN"/>
        </w:rPr>
        <w:t xml:space="preserve">This contribution </w:t>
      </w:r>
      <w:r w:rsidR="00EB5AB9">
        <w:rPr>
          <w:lang w:eastAsia="zh-CN"/>
        </w:rPr>
        <w:t>analyzes the relationship between the Idle state NR cell (defined by RAN1) and the Connected state NR cell discussed in RAN2. It results in the following observations and proposal:</w:t>
      </w:r>
    </w:p>
    <w:p w:rsidR="00EB5AB9" w:rsidRPr="001414F8" w:rsidRDefault="00EB5AB9" w:rsidP="00EB5AB9">
      <w:pPr>
        <w:pStyle w:val="BodyText"/>
        <w:spacing w:before="120"/>
        <w:rPr>
          <w:rFonts w:eastAsia="宋体"/>
          <w:b/>
          <w:lang w:eastAsia="zh-CN"/>
        </w:rPr>
      </w:pPr>
      <w:r>
        <w:rPr>
          <w:rFonts w:eastAsia="宋体"/>
          <w:b/>
          <w:lang w:eastAsia="zh-CN"/>
        </w:rPr>
        <w:t>Observation 1</w:t>
      </w:r>
      <w:r w:rsidRPr="001414F8">
        <w:rPr>
          <w:rFonts w:eastAsia="宋体" w:hint="eastAsia"/>
          <w:b/>
          <w:lang w:eastAsia="zh-CN"/>
        </w:rPr>
        <w:t>:</w:t>
      </w:r>
      <w:r w:rsidRPr="001414F8">
        <w:rPr>
          <w:rFonts w:eastAsia="宋体"/>
          <w:b/>
          <w:lang w:eastAsia="zh-CN"/>
        </w:rPr>
        <w:t xml:space="preserve"> </w:t>
      </w:r>
      <w:r w:rsidRPr="0083246C">
        <w:rPr>
          <w:rFonts w:eastAsia="宋体"/>
          <w:b/>
          <w:lang w:eastAsia="zh-CN"/>
        </w:rPr>
        <w:t>Connected state cell = Idle state cell can be the baseline starting point at least valid for legacy macro cell deployments</w:t>
      </w:r>
      <w:r>
        <w:rPr>
          <w:rFonts w:eastAsia="宋体"/>
          <w:b/>
          <w:lang w:eastAsia="zh-CN"/>
        </w:rPr>
        <w:t>.</w:t>
      </w:r>
    </w:p>
    <w:p w:rsidR="00EB5AB9" w:rsidRPr="001414F8" w:rsidRDefault="00EB5AB9" w:rsidP="00EB5AB9">
      <w:pPr>
        <w:pStyle w:val="BodyText"/>
        <w:spacing w:before="120"/>
        <w:rPr>
          <w:rFonts w:eastAsia="宋体"/>
          <w:b/>
          <w:lang w:eastAsia="zh-CN"/>
        </w:rPr>
      </w:pPr>
      <w:r>
        <w:rPr>
          <w:rFonts w:eastAsia="宋体"/>
          <w:b/>
          <w:lang w:eastAsia="zh-CN"/>
        </w:rPr>
        <w:t>Observation 2</w:t>
      </w:r>
      <w:r w:rsidRPr="001414F8">
        <w:rPr>
          <w:rFonts w:eastAsia="宋体" w:hint="eastAsia"/>
          <w:b/>
          <w:lang w:eastAsia="zh-CN"/>
        </w:rPr>
        <w:t>:</w:t>
      </w:r>
      <w:r w:rsidRPr="001414F8">
        <w:rPr>
          <w:rFonts w:eastAsia="宋体"/>
          <w:b/>
          <w:lang w:eastAsia="zh-CN"/>
        </w:rPr>
        <w:t xml:space="preserve"> </w:t>
      </w:r>
      <w:r>
        <w:rPr>
          <w:rFonts w:eastAsia="宋体"/>
          <w:b/>
          <w:lang w:eastAsia="zh-CN"/>
        </w:rPr>
        <w:t>I</w:t>
      </w:r>
      <w:r w:rsidRPr="006E2BE4">
        <w:rPr>
          <w:rFonts w:eastAsia="宋体"/>
          <w:b/>
          <w:lang w:eastAsia="zh-CN"/>
        </w:rPr>
        <w:t xml:space="preserve">t looks overkill to configure a Connected UE with all beams available in a </w:t>
      </w:r>
      <w:r>
        <w:rPr>
          <w:rFonts w:eastAsia="宋体"/>
          <w:b/>
          <w:lang w:eastAsia="zh-CN"/>
        </w:rPr>
        <w:t xml:space="preserve">multi-TRP </w:t>
      </w:r>
      <w:r w:rsidRPr="006E2BE4">
        <w:rPr>
          <w:rFonts w:eastAsia="宋体"/>
          <w:b/>
          <w:lang w:eastAsia="zh-CN"/>
        </w:rPr>
        <w:t>(Idle state) cell as its serving set of beams</w:t>
      </w:r>
      <w:r>
        <w:rPr>
          <w:rFonts w:eastAsia="宋体"/>
          <w:b/>
          <w:lang w:eastAsia="zh-CN"/>
        </w:rPr>
        <w:t>.</w:t>
      </w:r>
    </w:p>
    <w:p w:rsidR="00EB5AB9" w:rsidRPr="001414F8" w:rsidRDefault="00EB5AB9" w:rsidP="00EB5AB9">
      <w:pPr>
        <w:pStyle w:val="BodyText"/>
        <w:spacing w:before="120"/>
        <w:rPr>
          <w:rFonts w:eastAsia="宋体"/>
          <w:b/>
          <w:lang w:eastAsia="zh-CN"/>
        </w:rPr>
      </w:pPr>
      <w:r>
        <w:rPr>
          <w:rFonts w:eastAsia="宋体"/>
          <w:b/>
          <w:lang w:eastAsia="zh-CN"/>
        </w:rPr>
        <w:t>Observation 3</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From UE perspective, there is no difference between autonomous search for </w:t>
      </w:r>
      <w:r w:rsidRPr="00E3460D">
        <w:rPr>
          <w:rFonts w:eastAsia="宋体"/>
          <w:b/>
          <w:lang w:eastAsia="zh-CN"/>
        </w:rPr>
        <w:t xml:space="preserve">non-UE-specific TRP/beam-specific RS </w:t>
      </w:r>
      <w:r>
        <w:rPr>
          <w:rFonts w:eastAsia="宋体"/>
          <w:b/>
          <w:lang w:eastAsia="zh-CN"/>
        </w:rPr>
        <w:t xml:space="preserve">outside its configured </w:t>
      </w:r>
      <w:r w:rsidRPr="00E3460D">
        <w:rPr>
          <w:rFonts w:eastAsia="宋体"/>
          <w:b/>
          <w:lang w:eastAsia="zh-CN"/>
        </w:rPr>
        <w:t xml:space="preserve">serving set of TRP/beams </w:t>
      </w:r>
      <w:r>
        <w:rPr>
          <w:rFonts w:eastAsia="宋体"/>
          <w:b/>
          <w:lang w:eastAsia="zh-CN"/>
        </w:rPr>
        <w:t>and outside its (Idle state) cell.</w:t>
      </w:r>
    </w:p>
    <w:p w:rsidR="00EB5AB9" w:rsidRPr="001414F8" w:rsidRDefault="00EB5AB9" w:rsidP="00EB5AB9">
      <w:pPr>
        <w:pStyle w:val="BodyText"/>
        <w:spacing w:before="120"/>
        <w:rPr>
          <w:rFonts w:eastAsia="宋体"/>
          <w:b/>
          <w:lang w:eastAsia="zh-CN"/>
        </w:rPr>
      </w:pPr>
      <w:r>
        <w:rPr>
          <w:rFonts w:eastAsia="宋体"/>
          <w:b/>
          <w:lang w:eastAsia="zh-CN"/>
        </w:rPr>
        <w:lastRenderedPageBreak/>
        <w:t>Observation 4</w:t>
      </w:r>
      <w:r w:rsidRPr="001414F8">
        <w:rPr>
          <w:rFonts w:eastAsia="宋体" w:hint="eastAsia"/>
          <w:b/>
          <w:lang w:eastAsia="zh-CN"/>
        </w:rPr>
        <w:t>:</w:t>
      </w:r>
      <w:r w:rsidRPr="001414F8">
        <w:rPr>
          <w:rFonts w:eastAsia="宋体"/>
          <w:b/>
          <w:lang w:eastAsia="zh-CN"/>
        </w:rPr>
        <w:t xml:space="preserve"> </w:t>
      </w:r>
      <w:r>
        <w:rPr>
          <w:rFonts w:eastAsia="宋体"/>
          <w:b/>
          <w:lang w:eastAsia="zh-CN"/>
        </w:rPr>
        <w:t>S</w:t>
      </w:r>
      <w:r w:rsidRPr="006E2BE4">
        <w:rPr>
          <w:rFonts w:eastAsia="宋体"/>
          <w:b/>
          <w:lang w:eastAsia="zh-CN"/>
        </w:rPr>
        <w:t xml:space="preserve">imilar to </w:t>
      </w:r>
      <w:r w:rsidR="00CE135E">
        <w:rPr>
          <w:rFonts w:eastAsia="宋体"/>
          <w:b/>
          <w:lang w:eastAsia="zh-CN"/>
        </w:rPr>
        <w:t xml:space="preserve">some </w:t>
      </w:r>
      <w:r w:rsidRPr="006E2BE4">
        <w:rPr>
          <w:rFonts w:eastAsia="宋体"/>
          <w:b/>
          <w:lang w:eastAsia="zh-CN"/>
        </w:rPr>
        <w:t>CoMP scenarios, the serving set of TRP/beams can be across multiple (Idle state) cells</w:t>
      </w:r>
      <w:r>
        <w:rPr>
          <w:rFonts w:eastAsia="宋体"/>
          <w:b/>
          <w:lang w:eastAsia="zh-CN"/>
        </w:rPr>
        <w:t>.</w:t>
      </w:r>
    </w:p>
    <w:p w:rsidR="00EB5AB9" w:rsidRPr="001414F8" w:rsidRDefault="00EB5AB9" w:rsidP="00EB5AB9">
      <w:pPr>
        <w:pStyle w:val="BodyText"/>
        <w:spacing w:before="120"/>
        <w:rPr>
          <w:rFonts w:eastAsia="宋体"/>
          <w:b/>
          <w:lang w:eastAsia="zh-CN"/>
        </w:rPr>
      </w:pPr>
      <w:r>
        <w:rPr>
          <w:rFonts w:eastAsia="宋体"/>
          <w:b/>
          <w:lang w:eastAsia="zh-CN"/>
        </w:rPr>
        <w:t>Observation 5</w:t>
      </w:r>
      <w:r w:rsidRPr="001414F8">
        <w:rPr>
          <w:rFonts w:eastAsia="宋体" w:hint="eastAsia"/>
          <w:b/>
          <w:lang w:eastAsia="zh-CN"/>
        </w:rPr>
        <w:t>:</w:t>
      </w:r>
      <w:r w:rsidRPr="001414F8">
        <w:rPr>
          <w:rFonts w:eastAsia="宋体"/>
          <w:b/>
          <w:lang w:eastAsia="zh-CN"/>
        </w:rPr>
        <w:t xml:space="preserve"> </w:t>
      </w:r>
      <w:r>
        <w:rPr>
          <w:rFonts w:eastAsia="宋体"/>
          <w:b/>
          <w:lang w:eastAsia="zh-CN"/>
        </w:rPr>
        <w:t xml:space="preserve">If </w:t>
      </w:r>
      <w:r w:rsidRPr="00D57714">
        <w:rPr>
          <w:rFonts w:eastAsia="宋体"/>
          <w:b/>
          <w:lang w:eastAsia="zh-CN"/>
        </w:rPr>
        <w:t xml:space="preserve">intra-cell mobility </w:t>
      </w:r>
      <w:r>
        <w:rPr>
          <w:rFonts w:eastAsia="宋体"/>
          <w:b/>
          <w:lang w:eastAsia="zh-CN"/>
        </w:rPr>
        <w:t xml:space="preserve">can be handled by </w:t>
      </w:r>
      <w:r w:rsidRPr="00D57714">
        <w:rPr>
          <w:rFonts w:eastAsia="宋体"/>
          <w:b/>
          <w:lang w:eastAsia="zh-CN"/>
        </w:rPr>
        <w:t xml:space="preserve">without </w:t>
      </w:r>
      <w:r w:rsidRPr="00D57714">
        <w:rPr>
          <w:rFonts w:eastAsia="宋体"/>
          <w:b/>
          <w:i/>
          <w:lang w:eastAsia="zh-CN"/>
        </w:rPr>
        <w:t>any</w:t>
      </w:r>
      <w:r>
        <w:rPr>
          <w:rFonts w:eastAsia="宋体"/>
          <w:b/>
          <w:lang w:eastAsia="zh-CN"/>
        </w:rPr>
        <w:t xml:space="preserve"> </w:t>
      </w:r>
      <w:r w:rsidRPr="00D57714">
        <w:rPr>
          <w:rFonts w:eastAsia="宋体"/>
          <w:b/>
          <w:lang w:eastAsia="zh-CN"/>
        </w:rPr>
        <w:t>RRC involvement</w:t>
      </w:r>
      <w:r>
        <w:rPr>
          <w:rFonts w:eastAsia="宋体"/>
          <w:b/>
          <w:lang w:eastAsia="zh-CN"/>
        </w:rPr>
        <w:t>,</w:t>
      </w:r>
      <w:r w:rsidRPr="00D57714">
        <w:rPr>
          <w:rFonts w:eastAsia="宋体"/>
          <w:b/>
          <w:lang w:eastAsia="zh-CN"/>
        </w:rPr>
        <w:t xml:space="preserve"> </w:t>
      </w:r>
      <w:r>
        <w:rPr>
          <w:rFonts w:eastAsia="宋体"/>
          <w:b/>
          <w:lang w:eastAsia="zh-CN"/>
        </w:rPr>
        <w:t xml:space="preserve">then </w:t>
      </w:r>
      <w:r w:rsidRPr="00D57714">
        <w:rPr>
          <w:rFonts w:eastAsia="宋体"/>
          <w:b/>
          <w:lang w:eastAsia="zh-CN"/>
        </w:rPr>
        <w:t xml:space="preserve">the Connected state cell is necessarily restricted to the </w:t>
      </w:r>
      <w:r>
        <w:rPr>
          <w:rFonts w:eastAsia="宋体"/>
          <w:b/>
          <w:lang w:eastAsia="zh-CN"/>
        </w:rPr>
        <w:t xml:space="preserve">configured </w:t>
      </w:r>
      <w:r w:rsidRPr="00D57714">
        <w:rPr>
          <w:rFonts w:eastAsia="宋体"/>
          <w:b/>
          <w:lang w:eastAsia="zh-CN"/>
        </w:rPr>
        <w:t xml:space="preserve">serving set of TRP/beams </w:t>
      </w:r>
      <w:r>
        <w:rPr>
          <w:rFonts w:eastAsia="宋体"/>
          <w:b/>
          <w:lang w:eastAsia="zh-CN"/>
        </w:rPr>
        <w:t>of the UE.</w:t>
      </w:r>
    </w:p>
    <w:p w:rsidR="00EB5AB9" w:rsidRPr="00EB5AB9" w:rsidRDefault="00EB5AB9" w:rsidP="00644ECC">
      <w:pPr>
        <w:pStyle w:val="BodyText"/>
        <w:rPr>
          <w:rFonts w:eastAsia="宋体"/>
          <w:b/>
          <w:lang w:eastAsia="zh-CN"/>
        </w:rPr>
      </w:pPr>
      <w:r w:rsidRPr="00241D74">
        <w:rPr>
          <w:rFonts w:eastAsia="宋体"/>
          <w:b/>
          <w:lang w:eastAsia="zh-CN"/>
        </w:rPr>
        <w:t>Proposal</w:t>
      </w:r>
      <w:r w:rsidRPr="00241D74">
        <w:rPr>
          <w:rFonts w:eastAsia="宋体" w:hint="eastAsia"/>
          <w:b/>
          <w:lang w:eastAsia="zh-CN"/>
        </w:rPr>
        <w:t xml:space="preserve"> </w:t>
      </w:r>
      <w:r>
        <w:rPr>
          <w:rFonts w:eastAsia="宋体"/>
          <w:b/>
          <w:lang w:eastAsia="zh-CN"/>
        </w:rPr>
        <w:t>1</w:t>
      </w:r>
      <w:r w:rsidRPr="00241D74">
        <w:rPr>
          <w:rFonts w:eastAsia="宋体" w:hint="eastAsia"/>
          <w:b/>
          <w:lang w:eastAsia="zh-CN"/>
        </w:rPr>
        <w:t>:</w:t>
      </w:r>
      <w:r w:rsidRPr="00241D74">
        <w:rPr>
          <w:rFonts w:eastAsia="宋体"/>
          <w:b/>
          <w:lang w:eastAsia="zh-CN"/>
        </w:rPr>
        <w:t xml:space="preserve"> </w:t>
      </w:r>
      <w:r w:rsidRPr="00EB5AB9">
        <w:rPr>
          <w:rFonts w:eastAsia="宋体"/>
          <w:b/>
          <w:lang w:val="en-GB" w:eastAsia="zh-CN"/>
        </w:rPr>
        <w:t>Connected state cell = idle state cell can be the baseline for leg</w:t>
      </w:r>
      <w:r>
        <w:rPr>
          <w:rFonts w:eastAsia="宋体"/>
          <w:b/>
          <w:lang w:val="en-GB" w:eastAsia="zh-CN"/>
        </w:rPr>
        <w:t>acy macro-cell deployments, b</w:t>
      </w:r>
      <w:r w:rsidRPr="00EB5AB9">
        <w:rPr>
          <w:rFonts w:eastAsia="宋体"/>
          <w:b/>
          <w:lang w:val="en-GB" w:eastAsia="zh-CN"/>
        </w:rPr>
        <w:t xml:space="preserve">ut allowing different mapping (including UE-specific cell </w:t>
      </w:r>
      <w:r w:rsidR="00CE135E">
        <w:rPr>
          <w:rFonts w:eastAsia="宋体"/>
          <w:b/>
          <w:lang w:val="en-GB" w:eastAsia="zh-CN"/>
        </w:rPr>
        <w:t>in Connected state</w:t>
      </w:r>
      <w:r w:rsidRPr="00EB5AB9">
        <w:rPr>
          <w:rFonts w:eastAsia="宋体"/>
          <w:b/>
          <w:lang w:val="en-GB" w:eastAsia="zh-CN"/>
        </w:rPr>
        <w:t xml:space="preserve">) can </w:t>
      </w:r>
      <w:r>
        <w:rPr>
          <w:rFonts w:eastAsia="宋体"/>
          <w:b/>
          <w:lang w:val="en-GB" w:eastAsia="zh-CN"/>
        </w:rPr>
        <w:t xml:space="preserve">be more appropriate </w:t>
      </w:r>
      <w:r w:rsidRPr="00EB5AB9">
        <w:rPr>
          <w:rFonts w:eastAsia="宋体"/>
          <w:b/>
          <w:lang w:val="en-GB" w:eastAsia="zh-CN"/>
        </w:rPr>
        <w:t xml:space="preserve">for more sophisticated </w:t>
      </w:r>
      <w:r>
        <w:rPr>
          <w:rFonts w:eastAsia="宋体"/>
          <w:b/>
          <w:lang w:val="en-GB" w:eastAsia="zh-CN"/>
        </w:rPr>
        <w:t xml:space="preserve">NR </w:t>
      </w:r>
      <w:r w:rsidRPr="00EB5AB9">
        <w:rPr>
          <w:rFonts w:eastAsia="宋体"/>
          <w:b/>
          <w:lang w:val="en-GB" w:eastAsia="zh-CN"/>
        </w:rPr>
        <w:t>deployments (dense HF, CoMP</w:t>
      </w:r>
      <w:r w:rsidR="00CE135E">
        <w:rPr>
          <w:rFonts w:eastAsia="宋体"/>
          <w:b/>
          <w:lang w:val="en-GB" w:eastAsia="zh-CN"/>
        </w:rPr>
        <w:t>-like</w:t>
      </w:r>
      <w:r w:rsidRPr="00EB5AB9">
        <w:rPr>
          <w:rFonts w:eastAsia="宋体"/>
          <w:b/>
          <w:lang w:val="en-GB" w:eastAsia="zh-CN"/>
        </w:rPr>
        <w:t>, ...)</w:t>
      </w:r>
      <w:r>
        <w:rPr>
          <w:rFonts w:eastAsia="宋体"/>
          <w:b/>
          <w:lang w:eastAsia="zh-CN"/>
        </w:rPr>
        <w:t>.</w:t>
      </w:r>
    </w:p>
    <w:p w:rsidR="00427D37" w:rsidRDefault="00427D37" w:rsidP="000909F5">
      <w:pPr>
        <w:pStyle w:val="Heading1"/>
        <w:jc w:val="both"/>
      </w:pPr>
      <w:r>
        <w:t>References</w:t>
      </w:r>
    </w:p>
    <w:p w:rsidR="002B14E3" w:rsidRPr="006D3CB1" w:rsidRDefault="006862BE" w:rsidP="006D3CB1">
      <w:pPr>
        <w:widowControl w:val="0"/>
        <w:numPr>
          <w:ilvl w:val="0"/>
          <w:numId w:val="3"/>
        </w:numPr>
        <w:jc w:val="both"/>
        <w:rPr>
          <w:rFonts w:eastAsia="宋体"/>
          <w:lang w:eastAsia="zh-CN"/>
        </w:rPr>
      </w:pPr>
      <w:bookmarkStart w:id="6" w:name="_Ref465845531"/>
      <w:r>
        <w:rPr>
          <w:rFonts w:eastAsia="宋体"/>
          <w:lang w:eastAsia="zh-CN"/>
        </w:rPr>
        <w:t>R1-1609516, “</w:t>
      </w:r>
      <w:r w:rsidRPr="00A3787D">
        <w:rPr>
          <w:rFonts w:eastAsia="宋体"/>
          <w:lang w:eastAsia="zh-CN"/>
        </w:rPr>
        <w:t>Beam management for initial and candidate beam discovery (BM P-1)</w:t>
      </w:r>
      <w:r>
        <w:rPr>
          <w:rFonts w:eastAsia="宋体"/>
          <w:lang w:eastAsia="zh-CN"/>
        </w:rPr>
        <w:t>”, Intel Corporation</w:t>
      </w:r>
      <w:bookmarkEnd w:id="6"/>
    </w:p>
    <w:sectPr w:rsidR="002B14E3" w:rsidRPr="006D3CB1"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18A" w:rsidRDefault="0064618A">
      <w:r>
        <w:separator/>
      </w:r>
    </w:p>
  </w:endnote>
  <w:endnote w:type="continuationSeparator" w:id="0">
    <w:p w:rsidR="0064618A" w:rsidRDefault="0064618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DD575C"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end"/>
    </w:r>
  </w:p>
  <w:p w:rsidR="003B2C89" w:rsidRDefault="003B2C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DD575C" w:rsidP="004F78EE">
    <w:pPr>
      <w:pStyle w:val="Footer"/>
      <w:framePr w:wrap="around" w:vAnchor="text" w:hAnchor="margin" w:xAlign="center" w:y="1"/>
      <w:rPr>
        <w:rStyle w:val="PageNumber"/>
      </w:rPr>
    </w:pPr>
    <w:r>
      <w:rPr>
        <w:rStyle w:val="PageNumber"/>
      </w:rPr>
      <w:fldChar w:fldCharType="begin"/>
    </w:r>
    <w:r w:rsidR="003B2C89">
      <w:rPr>
        <w:rStyle w:val="PageNumber"/>
      </w:rPr>
      <w:instrText xml:space="preserve">PAGE  </w:instrText>
    </w:r>
    <w:r>
      <w:rPr>
        <w:rStyle w:val="PageNumber"/>
      </w:rPr>
      <w:fldChar w:fldCharType="separate"/>
    </w:r>
    <w:r w:rsidR="0064618A">
      <w:rPr>
        <w:rStyle w:val="PageNumber"/>
        <w:noProof/>
      </w:rPr>
      <w:t>1</w:t>
    </w:r>
    <w:r>
      <w:rPr>
        <w:rStyle w:val="PageNumber"/>
      </w:rPr>
      <w:fldChar w:fldCharType="end"/>
    </w:r>
  </w:p>
  <w:p w:rsidR="003B2C89" w:rsidRPr="00977F1F" w:rsidRDefault="003B2C89" w:rsidP="00D2528A">
    <w:pPr>
      <w:pStyle w:val="Footer"/>
      <w:tabs>
        <w:tab w:val="left" w:pos="2552"/>
      </w:tabs>
      <w:rPr>
        <w:rFonts w:eastAsia="宋体"/>
        <w:lang w:eastAsia="zh-CN"/>
      </w:rPr>
    </w:pPr>
    <w:r w:rsidRPr="00D2528A">
      <w:rPr>
        <w:rFonts w:eastAsia="宋体"/>
        <w:lang w:eastAsia="zh-CN"/>
      </w:rPr>
      <w:t>R2-16</w:t>
    </w:r>
    <w:r w:rsidR="005D1A08">
      <w:rPr>
        <w:rFonts w:eastAsia="宋体"/>
        <w:lang w:eastAsia="zh-CN"/>
      </w:rPr>
      <w:t>7962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18A" w:rsidRDefault="0064618A">
      <w:r>
        <w:separator/>
      </w:r>
    </w:p>
  </w:footnote>
  <w:footnote w:type="continuationSeparator" w:id="0">
    <w:p w:rsidR="0064618A" w:rsidRDefault="00646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C89" w:rsidRDefault="003B2C8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3">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9674A18"/>
    <w:multiLevelType w:val="hybridMultilevel"/>
    <w:tmpl w:val="9BA0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10"/>
  </w:num>
  <w:num w:numId="7">
    <w:abstractNumId w:val="0"/>
  </w:num>
  <w:num w:numId="8">
    <w:abstractNumId w:val="2"/>
  </w:num>
  <w:num w:numId="9">
    <w:abstractNumId w:val="7"/>
  </w:num>
  <w:num w:numId="10">
    <w:abstractNumId w:val="6"/>
  </w:num>
  <w:num w:numId="11">
    <w:abstractNumId w:val="8"/>
  </w:num>
  <w:num w:numId="1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stylePaneFormatFilter w:val="3F01"/>
  <w:trackRevisions/>
  <w:defaultTabStop w:val="720"/>
  <w:characterSpacingControl w:val="doNotCompress"/>
  <w:hdrShapeDefaults>
    <o:shapedefaults v:ext="edit" spidmax="12390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1CE"/>
    <w:rsid w:val="000116A5"/>
    <w:rsid w:val="00016AC6"/>
    <w:rsid w:val="00016D97"/>
    <w:rsid w:val="0002102E"/>
    <w:rsid w:val="000214B5"/>
    <w:rsid w:val="0002195F"/>
    <w:rsid w:val="00023160"/>
    <w:rsid w:val="000253D8"/>
    <w:rsid w:val="00026A53"/>
    <w:rsid w:val="00034856"/>
    <w:rsid w:val="00035F2E"/>
    <w:rsid w:val="000417EB"/>
    <w:rsid w:val="000426EE"/>
    <w:rsid w:val="000443DE"/>
    <w:rsid w:val="000466C6"/>
    <w:rsid w:val="0005366E"/>
    <w:rsid w:val="00054A79"/>
    <w:rsid w:val="00055E49"/>
    <w:rsid w:val="00060DF6"/>
    <w:rsid w:val="0006264B"/>
    <w:rsid w:val="00063313"/>
    <w:rsid w:val="00071D25"/>
    <w:rsid w:val="0007286D"/>
    <w:rsid w:val="000731F9"/>
    <w:rsid w:val="000738D9"/>
    <w:rsid w:val="00073E18"/>
    <w:rsid w:val="00074227"/>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B0C8C"/>
    <w:rsid w:val="000B3216"/>
    <w:rsid w:val="000C06E1"/>
    <w:rsid w:val="000C53A4"/>
    <w:rsid w:val="000C633B"/>
    <w:rsid w:val="000D2630"/>
    <w:rsid w:val="000D36D0"/>
    <w:rsid w:val="000D5C4A"/>
    <w:rsid w:val="000E06BD"/>
    <w:rsid w:val="000E11DB"/>
    <w:rsid w:val="000E3740"/>
    <w:rsid w:val="000E3AE2"/>
    <w:rsid w:val="000E557C"/>
    <w:rsid w:val="000F1939"/>
    <w:rsid w:val="000F2438"/>
    <w:rsid w:val="000F26CF"/>
    <w:rsid w:val="000F3789"/>
    <w:rsid w:val="000F3D9B"/>
    <w:rsid w:val="000F5484"/>
    <w:rsid w:val="000F54CB"/>
    <w:rsid w:val="000F68BE"/>
    <w:rsid w:val="000F6B0D"/>
    <w:rsid w:val="000F6FF6"/>
    <w:rsid w:val="00100319"/>
    <w:rsid w:val="001008CF"/>
    <w:rsid w:val="001022DB"/>
    <w:rsid w:val="00103048"/>
    <w:rsid w:val="001034FB"/>
    <w:rsid w:val="00105570"/>
    <w:rsid w:val="00107F1D"/>
    <w:rsid w:val="001102F6"/>
    <w:rsid w:val="00111A44"/>
    <w:rsid w:val="00113253"/>
    <w:rsid w:val="00114951"/>
    <w:rsid w:val="00115CE3"/>
    <w:rsid w:val="00123291"/>
    <w:rsid w:val="001267F9"/>
    <w:rsid w:val="001300EB"/>
    <w:rsid w:val="001318F6"/>
    <w:rsid w:val="00131986"/>
    <w:rsid w:val="0013363D"/>
    <w:rsid w:val="001355FD"/>
    <w:rsid w:val="00136678"/>
    <w:rsid w:val="001407A4"/>
    <w:rsid w:val="001414F8"/>
    <w:rsid w:val="00143AAA"/>
    <w:rsid w:val="00143E94"/>
    <w:rsid w:val="00144D13"/>
    <w:rsid w:val="0014512D"/>
    <w:rsid w:val="001469E3"/>
    <w:rsid w:val="001509C6"/>
    <w:rsid w:val="00156119"/>
    <w:rsid w:val="001605FD"/>
    <w:rsid w:val="001625EC"/>
    <w:rsid w:val="001632A1"/>
    <w:rsid w:val="00164894"/>
    <w:rsid w:val="00165B2B"/>
    <w:rsid w:val="00170391"/>
    <w:rsid w:val="0017068B"/>
    <w:rsid w:val="00171E5B"/>
    <w:rsid w:val="00172CA2"/>
    <w:rsid w:val="001755AA"/>
    <w:rsid w:val="001824D3"/>
    <w:rsid w:val="0018252A"/>
    <w:rsid w:val="001826BA"/>
    <w:rsid w:val="00185006"/>
    <w:rsid w:val="0018753B"/>
    <w:rsid w:val="00193206"/>
    <w:rsid w:val="00197CE5"/>
    <w:rsid w:val="001A08B0"/>
    <w:rsid w:val="001A251B"/>
    <w:rsid w:val="001A3F69"/>
    <w:rsid w:val="001A7CF7"/>
    <w:rsid w:val="001B220B"/>
    <w:rsid w:val="001B3C20"/>
    <w:rsid w:val="001B689A"/>
    <w:rsid w:val="001B7232"/>
    <w:rsid w:val="001C2710"/>
    <w:rsid w:val="001C29A5"/>
    <w:rsid w:val="001C3652"/>
    <w:rsid w:val="001C5D4D"/>
    <w:rsid w:val="001D20D5"/>
    <w:rsid w:val="001D39E0"/>
    <w:rsid w:val="001D3B73"/>
    <w:rsid w:val="001D3C3E"/>
    <w:rsid w:val="001D3D93"/>
    <w:rsid w:val="001D50DB"/>
    <w:rsid w:val="001D533D"/>
    <w:rsid w:val="001E00B5"/>
    <w:rsid w:val="001E2A0B"/>
    <w:rsid w:val="001E44AD"/>
    <w:rsid w:val="001E7EDF"/>
    <w:rsid w:val="001F3687"/>
    <w:rsid w:val="001F3B2D"/>
    <w:rsid w:val="001F4751"/>
    <w:rsid w:val="001F4796"/>
    <w:rsid w:val="001F630F"/>
    <w:rsid w:val="00200147"/>
    <w:rsid w:val="0020399E"/>
    <w:rsid w:val="00204504"/>
    <w:rsid w:val="002048B9"/>
    <w:rsid w:val="0020540C"/>
    <w:rsid w:val="0020799E"/>
    <w:rsid w:val="0021714F"/>
    <w:rsid w:val="00220678"/>
    <w:rsid w:val="00223E82"/>
    <w:rsid w:val="00224693"/>
    <w:rsid w:val="0022483E"/>
    <w:rsid w:val="00230076"/>
    <w:rsid w:val="00231AF8"/>
    <w:rsid w:val="00231E3A"/>
    <w:rsid w:val="00232A82"/>
    <w:rsid w:val="00233084"/>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8B0"/>
    <w:rsid w:val="00264F8D"/>
    <w:rsid w:val="002730A9"/>
    <w:rsid w:val="00275303"/>
    <w:rsid w:val="00275C22"/>
    <w:rsid w:val="002767E1"/>
    <w:rsid w:val="00277A2C"/>
    <w:rsid w:val="00281A5C"/>
    <w:rsid w:val="00287686"/>
    <w:rsid w:val="002911A8"/>
    <w:rsid w:val="002935D4"/>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4C07"/>
    <w:rsid w:val="002E21D0"/>
    <w:rsid w:val="002E43D1"/>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61D3"/>
    <w:rsid w:val="0031625B"/>
    <w:rsid w:val="00316C46"/>
    <w:rsid w:val="003175DE"/>
    <w:rsid w:val="00317847"/>
    <w:rsid w:val="00321FCD"/>
    <w:rsid w:val="003227E6"/>
    <w:rsid w:val="00325078"/>
    <w:rsid w:val="0032556F"/>
    <w:rsid w:val="00331FE5"/>
    <w:rsid w:val="0033212D"/>
    <w:rsid w:val="0033289C"/>
    <w:rsid w:val="00333A79"/>
    <w:rsid w:val="00334ECA"/>
    <w:rsid w:val="00337D96"/>
    <w:rsid w:val="00344658"/>
    <w:rsid w:val="003460C5"/>
    <w:rsid w:val="00346C9B"/>
    <w:rsid w:val="00346CFA"/>
    <w:rsid w:val="00354B22"/>
    <w:rsid w:val="0035585A"/>
    <w:rsid w:val="00360649"/>
    <w:rsid w:val="00366E92"/>
    <w:rsid w:val="003676A7"/>
    <w:rsid w:val="00371338"/>
    <w:rsid w:val="00371A4B"/>
    <w:rsid w:val="003727A3"/>
    <w:rsid w:val="00372B86"/>
    <w:rsid w:val="00376BAC"/>
    <w:rsid w:val="00381ACD"/>
    <w:rsid w:val="00385067"/>
    <w:rsid w:val="00386E72"/>
    <w:rsid w:val="003870EF"/>
    <w:rsid w:val="00391A86"/>
    <w:rsid w:val="0039248B"/>
    <w:rsid w:val="00393474"/>
    <w:rsid w:val="00393B83"/>
    <w:rsid w:val="003949ED"/>
    <w:rsid w:val="003A1B34"/>
    <w:rsid w:val="003A67E4"/>
    <w:rsid w:val="003A6A56"/>
    <w:rsid w:val="003A7426"/>
    <w:rsid w:val="003A77AA"/>
    <w:rsid w:val="003A787B"/>
    <w:rsid w:val="003B08B2"/>
    <w:rsid w:val="003B2C89"/>
    <w:rsid w:val="003B4341"/>
    <w:rsid w:val="003B4813"/>
    <w:rsid w:val="003B56E7"/>
    <w:rsid w:val="003B6D8C"/>
    <w:rsid w:val="003C370B"/>
    <w:rsid w:val="003C5336"/>
    <w:rsid w:val="003C5ECB"/>
    <w:rsid w:val="003C7EE9"/>
    <w:rsid w:val="003D4443"/>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26D1"/>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72B7"/>
    <w:rsid w:val="004425D5"/>
    <w:rsid w:val="00442CD8"/>
    <w:rsid w:val="00442CF6"/>
    <w:rsid w:val="0044364A"/>
    <w:rsid w:val="00443A04"/>
    <w:rsid w:val="00444035"/>
    <w:rsid w:val="0044447F"/>
    <w:rsid w:val="004459DC"/>
    <w:rsid w:val="004508C9"/>
    <w:rsid w:val="00453F03"/>
    <w:rsid w:val="004616E6"/>
    <w:rsid w:val="00462591"/>
    <w:rsid w:val="004651AA"/>
    <w:rsid w:val="0046780F"/>
    <w:rsid w:val="00470486"/>
    <w:rsid w:val="004706C8"/>
    <w:rsid w:val="00472079"/>
    <w:rsid w:val="004738E9"/>
    <w:rsid w:val="00475EB7"/>
    <w:rsid w:val="0047670A"/>
    <w:rsid w:val="0047727E"/>
    <w:rsid w:val="0048109F"/>
    <w:rsid w:val="00484F4F"/>
    <w:rsid w:val="0048743A"/>
    <w:rsid w:val="004901FA"/>
    <w:rsid w:val="00491267"/>
    <w:rsid w:val="004914F5"/>
    <w:rsid w:val="00494422"/>
    <w:rsid w:val="004A2A53"/>
    <w:rsid w:val="004A3310"/>
    <w:rsid w:val="004A3AC1"/>
    <w:rsid w:val="004A41A6"/>
    <w:rsid w:val="004A4A2F"/>
    <w:rsid w:val="004A4CAE"/>
    <w:rsid w:val="004B08A0"/>
    <w:rsid w:val="004B31C0"/>
    <w:rsid w:val="004B5344"/>
    <w:rsid w:val="004B54CB"/>
    <w:rsid w:val="004B571B"/>
    <w:rsid w:val="004B5C54"/>
    <w:rsid w:val="004B64D6"/>
    <w:rsid w:val="004C0C53"/>
    <w:rsid w:val="004C1F3A"/>
    <w:rsid w:val="004C3BD1"/>
    <w:rsid w:val="004C6F5C"/>
    <w:rsid w:val="004C7C4D"/>
    <w:rsid w:val="004D1079"/>
    <w:rsid w:val="004D15C4"/>
    <w:rsid w:val="004E0057"/>
    <w:rsid w:val="004E39A0"/>
    <w:rsid w:val="004E559C"/>
    <w:rsid w:val="004E6875"/>
    <w:rsid w:val="004E6AB1"/>
    <w:rsid w:val="004E7D81"/>
    <w:rsid w:val="004F11C0"/>
    <w:rsid w:val="004F2B3E"/>
    <w:rsid w:val="004F7427"/>
    <w:rsid w:val="004F753A"/>
    <w:rsid w:val="004F78EE"/>
    <w:rsid w:val="005026EB"/>
    <w:rsid w:val="00502885"/>
    <w:rsid w:val="00503553"/>
    <w:rsid w:val="00505F66"/>
    <w:rsid w:val="00506AF7"/>
    <w:rsid w:val="00510A43"/>
    <w:rsid w:val="00510A94"/>
    <w:rsid w:val="005115BB"/>
    <w:rsid w:val="005135F6"/>
    <w:rsid w:val="00521459"/>
    <w:rsid w:val="00524141"/>
    <w:rsid w:val="00524B13"/>
    <w:rsid w:val="00535AC2"/>
    <w:rsid w:val="00535FC6"/>
    <w:rsid w:val="00536D8A"/>
    <w:rsid w:val="0053735B"/>
    <w:rsid w:val="00540F5E"/>
    <w:rsid w:val="00543E75"/>
    <w:rsid w:val="00544DDB"/>
    <w:rsid w:val="005461F4"/>
    <w:rsid w:val="005466C8"/>
    <w:rsid w:val="00546EE4"/>
    <w:rsid w:val="00547E0E"/>
    <w:rsid w:val="005505E4"/>
    <w:rsid w:val="00550CD6"/>
    <w:rsid w:val="00551747"/>
    <w:rsid w:val="00551D8F"/>
    <w:rsid w:val="00552D8C"/>
    <w:rsid w:val="00553C36"/>
    <w:rsid w:val="005576B1"/>
    <w:rsid w:val="00557CAE"/>
    <w:rsid w:val="00560DB9"/>
    <w:rsid w:val="00561784"/>
    <w:rsid w:val="0057340E"/>
    <w:rsid w:val="00575043"/>
    <w:rsid w:val="005860CF"/>
    <w:rsid w:val="005876CF"/>
    <w:rsid w:val="00590057"/>
    <w:rsid w:val="005900FC"/>
    <w:rsid w:val="0059019D"/>
    <w:rsid w:val="00590EDD"/>
    <w:rsid w:val="005925D3"/>
    <w:rsid w:val="00597B97"/>
    <w:rsid w:val="005A0B50"/>
    <w:rsid w:val="005A3032"/>
    <w:rsid w:val="005A48F8"/>
    <w:rsid w:val="005A4E8D"/>
    <w:rsid w:val="005A5E82"/>
    <w:rsid w:val="005A7AE9"/>
    <w:rsid w:val="005B4296"/>
    <w:rsid w:val="005B61CA"/>
    <w:rsid w:val="005C1D15"/>
    <w:rsid w:val="005C239A"/>
    <w:rsid w:val="005C5ACE"/>
    <w:rsid w:val="005C6358"/>
    <w:rsid w:val="005C64F2"/>
    <w:rsid w:val="005C760C"/>
    <w:rsid w:val="005D11D8"/>
    <w:rsid w:val="005D1364"/>
    <w:rsid w:val="005D1A08"/>
    <w:rsid w:val="005D2DC0"/>
    <w:rsid w:val="005D65CA"/>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DEB"/>
    <w:rsid w:val="00612E91"/>
    <w:rsid w:val="00615340"/>
    <w:rsid w:val="006157AC"/>
    <w:rsid w:val="00615CF4"/>
    <w:rsid w:val="006221B9"/>
    <w:rsid w:val="00623783"/>
    <w:rsid w:val="00633361"/>
    <w:rsid w:val="00641CF9"/>
    <w:rsid w:val="00641EC1"/>
    <w:rsid w:val="006446B7"/>
    <w:rsid w:val="00644ECC"/>
    <w:rsid w:val="0064618A"/>
    <w:rsid w:val="00647E3E"/>
    <w:rsid w:val="006501AC"/>
    <w:rsid w:val="0065087E"/>
    <w:rsid w:val="00651633"/>
    <w:rsid w:val="00653578"/>
    <w:rsid w:val="0065390E"/>
    <w:rsid w:val="006539DA"/>
    <w:rsid w:val="00653B73"/>
    <w:rsid w:val="006543C7"/>
    <w:rsid w:val="00654DBB"/>
    <w:rsid w:val="0065548F"/>
    <w:rsid w:val="00660709"/>
    <w:rsid w:val="006611C8"/>
    <w:rsid w:val="00662516"/>
    <w:rsid w:val="00662C19"/>
    <w:rsid w:val="006649BD"/>
    <w:rsid w:val="006670E4"/>
    <w:rsid w:val="006709B2"/>
    <w:rsid w:val="00672002"/>
    <w:rsid w:val="0067481C"/>
    <w:rsid w:val="00674F5B"/>
    <w:rsid w:val="00675144"/>
    <w:rsid w:val="00675153"/>
    <w:rsid w:val="00675C2D"/>
    <w:rsid w:val="0068036B"/>
    <w:rsid w:val="00680AE7"/>
    <w:rsid w:val="00681EAE"/>
    <w:rsid w:val="00682EC8"/>
    <w:rsid w:val="006843CB"/>
    <w:rsid w:val="00684C5B"/>
    <w:rsid w:val="006862BE"/>
    <w:rsid w:val="0068718C"/>
    <w:rsid w:val="00691801"/>
    <w:rsid w:val="00692378"/>
    <w:rsid w:val="00695607"/>
    <w:rsid w:val="006970B3"/>
    <w:rsid w:val="006A0A68"/>
    <w:rsid w:val="006A0DD9"/>
    <w:rsid w:val="006A1411"/>
    <w:rsid w:val="006A2FE3"/>
    <w:rsid w:val="006A6262"/>
    <w:rsid w:val="006A771A"/>
    <w:rsid w:val="006B0D78"/>
    <w:rsid w:val="006B13A7"/>
    <w:rsid w:val="006B13E9"/>
    <w:rsid w:val="006B19F9"/>
    <w:rsid w:val="006B2E4F"/>
    <w:rsid w:val="006B37EF"/>
    <w:rsid w:val="006B3F4D"/>
    <w:rsid w:val="006B4C95"/>
    <w:rsid w:val="006C095A"/>
    <w:rsid w:val="006C0F17"/>
    <w:rsid w:val="006C29BE"/>
    <w:rsid w:val="006C4AD0"/>
    <w:rsid w:val="006C5BB6"/>
    <w:rsid w:val="006C5C4E"/>
    <w:rsid w:val="006D0C5F"/>
    <w:rsid w:val="006D1572"/>
    <w:rsid w:val="006D19A8"/>
    <w:rsid w:val="006D1D7B"/>
    <w:rsid w:val="006D3CB1"/>
    <w:rsid w:val="006D684F"/>
    <w:rsid w:val="006D7B37"/>
    <w:rsid w:val="006E00B4"/>
    <w:rsid w:val="006E2A00"/>
    <w:rsid w:val="006E2BE4"/>
    <w:rsid w:val="006E4576"/>
    <w:rsid w:val="006F1E59"/>
    <w:rsid w:val="006F209C"/>
    <w:rsid w:val="006F5E47"/>
    <w:rsid w:val="006F713D"/>
    <w:rsid w:val="007003D9"/>
    <w:rsid w:val="00700F99"/>
    <w:rsid w:val="00705DF6"/>
    <w:rsid w:val="00707278"/>
    <w:rsid w:val="007112CC"/>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5145"/>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3654"/>
    <w:rsid w:val="007E3A95"/>
    <w:rsid w:val="007E3D7F"/>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246C"/>
    <w:rsid w:val="00833072"/>
    <w:rsid w:val="00833813"/>
    <w:rsid w:val="0084217D"/>
    <w:rsid w:val="00842454"/>
    <w:rsid w:val="00843F3F"/>
    <w:rsid w:val="00844251"/>
    <w:rsid w:val="00845E32"/>
    <w:rsid w:val="00846FCE"/>
    <w:rsid w:val="00847E56"/>
    <w:rsid w:val="008502DA"/>
    <w:rsid w:val="008505FF"/>
    <w:rsid w:val="00850CFB"/>
    <w:rsid w:val="00857EF9"/>
    <w:rsid w:val="008611CD"/>
    <w:rsid w:val="00861B0B"/>
    <w:rsid w:val="0086330D"/>
    <w:rsid w:val="0086798E"/>
    <w:rsid w:val="00871117"/>
    <w:rsid w:val="00881989"/>
    <w:rsid w:val="0088309F"/>
    <w:rsid w:val="00891487"/>
    <w:rsid w:val="00896A08"/>
    <w:rsid w:val="008A6A99"/>
    <w:rsid w:val="008A7A1D"/>
    <w:rsid w:val="008B18DC"/>
    <w:rsid w:val="008B193B"/>
    <w:rsid w:val="008B2B6B"/>
    <w:rsid w:val="008B6744"/>
    <w:rsid w:val="008B728D"/>
    <w:rsid w:val="008B7EA2"/>
    <w:rsid w:val="008C1807"/>
    <w:rsid w:val="008C3225"/>
    <w:rsid w:val="008C7F4D"/>
    <w:rsid w:val="008D402F"/>
    <w:rsid w:val="008D5AFF"/>
    <w:rsid w:val="008D5B41"/>
    <w:rsid w:val="008E074A"/>
    <w:rsid w:val="008E6552"/>
    <w:rsid w:val="008E6DFC"/>
    <w:rsid w:val="008E72DA"/>
    <w:rsid w:val="008F289B"/>
    <w:rsid w:val="008F5459"/>
    <w:rsid w:val="008F61C3"/>
    <w:rsid w:val="008F737F"/>
    <w:rsid w:val="00900B9C"/>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3C37"/>
    <w:rsid w:val="00943EBD"/>
    <w:rsid w:val="00944D6E"/>
    <w:rsid w:val="00945B8E"/>
    <w:rsid w:val="009465CB"/>
    <w:rsid w:val="00950CCB"/>
    <w:rsid w:val="009531A4"/>
    <w:rsid w:val="0095539C"/>
    <w:rsid w:val="00957CA2"/>
    <w:rsid w:val="00957FE3"/>
    <w:rsid w:val="009608A8"/>
    <w:rsid w:val="00960D4C"/>
    <w:rsid w:val="009653EA"/>
    <w:rsid w:val="00966E03"/>
    <w:rsid w:val="00970C9D"/>
    <w:rsid w:val="009759B0"/>
    <w:rsid w:val="00977F1F"/>
    <w:rsid w:val="00981457"/>
    <w:rsid w:val="00981DDE"/>
    <w:rsid w:val="0098350E"/>
    <w:rsid w:val="0098449F"/>
    <w:rsid w:val="0098529D"/>
    <w:rsid w:val="009939D2"/>
    <w:rsid w:val="0099489F"/>
    <w:rsid w:val="009A0411"/>
    <w:rsid w:val="009A38D8"/>
    <w:rsid w:val="009A4F7F"/>
    <w:rsid w:val="009A55B4"/>
    <w:rsid w:val="009A59A0"/>
    <w:rsid w:val="009A6609"/>
    <w:rsid w:val="009A7B32"/>
    <w:rsid w:val="009B4AF0"/>
    <w:rsid w:val="009B5AD9"/>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021C"/>
    <w:rsid w:val="009E2DD4"/>
    <w:rsid w:val="009E49DA"/>
    <w:rsid w:val="009E5635"/>
    <w:rsid w:val="009E6705"/>
    <w:rsid w:val="009E68D3"/>
    <w:rsid w:val="009E6A9A"/>
    <w:rsid w:val="009E75C1"/>
    <w:rsid w:val="009E7975"/>
    <w:rsid w:val="009F3A9E"/>
    <w:rsid w:val="009F605A"/>
    <w:rsid w:val="00A046BB"/>
    <w:rsid w:val="00A07C4B"/>
    <w:rsid w:val="00A101FF"/>
    <w:rsid w:val="00A10378"/>
    <w:rsid w:val="00A128DA"/>
    <w:rsid w:val="00A12B1C"/>
    <w:rsid w:val="00A1551F"/>
    <w:rsid w:val="00A16BBA"/>
    <w:rsid w:val="00A16D42"/>
    <w:rsid w:val="00A178B7"/>
    <w:rsid w:val="00A20B92"/>
    <w:rsid w:val="00A22544"/>
    <w:rsid w:val="00A23AA1"/>
    <w:rsid w:val="00A25D63"/>
    <w:rsid w:val="00A31376"/>
    <w:rsid w:val="00A33608"/>
    <w:rsid w:val="00A34349"/>
    <w:rsid w:val="00A35984"/>
    <w:rsid w:val="00A35F70"/>
    <w:rsid w:val="00A36D6B"/>
    <w:rsid w:val="00A36E91"/>
    <w:rsid w:val="00A4161C"/>
    <w:rsid w:val="00A43AB2"/>
    <w:rsid w:val="00A44726"/>
    <w:rsid w:val="00A45192"/>
    <w:rsid w:val="00A50EF9"/>
    <w:rsid w:val="00A537F8"/>
    <w:rsid w:val="00A53A90"/>
    <w:rsid w:val="00A5477A"/>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1557"/>
    <w:rsid w:val="00A9282E"/>
    <w:rsid w:val="00A936C6"/>
    <w:rsid w:val="00AA0EDC"/>
    <w:rsid w:val="00AA52AE"/>
    <w:rsid w:val="00AA54B6"/>
    <w:rsid w:val="00AB4C44"/>
    <w:rsid w:val="00AB5E4A"/>
    <w:rsid w:val="00AB709C"/>
    <w:rsid w:val="00AC04D8"/>
    <w:rsid w:val="00AC1DC6"/>
    <w:rsid w:val="00AC2363"/>
    <w:rsid w:val="00AC238C"/>
    <w:rsid w:val="00AC27CF"/>
    <w:rsid w:val="00AC5E40"/>
    <w:rsid w:val="00AD02BB"/>
    <w:rsid w:val="00AD28D2"/>
    <w:rsid w:val="00AD4F53"/>
    <w:rsid w:val="00AD5324"/>
    <w:rsid w:val="00AD65D8"/>
    <w:rsid w:val="00AE0042"/>
    <w:rsid w:val="00AE1C3F"/>
    <w:rsid w:val="00AE1F6A"/>
    <w:rsid w:val="00AE2781"/>
    <w:rsid w:val="00AE5E91"/>
    <w:rsid w:val="00AE663C"/>
    <w:rsid w:val="00AF1357"/>
    <w:rsid w:val="00AF4399"/>
    <w:rsid w:val="00AF764A"/>
    <w:rsid w:val="00B022FC"/>
    <w:rsid w:val="00B07552"/>
    <w:rsid w:val="00B113DD"/>
    <w:rsid w:val="00B11A88"/>
    <w:rsid w:val="00B12436"/>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2ABC"/>
    <w:rsid w:val="00B466A0"/>
    <w:rsid w:val="00B471AA"/>
    <w:rsid w:val="00B474E4"/>
    <w:rsid w:val="00B479EB"/>
    <w:rsid w:val="00B504AA"/>
    <w:rsid w:val="00B50FFF"/>
    <w:rsid w:val="00B519DE"/>
    <w:rsid w:val="00B53182"/>
    <w:rsid w:val="00B543EF"/>
    <w:rsid w:val="00B639DE"/>
    <w:rsid w:val="00B64B3F"/>
    <w:rsid w:val="00B65FE4"/>
    <w:rsid w:val="00B66262"/>
    <w:rsid w:val="00B7073D"/>
    <w:rsid w:val="00B73EF4"/>
    <w:rsid w:val="00B74DAA"/>
    <w:rsid w:val="00B7742D"/>
    <w:rsid w:val="00B81521"/>
    <w:rsid w:val="00B81B31"/>
    <w:rsid w:val="00B83E9D"/>
    <w:rsid w:val="00B85C2F"/>
    <w:rsid w:val="00B87FBC"/>
    <w:rsid w:val="00B96B53"/>
    <w:rsid w:val="00B97428"/>
    <w:rsid w:val="00BA1287"/>
    <w:rsid w:val="00BA660F"/>
    <w:rsid w:val="00BA724E"/>
    <w:rsid w:val="00BA74E8"/>
    <w:rsid w:val="00BB0192"/>
    <w:rsid w:val="00BB3B54"/>
    <w:rsid w:val="00BB50AC"/>
    <w:rsid w:val="00BB5495"/>
    <w:rsid w:val="00BB5C88"/>
    <w:rsid w:val="00BB5D77"/>
    <w:rsid w:val="00BB66A9"/>
    <w:rsid w:val="00BB72DF"/>
    <w:rsid w:val="00BC0199"/>
    <w:rsid w:val="00BC3366"/>
    <w:rsid w:val="00BC56B4"/>
    <w:rsid w:val="00BC64C2"/>
    <w:rsid w:val="00BC6E7F"/>
    <w:rsid w:val="00BD1924"/>
    <w:rsid w:val="00BD62AF"/>
    <w:rsid w:val="00BD65A5"/>
    <w:rsid w:val="00BD67E5"/>
    <w:rsid w:val="00BD6C56"/>
    <w:rsid w:val="00BE38BD"/>
    <w:rsid w:val="00BE4E2A"/>
    <w:rsid w:val="00BE5982"/>
    <w:rsid w:val="00BF0DA4"/>
    <w:rsid w:val="00BF136D"/>
    <w:rsid w:val="00BF1FF6"/>
    <w:rsid w:val="00BF2847"/>
    <w:rsid w:val="00BF3683"/>
    <w:rsid w:val="00BF7DD0"/>
    <w:rsid w:val="00C02174"/>
    <w:rsid w:val="00C06929"/>
    <w:rsid w:val="00C079F7"/>
    <w:rsid w:val="00C11909"/>
    <w:rsid w:val="00C146CE"/>
    <w:rsid w:val="00C155B0"/>
    <w:rsid w:val="00C156B9"/>
    <w:rsid w:val="00C158AE"/>
    <w:rsid w:val="00C16FAB"/>
    <w:rsid w:val="00C22AE7"/>
    <w:rsid w:val="00C243AF"/>
    <w:rsid w:val="00C24D4A"/>
    <w:rsid w:val="00C25F72"/>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8108D"/>
    <w:rsid w:val="00C814C5"/>
    <w:rsid w:val="00C8153B"/>
    <w:rsid w:val="00C82D9C"/>
    <w:rsid w:val="00C87DC7"/>
    <w:rsid w:val="00C91DA3"/>
    <w:rsid w:val="00C933BE"/>
    <w:rsid w:val="00C97E62"/>
    <w:rsid w:val="00CA2391"/>
    <w:rsid w:val="00CA4A02"/>
    <w:rsid w:val="00CA5DE6"/>
    <w:rsid w:val="00CB1B9E"/>
    <w:rsid w:val="00CB5634"/>
    <w:rsid w:val="00CB59A1"/>
    <w:rsid w:val="00CC091C"/>
    <w:rsid w:val="00CC241E"/>
    <w:rsid w:val="00CC3DE1"/>
    <w:rsid w:val="00CC704D"/>
    <w:rsid w:val="00CC7394"/>
    <w:rsid w:val="00CD365E"/>
    <w:rsid w:val="00CD5C5E"/>
    <w:rsid w:val="00CE09C9"/>
    <w:rsid w:val="00CE135E"/>
    <w:rsid w:val="00CE140B"/>
    <w:rsid w:val="00CE1855"/>
    <w:rsid w:val="00CE1BA7"/>
    <w:rsid w:val="00CE1D45"/>
    <w:rsid w:val="00CE2136"/>
    <w:rsid w:val="00CE494E"/>
    <w:rsid w:val="00CE521F"/>
    <w:rsid w:val="00CE7308"/>
    <w:rsid w:val="00CE7A1F"/>
    <w:rsid w:val="00CF3449"/>
    <w:rsid w:val="00D03237"/>
    <w:rsid w:val="00D03354"/>
    <w:rsid w:val="00D040BF"/>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30E93"/>
    <w:rsid w:val="00D311F6"/>
    <w:rsid w:val="00D31668"/>
    <w:rsid w:val="00D320FE"/>
    <w:rsid w:val="00D33599"/>
    <w:rsid w:val="00D335AF"/>
    <w:rsid w:val="00D351FF"/>
    <w:rsid w:val="00D419C3"/>
    <w:rsid w:val="00D42FC7"/>
    <w:rsid w:val="00D433BC"/>
    <w:rsid w:val="00D50ED2"/>
    <w:rsid w:val="00D5344C"/>
    <w:rsid w:val="00D54C2B"/>
    <w:rsid w:val="00D559CC"/>
    <w:rsid w:val="00D55BDD"/>
    <w:rsid w:val="00D5648F"/>
    <w:rsid w:val="00D56D8B"/>
    <w:rsid w:val="00D57714"/>
    <w:rsid w:val="00D625E5"/>
    <w:rsid w:val="00D62F40"/>
    <w:rsid w:val="00D64938"/>
    <w:rsid w:val="00D67DB1"/>
    <w:rsid w:val="00D70C6C"/>
    <w:rsid w:val="00D725F2"/>
    <w:rsid w:val="00D7668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C57"/>
    <w:rsid w:val="00DD26FA"/>
    <w:rsid w:val="00DD575C"/>
    <w:rsid w:val="00DD7FC7"/>
    <w:rsid w:val="00DE439E"/>
    <w:rsid w:val="00DF216E"/>
    <w:rsid w:val="00DF2324"/>
    <w:rsid w:val="00DF39C5"/>
    <w:rsid w:val="00DF404B"/>
    <w:rsid w:val="00DF628C"/>
    <w:rsid w:val="00E074FA"/>
    <w:rsid w:val="00E11A18"/>
    <w:rsid w:val="00E11D71"/>
    <w:rsid w:val="00E11EFE"/>
    <w:rsid w:val="00E1204D"/>
    <w:rsid w:val="00E17227"/>
    <w:rsid w:val="00E17E31"/>
    <w:rsid w:val="00E201C7"/>
    <w:rsid w:val="00E2065A"/>
    <w:rsid w:val="00E20EF2"/>
    <w:rsid w:val="00E210EF"/>
    <w:rsid w:val="00E21212"/>
    <w:rsid w:val="00E21978"/>
    <w:rsid w:val="00E25CBE"/>
    <w:rsid w:val="00E313C2"/>
    <w:rsid w:val="00E31E0C"/>
    <w:rsid w:val="00E320A7"/>
    <w:rsid w:val="00E3276F"/>
    <w:rsid w:val="00E3460D"/>
    <w:rsid w:val="00E363E8"/>
    <w:rsid w:val="00E36734"/>
    <w:rsid w:val="00E36A7C"/>
    <w:rsid w:val="00E36C2E"/>
    <w:rsid w:val="00E37C58"/>
    <w:rsid w:val="00E45901"/>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7332"/>
    <w:rsid w:val="00E818C9"/>
    <w:rsid w:val="00E81EF7"/>
    <w:rsid w:val="00E838D8"/>
    <w:rsid w:val="00E8487B"/>
    <w:rsid w:val="00E91CBE"/>
    <w:rsid w:val="00E938EE"/>
    <w:rsid w:val="00E94B18"/>
    <w:rsid w:val="00E9501E"/>
    <w:rsid w:val="00E97321"/>
    <w:rsid w:val="00EA0959"/>
    <w:rsid w:val="00EA19D5"/>
    <w:rsid w:val="00EA1A62"/>
    <w:rsid w:val="00EA1D33"/>
    <w:rsid w:val="00EA5248"/>
    <w:rsid w:val="00EA7AF6"/>
    <w:rsid w:val="00EA7AFC"/>
    <w:rsid w:val="00EB1687"/>
    <w:rsid w:val="00EB2C0C"/>
    <w:rsid w:val="00EB3CB0"/>
    <w:rsid w:val="00EB4042"/>
    <w:rsid w:val="00EB4A95"/>
    <w:rsid w:val="00EB5081"/>
    <w:rsid w:val="00EB5A94"/>
    <w:rsid w:val="00EB5AB9"/>
    <w:rsid w:val="00EB6FF5"/>
    <w:rsid w:val="00EB7905"/>
    <w:rsid w:val="00EC179A"/>
    <w:rsid w:val="00EC3FCA"/>
    <w:rsid w:val="00EC45D4"/>
    <w:rsid w:val="00EC5629"/>
    <w:rsid w:val="00EC65F0"/>
    <w:rsid w:val="00ED05EE"/>
    <w:rsid w:val="00ED0667"/>
    <w:rsid w:val="00ED2631"/>
    <w:rsid w:val="00ED4699"/>
    <w:rsid w:val="00ED6015"/>
    <w:rsid w:val="00ED6533"/>
    <w:rsid w:val="00EE09B8"/>
    <w:rsid w:val="00EE0DD3"/>
    <w:rsid w:val="00EE52C9"/>
    <w:rsid w:val="00EE5DE2"/>
    <w:rsid w:val="00EF192B"/>
    <w:rsid w:val="00EF1AEB"/>
    <w:rsid w:val="00EF1F39"/>
    <w:rsid w:val="00EF3817"/>
    <w:rsid w:val="00EF4C19"/>
    <w:rsid w:val="00EF6A31"/>
    <w:rsid w:val="00F027F1"/>
    <w:rsid w:val="00F101AE"/>
    <w:rsid w:val="00F10CBC"/>
    <w:rsid w:val="00F113B2"/>
    <w:rsid w:val="00F16420"/>
    <w:rsid w:val="00F20D23"/>
    <w:rsid w:val="00F2379F"/>
    <w:rsid w:val="00F2403B"/>
    <w:rsid w:val="00F32DED"/>
    <w:rsid w:val="00F35E5D"/>
    <w:rsid w:val="00F37793"/>
    <w:rsid w:val="00F37A7E"/>
    <w:rsid w:val="00F40C58"/>
    <w:rsid w:val="00F41C1F"/>
    <w:rsid w:val="00F42C97"/>
    <w:rsid w:val="00F45DB1"/>
    <w:rsid w:val="00F46203"/>
    <w:rsid w:val="00F46DDB"/>
    <w:rsid w:val="00F46E2E"/>
    <w:rsid w:val="00F51267"/>
    <w:rsid w:val="00F517B4"/>
    <w:rsid w:val="00F60493"/>
    <w:rsid w:val="00F639BD"/>
    <w:rsid w:val="00F642A0"/>
    <w:rsid w:val="00F644AE"/>
    <w:rsid w:val="00F6565E"/>
    <w:rsid w:val="00F66585"/>
    <w:rsid w:val="00F702FD"/>
    <w:rsid w:val="00F703AE"/>
    <w:rsid w:val="00F70CFC"/>
    <w:rsid w:val="00F71479"/>
    <w:rsid w:val="00F71EF0"/>
    <w:rsid w:val="00F752EE"/>
    <w:rsid w:val="00F766FB"/>
    <w:rsid w:val="00F80973"/>
    <w:rsid w:val="00F8176B"/>
    <w:rsid w:val="00F82737"/>
    <w:rsid w:val="00F82A91"/>
    <w:rsid w:val="00F8499D"/>
    <w:rsid w:val="00F87EAF"/>
    <w:rsid w:val="00F90570"/>
    <w:rsid w:val="00F906F1"/>
    <w:rsid w:val="00F91A03"/>
    <w:rsid w:val="00F91D33"/>
    <w:rsid w:val="00F9261E"/>
    <w:rsid w:val="00F9556B"/>
    <w:rsid w:val="00F960F8"/>
    <w:rsid w:val="00FA3FAF"/>
    <w:rsid w:val="00FA43BE"/>
    <w:rsid w:val="00FA5667"/>
    <w:rsid w:val="00FC024C"/>
    <w:rsid w:val="00FC048F"/>
    <w:rsid w:val="00FC26BF"/>
    <w:rsid w:val="00FC2D0E"/>
    <w:rsid w:val="00FC4450"/>
    <w:rsid w:val="00FC523B"/>
    <w:rsid w:val="00FC6C36"/>
    <w:rsid w:val="00FC788F"/>
    <w:rsid w:val="00FD1BE0"/>
    <w:rsid w:val="00FD6678"/>
    <w:rsid w:val="00FD7465"/>
    <w:rsid w:val="00FE0D40"/>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402529719">
          <w:marLeft w:val="547"/>
          <w:marRight w:val="0"/>
          <w:marTop w:val="96"/>
          <w:marBottom w:val="0"/>
          <w:divBdr>
            <w:top w:val="none" w:sz="0" w:space="0" w:color="auto"/>
            <w:left w:val="none" w:sz="0" w:space="0" w:color="auto"/>
            <w:bottom w:val="none" w:sz="0" w:space="0" w:color="auto"/>
            <w:right w:val="none" w:sz="0" w:space="0" w:color="auto"/>
          </w:divBdr>
        </w:div>
        <w:div w:id="181015830">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70">
          <w:marLeft w:val="547"/>
          <w:marRight w:val="0"/>
          <w:marTop w:val="72"/>
          <w:marBottom w:val="0"/>
          <w:divBdr>
            <w:top w:val="none" w:sz="0" w:space="0" w:color="auto"/>
            <w:left w:val="none" w:sz="0" w:space="0" w:color="auto"/>
            <w:bottom w:val="none" w:sz="0" w:space="0" w:color="auto"/>
            <w:right w:val="none" w:sz="0" w:space="0" w:color="auto"/>
          </w:divBdr>
        </w:div>
        <w:div w:id="169833131">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1840316467">
          <w:marLeft w:val="547"/>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20669431">
          <w:marLeft w:val="1800"/>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 w:id="1571454732">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112021417">
          <w:marLeft w:val="547"/>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 w:id="56520483">
          <w:marLeft w:val="1800"/>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1615478683">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285552840">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0822001">
      <w:bodyDiv w:val="1"/>
      <w:marLeft w:val="0"/>
      <w:marRight w:val="0"/>
      <w:marTop w:val="0"/>
      <w:marBottom w:val="0"/>
      <w:divBdr>
        <w:top w:val="none" w:sz="0" w:space="0" w:color="auto"/>
        <w:left w:val="none" w:sz="0" w:space="0" w:color="auto"/>
        <w:bottom w:val="none" w:sz="0" w:space="0" w:color="auto"/>
        <w:right w:val="none" w:sz="0" w:space="0" w:color="auto"/>
      </w:divBdr>
      <w:divsChild>
        <w:div w:id="1574046312">
          <w:marLeft w:val="1166"/>
          <w:marRight w:val="0"/>
          <w:marTop w:val="8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1119183252">
          <w:marLeft w:val="547"/>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98449702">
          <w:marLeft w:val="1166"/>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7465-F8D2-4B93-89C8-9A899C04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2007-08-28T20:45:00Z</cp:lastPrinted>
  <dcterms:created xsi:type="dcterms:W3CDTF">2016-11-04T16:25:00Z</dcterms:created>
  <dcterms:modified xsi:type="dcterms:W3CDTF">2016-11-04T16:25:00Z</dcterms:modified>
</cp:coreProperties>
</file>