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B7435F">
        <w:rPr>
          <w:bCs/>
          <w:noProof w:val="0"/>
          <w:sz w:val="24"/>
          <w:szCs w:val="24"/>
        </w:rPr>
        <w:t>6749</w:t>
      </w:r>
    </w:p>
    <w:p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0543D">
        <w:rPr>
          <w:rFonts w:cs="Arial"/>
          <w:b/>
          <w:bCs/>
          <w:sz w:val="24"/>
          <w:lang w:eastAsia="ja-JP"/>
        </w:rPr>
        <w:t>8</w:t>
      </w:r>
      <w:r w:rsidR="002747EC">
        <w:rPr>
          <w:rFonts w:cs="Arial"/>
          <w:b/>
          <w:bCs/>
          <w:sz w:val="24"/>
          <w:lang w:eastAsia="ja-JP"/>
        </w:rPr>
        <w:t>.</w:t>
      </w:r>
      <w:r w:rsidR="0010543D">
        <w:rPr>
          <w:rFonts w:cs="Arial"/>
          <w:b/>
          <w:bCs/>
          <w:sz w:val="24"/>
          <w:lang w:eastAsia="ja-JP"/>
        </w:rPr>
        <w:t>6.4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BE017C" w:rsidRDefault="00366747"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Few clarifications</w:t>
      </w:r>
      <w:r w:rsidR="00E3530B">
        <w:rPr>
          <w:rFonts w:ascii="Arial" w:hAnsi="Arial" w:cs="Arial"/>
          <w:b/>
          <w:bCs/>
          <w:sz w:val="24"/>
        </w:rPr>
        <w:t xml:space="preserve"> on Further mobility enhancements</w:t>
      </w:r>
      <w:r w:rsidR="00AE44F8">
        <w:rPr>
          <w:rFonts w:ascii="Arial" w:hAnsi="Arial" w:cs="Arial"/>
          <w:b/>
          <w:bCs/>
          <w:sz w:val="24"/>
        </w:rPr>
        <w:t xml:space="preserve"> in LTE</w:t>
      </w:r>
    </w:p>
    <w:p w:rsidR="00CD4C7B" w:rsidRPr="00B266B0" w:rsidRDefault="00E3530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3530B">
        <w:rPr>
          <w:rFonts w:ascii="Arial" w:hAnsi="Arial" w:cs="Arial"/>
          <w:b/>
          <w:bCs/>
          <w:sz w:val="24"/>
        </w:rPr>
        <w:t>LTE_eMob-Core</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E3530B" w:rsidRDefault="00E3530B" w:rsidP="00C45448">
      <w:pPr>
        <w:jc w:val="both"/>
      </w:pPr>
      <w:r>
        <w:t>During the previou</w:t>
      </w:r>
      <w:r w:rsidR="00692861">
        <w:t xml:space="preserve">s RAN2 meeting (i.e. RAN2#95) </w:t>
      </w:r>
      <w:r>
        <w:t>several agreements with respect to Further mobility enhancements in LTE</w:t>
      </w:r>
      <w:r w:rsidR="00692861">
        <w:t xml:space="preserve"> have been made</w:t>
      </w:r>
      <w:r>
        <w:t xml:space="preserve">. </w:t>
      </w:r>
      <w:r w:rsidR="00EB4C98">
        <w:t>In order to</w:t>
      </w:r>
      <w:r>
        <w:t xml:space="preserve"> </w:t>
      </w:r>
      <w:r w:rsidR="00692861">
        <w:t>increas</w:t>
      </w:r>
      <w:r w:rsidR="00EB4C98">
        <w:t>e</w:t>
      </w:r>
      <w:bookmarkStart w:id="1" w:name="_GoBack"/>
      <w:bookmarkEnd w:id="1"/>
      <w:r w:rsidR="00692861">
        <w:t xml:space="preserve"> the readability of this paper</w:t>
      </w:r>
      <w:r w:rsidR="00EB4C98">
        <w:t>, the list of agreements is inserted below:</w:t>
      </w:r>
    </w:p>
    <w:p w:rsidR="00E3530B" w:rsidRDefault="00E3530B" w:rsidP="00E3530B">
      <w:pPr>
        <w:pStyle w:val="Heade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3530B" w:rsidRPr="00861151" w:rsidTr="002F259A">
        <w:tc>
          <w:tcPr>
            <w:tcW w:w="10081" w:type="dxa"/>
            <w:shd w:val="clear" w:color="auto" w:fill="auto"/>
          </w:tcPr>
          <w:p w:rsidR="00E3530B" w:rsidRPr="001A3C36" w:rsidRDefault="00E3530B" w:rsidP="002F259A">
            <w:pPr>
              <w:pStyle w:val="BodyText"/>
              <w:rPr>
                <w:rFonts w:ascii="Times New Roman" w:hAnsi="Times New Roman" w:cs="Times New Roman"/>
                <w:color w:val="auto"/>
                <w:lang w:eastAsia="zh-CN"/>
              </w:rPr>
            </w:pPr>
            <w:r w:rsidRPr="001A3C36">
              <w:rPr>
                <w:rFonts w:ascii="Times New Roman" w:hAnsi="Times New Roman" w:cs="Times New Roman"/>
                <w:color w:val="auto"/>
                <w:lang w:eastAsia="zh-CN"/>
              </w:rPr>
              <w:t>Regarding the RACH-less solution:</w:t>
            </w:r>
          </w:p>
          <w:p w:rsidR="00E3530B" w:rsidRPr="001A3C36" w:rsidRDefault="00E3530B" w:rsidP="00E3530B">
            <w:pPr>
              <w:pStyle w:val="BodyText"/>
              <w:numPr>
                <w:ilvl w:val="0"/>
                <w:numId w:val="5"/>
              </w:numPr>
              <w:rPr>
                <w:rFonts w:ascii="Times New Roman" w:hAnsi="Times New Roman" w:cs="Times New Roman"/>
                <w:color w:val="auto"/>
                <w:lang w:eastAsia="zh-CN"/>
              </w:rPr>
            </w:pPr>
            <w:r w:rsidRPr="001A3C36">
              <w:rPr>
                <w:rFonts w:ascii="Times New Roman" w:hAnsi="Times New Roman" w:cs="Times New Roman"/>
                <w:color w:val="auto"/>
                <w:lang w:eastAsia="zh-CN"/>
              </w:rPr>
              <w:t>The asynchronous RACH-less solution is excluded.</w:t>
            </w:r>
          </w:p>
          <w:p w:rsidR="00E3530B" w:rsidRPr="001A3C36" w:rsidRDefault="00E3530B" w:rsidP="00E3530B">
            <w:pPr>
              <w:pStyle w:val="BodyText"/>
              <w:numPr>
                <w:ilvl w:val="0"/>
                <w:numId w:val="5"/>
              </w:numPr>
              <w:rPr>
                <w:rFonts w:ascii="Times New Roman" w:hAnsi="Times New Roman" w:cs="Times New Roman"/>
                <w:color w:val="auto"/>
                <w:lang w:eastAsia="zh-CN"/>
              </w:rPr>
            </w:pPr>
            <w:r w:rsidRPr="001A3C36">
              <w:rPr>
                <w:rFonts w:ascii="Times New Roman" w:hAnsi="Times New Roman" w:cs="Times New Roman"/>
                <w:color w:val="auto"/>
                <w:lang w:eastAsia="zh-CN"/>
              </w:rPr>
              <w:t>Only the RACH-less solution that the TA value of the source cell is reused for the targeted cell, or TA=0 will be further considered.</w:t>
            </w:r>
          </w:p>
          <w:p w:rsidR="00E3530B" w:rsidRPr="001A3C36" w:rsidRDefault="00E3530B" w:rsidP="00E3530B">
            <w:pPr>
              <w:pStyle w:val="BodyText"/>
              <w:numPr>
                <w:ilvl w:val="0"/>
                <w:numId w:val="5"/>
              </w:numPr>
              <w:rPr>
                <w:rFonts w:ascii="Times New Roman" w:hAnsi="Times New Roman" w:cs="Times New Roman"/>
                <w:color w:val="auto"/>
                <w:lang w:eastAsia="zh-CN"/>
              </w:rPr>
            </w:pPr>
            <w:r w:rsidRPr="001A3C36">
              <w:rPr>
                <w:rFonts w:ascii="Times New Roman" w:hAnsi="Times New Roman" w:cs="Times New Roman"/>
                <w:color w:val="auto"/>
                <w:lang w:eastAsia="zh-CN"/>
              </w:rPr>
              <w:t>The subframe allocation and uplink grant format can be configured by RRC message.</w:t>
            </w:r>
          </w:p>
          <w:p w:rsidR="00E3530B" w:rsidRPr="001A3C36" w:rsidRDefault="00E3530B" w:rsidP="00E3530B">
            <w:pPr>
              <w:pStyle w:val="BodyText"/>
              <w:numPr>
                <w:ilvl w:val="0"/>
                <w:numId w:val="5"/>
              </w:numPr>
              <w:rPr>
                <w:rFonts w:ascii="Times New Roman" w:hAnsi="Times New Roman" w:cs="Times New Roman"/>
                <w:color w:val="auto"/>
                <w:lang w:eastAsia="zh-CN"/>
              </w:rPr>
            </w:pPr>
            <w:r w:rsidRPr="001A3C36">
              <w:rPr>
                <w:rFonts w:ascii="Times New Roman" w:hAnsi="Times New Roman" w:cs="Times New Roman"/>
                <w:color w:val="auto"/>
                <w:lang w:eastAsia="zh-CN"/>
              </w:rPr>
              <w:t>If the subframe allocation and uplink grant format is configured, the starting subframe of the configured uplink grant is provided by the target eNB in RRC message.</w:t>
            </w:r>
          </w:p>
          <w:p w:rsidR="00E3530B" w:rsidRPr="001A3C36" w:rsidRDefault="00E3530B" w:rsidP="00E3530B">
            <w:pPr>
              <w:pStyle w:val="BodyText"/>
              <w:numPr>
                <w:ilvl w:val="0"/>
                <w:numId w:val="5"/>
              </w:numPr>
              <w:rPr>
                <w:rFonts w:ascii="Times New Roman" w:hAnsi="Times New Roman" w:cs="Times New Roman"/>
                <w:color w:val="auto"/>
                <w:lang w:eastAsia="zh-CN"/>
              </w:rPr>
            </w:pPr>
            <w:r w:rsidRPr="001A3C36">
              <w:rPr>
                <w:rFonts w:ascii="Times New Roman" w:hAnsi="Times New Roman" w:cs="Times New Roman"/>
                <w:color w:val="auto"/>
                <w:lang w:eastAsia="zh-CN"/>
              </w:rPr>
              <w:t>If UE doesn’t receive UL grant in RRC message, it will monitor PDCCH of the target eNB for UL grant. UE doesn’t need to know the SFN of the target eNB.</w:t>
            </w:r>
          </w:p>
          <w:p w:rsidR="00E3530B" w:rsidRPr="001A3C36" w:rsidRDefault="00E3530B" w:rsidP="00E3530B">
            <w:pPr>
              <w:pStyle w:val="BodyText"/>
              <w:numPr>
                <w:ilvl w:val="0"/>
                <w:numId w:val="5"/>
              </w:numPr>
              <w:rPr>
                <w:rFonts w:ascii="Times New Roman" w:hAnsi="Times New Roman" w:cs="Times New Roman"/>
                <w:color w:val="auto"/>
                <w:lang w:eastAsia="zh-CN"/>
              </w:rPr>
            </w:pPr>
            <w:r w:rsidRPr="001A3C36">
              <w:rPr>
                <w:rFonts w:ascii="Times New Roman" w:hAnsi="Times New Roman" w:cs="Times New Roman"/>
                <w:color w:val="auto"/>
                <w:lang w:eastAsia="zh-CN"/>
              </w:rPr>
              <w:t>RACH-less solution can be used for SCG change and handover scenarios.</w:t>
            </w:r>
          </w:p>
          <w:p w:rsidR="00E3530B" w:rsidRPr="001A3C36" w:rsidRDefault="00E3530B" w:rsidP="002F259A">
            <w:pPr>
              <w:pStyle w:val="BodyText"/>
              <w:rPr>
                <w:rFonts w:ascii="Times New Roman" w:hAnsi="Times New Roman" w:cs="Times New Roman"/>
                <w:color w:val="auto"/>
                <w:lang w:eastAsia="zh-CN"/>
              </w:rPr>
            </w:pPr>
          </w:p>
          <w:p w:rsidR="00E3530B" w:rsidRPr="001A3C36" w:rsidRDefault="00E3530B" w:rsidP="002F259A">
            <w:pPr>
              <w:pStyle w:val="BodyText"/>
              <w:rPr>
                <w:rFonts w:ascii="Times New Roman" w:hAnsi="Times New Roman" w:cs="Times New Roman"/>
                <w:color w:val="auto"/>
                <w:lang w:eastAsia="zh-CN"/>
              </w:rPr>
            </w:pPr>
            <w:r w:rsidRPr="001A3C36">
              <w:rPr>
                <w:rFonts w:ascii="Times New Roman" w:hAnsi="Times New Roman" w:cs="Times New Roman"/>
                <w:color w:val="auto"/>
                <w:lang w:eastAsia="zh-CN"/>
              </w:rPr>
              <w:t>Regarding the make-before-break solution:</w:t>
            </w:r>
          </w:p>
          <w:p w:rsidR="00E3530B" w:rsidRPr="001A3C36" w:rsidRDefault="00E3530B" w:rsidP="00E3530B">
            <w:pPr>
              <w:pStyle w:val="BodyText"/>
              <w:numPr>
                <w:ilvl w:val="0"/>
                <w:numId w:val="6"/>
              </w:numPr>
              <w:rPr>
                <w:rFonts w:ascii="Times New Roman" w:hAnsi="Times New Roman" w:cs="Times New Roman"/>
                <w:color w:val="auto"/>
                <w:lang w:eastAsia="zh-CN"/>
              </w:rPr>
            </w:pPr>
            <w:r w:rsidRPr="001A3C36">
              <w:rPr>
                <w:rFonts w:ascii="Times New Roman" w:hAnsi="Times New Roman" w:cs="Times New Roman"/>
                <w:color w:val="auto"/>
                <w:lang w:eastAsia="zh-CN"/>
              </w:rPr>
              <w:t>The “make before break handover solution” means the UE continues downlink and uplink with the source cell until the UE performs the first transmission through PUSCH or PRACH to the target eNB.</w:t>
            </w:r>
          </w:p>
          <w:p w:rsidR="00E3530B" w:rsidRPr="001A3C36" w:rsidRDefault="00E3530B" w:rsidP="00E3530B">
            <w:pPr>
              <w:pStyle w:val="BodyText"/>
              <w:numPr>
                <w:ilvl w:val="0"/>
                <w:numId w:val="6"/>
              </w:numPr>
              <w:rPr>
                <w:rFonts w:ascii="Times New Roman" w:hAnsi="Times New Roman" w:cs="Times New Roman"/>
                <w:color w:val="auto"/>
                <w:lang w:eastAsia="zh-CN"/>
              </w:rPr>
            </w:pPr>
            <w:r w:rsidRPr="001A3C36">
              <w:rPr>
                <w:rFonts w:ascii="Times New Roman" w:hAnsi="Times New Roman" w:cs="Times New Roman"/>
                <w:color w:val="auto"/>
                <w:lang w:eastAsia="zh-CN"/>
              </w:rPr>
              <w:t>The solution is applicable for intra frequency handover and SCG change. Inter frequency case is FFS.</w:t>
            </w:r>
          </w:p>
          <w:p w:rsidR="00E3530B" w:rsidRPr="001A3C36" w:rsidRDefault="00E3530B" w:rsidP="00E3530B">
            <w:pPr>
              <w:pStyle w:val="BodyText"/>
              <w:numPr>
                <w:ilvl w:val="0"/>
                <w:numId w:val="6"/>
              </w:numPr>
              <w:rPr>
                <w:rFonts w:ascii="Times New Roman" w:hAnsi="Times New Roman" w:cs="Times New Roman"/>
                <w:color w:val="auto"/>
                <w:lang w:eastAsia="zh-CN"/>
              </w:rPr>
            </w:pPr>
            <w:r w:rsidRPr="001A3C36">
              <w:rPr>
                <w:rFonts w:ascii="Times New Roman" w:hAnsi="Times New Roman" w:cs="Times New Roman"/>
                <w:color w:val="auto"/>
                <w:lang w:eastAsia="zh-CN"/>
              </w:rPr>
              <w:t>Consider RACH-less solution and "maintaining a connection to the source eNB" as two independent mechanisms, activation of which is up to the network decision. Two solutions can be activated simultaneously.</w:t>
            </w:r>
          </w:p>
          <w:p w:rsidR="00E3530B" w:rsidRPr="00FB214A" w:rsidRDefault="00E3530B" w:rsidP="00E3530B">
            <w:pPr>
              <w:pStyle w:val="BodyText"/>
              <w:ind w:left="360"/>
              <w:rPr>
                <w:rFonts w:eastAsia="SimSun"/>
                <w:lang w:eastAsia="zh-CN"/>
              </w:rPr>
            </w:pPr>
          </w:p>
        </w:tc>
      </w:tr>
    </w:tbl>
    <w:p w:rsidR="00E3530B" w:rsidRDefault="00E3530B" w:rsidP="00CD4C7B"/>
    <w:p w:rsidR="00CD4C7B" w:rsidRPr="00C86B48" w:rsidRDefault="00C45448" w:rsidP="00241349">
      <w:pPr>
        <w:jc w:val="both"/>
        <w:rPr>
          <w:lang w:val="en-US"/>
        </w:rPr>
      </w:pPr>
      <w:r>
        <w:t xml:space="preserve">In addition to what has been agreed in the course of the meeting, </w:t>
      </w:r>
      <w:r w:rsidR="00D75EC2">
        <w:t xml:space="preserve">two e-mail discussions have been triggered in order to draft Stage </w:t>
      </w:r>
      <w:r w:rsidR="006545F4">
        <w:t>3</w:t>
      </w:r>
      <w:r w:rsidR="00D75EC2">
        <w:t xml:space="preserve"> and Stage </w:t>
      </w:r>
      <w:r w:rsidR="006545F4">
        <w:t>2</w:t>
      </w:r>
      <w:r w:rsidR="00D75EC2">
        <w:t xml:space="preserve"> Running CRs (</w:t>
      </w:r>
      <w:r w:rsidR="006545F4">
        <w:t>resulting CRs</w:t>
      </w:r>
      <w:r w:rsidR="00D75EC2">
        <w:t xml:space="preserve"> can be found in </w:t>
      </w:r>
      <w:r w:rsidR="00385805">
        <w:fldChar w:fldCharType="begin"/>
      </w:r>
      <w:r w:rsidR="00E73CA1">
        <w:instrText xml:space="preserve"> REF _Ref462914680 \r \h </w:instrText>
      </w:r>
      <w:r w:rsidR="00385805">
        <w:fldChar w:fldCharType="separate"/>
      </w:r>
      <w:r w:rsidR="00E73CA1">
        <w:t>[1]</w:t>
      </w:r>
      <w:r w:rsidR="00385805">
        <w:fldChar w:fldCharType="end"/>
      </w:r>
      <w:r w:rsidR="00E73CA1">
        <w:t xml:space="preserve"> and </w:t>
      </w:r>
      <w:r w:rsidR="00385805">
        <w:fldChar w:fldCharType="begin"/>
      </w:r>
      <w:r w:rsidR="00E73CA1">
        <w:instrText xml:space="preserve"> REF _Ref462914689 \r \h </w:instrText>
      </w:r>
      <w:r w:rsidR="00385805">
        <w:fldChar w:fldCharType="separate"/>
      </w:r>
      <w:r w:rsidR="00E73CA1">
        <w:t>[2]</w:t>
      </w:r>
      <w:r w:rsidR="00385805">
        <w:fldChar w:fldCharType="end"/>
      </w:r>
      <w:r w:rsidR="006545F4">
        <w:t>, respectively</w:t>
      </w:r>
      <w:r w:rsidR="00D75EC2">
        <w:t>).</w:t>
      </w:r>
      <w:r w:rsidR="00CB6468">
        <w:t xml:space="preserve"> This paper is aimed at outlining few related issues which are still to be resolved.</w:t>
      </w:r>
    </w:p>
    <w:p w:rsidR="00CD4C7B" w:rsidRPr="00C86B48" w:rsidRDefault="00CB6468" w:rsidP="00CD4C7B">
      <w:pPr>
        <w:pStyle w:val="Heading1"/>
        <w:rPr>
          <w:lang w:val="en-US"/>
        </w:rPr>
      </w:pPr>
      <w:r w:rsidRPr="00C86B48">
        <w:rPr>
          <w:lang w:val="en-US"/>
        </w:rPr>
        <w:t>2</w:t>
      </w:r>
      <w:r w:rsidRPr="00C86B48">
        <w:rPr>
          <w:lang w:val="en-US"/>
        </w:rPr>
        <w:tab/>
        <w:t>Discussion</w:t>
      </w:r>
    </w:p>
    <w:p w:rsidR="00CD4C7B" w:rsidRDefault="00CB6468" w:rsidP="00CD4C7B">
      <w:pPr>
        <w:rPr>
          <w:lang w:val="en-US"/>
        </w:rPr>
      </w:pPr>
      <w:r w:rsidRPr="00CB6468">
        <w:rPr>
          <w:lang w:val="en-US"/>
        </w:rPr>
        <w:t xml:space="preserve">The following subsections are briefly depicting issues that still should be rectified prior to declaring the completion of this WI. </w:t>
      </w:r>
      <w:r w:rsidR="00CD4C7B" w:rsidRPr="00CB6468">
        <w:rPr>
          <w:lang w:val="en-US"/>
        </w:rPr>
        <w:t xml:space="preserve"> </w:t>
      </w:r>
    </w:p>
    <w:p w:rsidR="003E1DC1" w:rsidRPr="006E13D1" w:rsidRDefault="003E1DC1" w:rsidP="003E1DC1">
      <w:pPr>
        <w:pStyle w:val="Heading2"/>
      </w:pPr>
      <w:r>
        <w:t>2.1</w:t>
      </w:r>
      <w:r>
        <w:tab/>
        <w:t>Asynchronous case</w:t>
      </w:r>
    </w:p>
    <w:p w:rsidR="003E1DC1" w:rsidRDefault="003E1DC1" w:rsidP="003C514E">
      <w:pPr>
        <w:jc w:val="both"/>
        <w:rPr>
          <w:lang w:val="en-US"/>
        </w:rPr>
      </w:pPr>
      <w:r>
        <w:rPr>
          <w:lang w:val="en-US"/>
        </w:rPr>
        <w:t>To begin with, let us consider agreements #1 and #2 from RACH-less section. Agreement #2 limits the applicability of the RACH-less HO to the cases when either the Timing Advance (TA) value can be reused (i.e. source_TA = target_TA)</w:t>
      </w:r>
      <w:r w:rsidR="003C514E">
        <w:rPr>
          <w:lang w:val="en-US"/>
        </w:rPr>
        <w:t xml:space="preserve"> or when TA = 0 (e.g. </w:t>
      </w:r>
      <w:r w:rsidR="00241349">
        <w:rPr>
          <w:lang w:val="en-US"/>
        </w:rPr>
        <w:t xml:space="preserve">for </w:t>
      </w:r>
      <w:r w:rsidR="003C514E">
        <w:rPr>
          <w:lang w:val="en-US"/>
        </w:rPr>
        <w:t>small cells). Such down-scoping in fact makes agreement</w:t>
      </w:r>
      <w:r w:rsidR="00241349">
        <w:rPr>
          <w:lang w:val="en-US"/>
        </w:rPr>
        <w:t xml:space="preserve"> #1 redundant or even incorrect as RACH-less handover should work fine in both cases (i.e. TA reuse or TA</w:t>
      </w:r>
      <w:r w:rsidR="00543C83">
        <w:rPr>
          <w:lang w:val="en-US"/>
        </w:rPr>
        <w:t xml:space="preserve"> </w:t>
      </w:r>
      <w:r w:rsidR="00241349">
        <w:rPr>
          <w:lang w:val="en-US"/>
        </w:rPr>
        <w:t>=</w:t>
      </w:r>
      <w:r w:rsidR="00543C83">
        <w:rPr>
          <w:lang w:val="en-US"/>
        </w:rPr>
        <w:t xml:space="preserve"> </w:t>
      </w:r>
      <w:r w:rsidR="00241349">
        <w:rPr>
          <w:lang w:val="en-US"/>
        </w:rPr>
        <w:t>0)</w:t>
      </w:r>
      <w:r w:rsidR="003C514E">
        <w:rPr>
          <w:lang w:val="en-US"/>
        </w:rPr>
        <w:t xml:space="preserve"> </w:t>
      </w:r>
      <w:r w:rsidR="00241349">
        <w:rPr>
          <w:lang w:val="en-US"/>
        </w:rPr>
        <w:t>, regardless of whether the network operates in a synchronous or asynchronous manner.</w:t>
      </w:r>
    </w:p>
    <w:p w:rsidR="00225CC6" w:rsidRPr="005244ED" w:rsidRDefault="00225CC6" w:rsidP="005244ED">
      <w:pPr>
        <w:pStyle w:val="ListParagraph"/>
        <w:numPr>
          <w:ilvl w:val="0"/>
          <w:numId w:val="15"/>
        </w:numPr>
        <w:jc w:val="both"/>
        <w:rPr>
          <w:b/>
          <w:lang w:val="en-US"/>
        </w:rPr>
      </w:pPr>
      <w:bookmarkStart w:id="2" w:name="_Ref463008770"/>
      <w:r w:rsidRPr="00C819AE">
        <w:rPr>
          <w:b/>
          <w:lang w:val="en-US"/>
        </w:rPr>
        <w:t>Due to limiting the applicability of RACH-less handover to TA reuse or TA = 0 cases, additional constraint of using RACH-less approach only in asynchronous networks seems to be unnecessary.</w:t>
      </w:r>
      <w:bookmarkEnd w:id="2"/>
    </w:p>
    <w:p w:rsidR="000536D5" w:rsidRPr="00BC790E" w:rsidRDefault="000536D5" w:rsidP="005244ED">
      <w:pPr>
        <w:pStyle w:val="ListParagraph"/>
        <w:ind w:left="0"/>
        <w:jc w:val="both"/>
        <w:rPr>
          <w:lang w:val="en-US"/>
        </w:rPr>
      </w:pPr>
      <w:bookmarkStart w:id="3" w:name="_Ref463005846"/>
    </w:p>
    <w:bookmarkEnd w:id="3"/>
    <w:p w:rsidR="00CB6468" w:rsidRPr="006E13D1" w:rsidRDefault="00351B43" w:rsidP="00CB6468">
      <w:pPr>
        <w:pStyle w:val="Heading2"/>
      </w:pPr>
      <w:r>
        <w:t>2</w:t>
      </w:r>
      <w:r w:rsidR="003E1DC1">
        <w:t>.2</w:t>
      </w:r>
      <w:r>
        <w:tab/>
        <w:t>How to deliver UL grant</w:t>
      </w:r>
    </w:p>
    <w:p w:rsidR="00CB6468" w:rsidRDefault="00302893" w:rsidP="00FE1023">
      <w:pPr>
        <w:jc w:val="both"/>
        <w:rPr>
          <w:lang w:val="en-US"/>
        </w:rPr>
      </w:pPr>
      <w:r>
        <w:rPr>
          <w:lang w:val="en-US"/>
        </w:rPr>
        <w:t>The most contentious issue during the RAN2#95 online discussion (and post-meeting e-mail thread</w:t>
      </w:r>
      <w:r w:rsidR="00FB464C">
        <w:rPr>
          <w:lang w:val="en-US"/>
        </w:rPr>
        <w:t>s</w:t>
      </w:r>
      <w:r>
        <w:rPr>
          <w:lang w:val="en-US"/>
        </w:rPr>
        <w:t>) appeared to</w:t>
      </w:r>
      <w:r w:rsidR="00C47E6C">
        <w:rPr>
          <w:lang w:val="en-US"/>
        </w:rPr>
        <w:t xml:space="preserve"> be how to deliver</w:t>
      </w:r>
      <w:r>
        <w:rPr>
          <w:lang w:val="en-US"/>
        </w:rPr>
        <w:t xml:space="preserve"> UL grant for completi</w:t>
      </w:r>
      <w:r w:rsidR="00121A1B">
        <w:rPr>
          <w:lang w:val="en-US"/>
        </w:rPr>
        <w:t>ng the HO procedure in case</w:t>
      </w:r>
      <w:r>
        <w:rPr>
          <w:lang w:val="en-US"/>
        </w:rPr>
        <w:t xml:space="preserve"> </w:t>
      </w:r>
      <w:r w:rsidR="00121A1B">
        <w:rPr>
          <w:lang w:val="en-US"/>
        </w:rPr>
        <w:t>RACH-less solution is</w:t>
      </w:r>
      <w:r>
        <w:rPr>
          <w:lang w:val="en-US"/>
        </w:rPr>
        <w:t xml:space="preserve"> configured.</w:t>
      </w:r>
      <w:r w:rsidR="00C47E6C">
        <w:rPr>
          <w:lang w:val="en-US"/>
        </w:rPr>
        <w:t xml:space="preserve"> A considered solution should be compliant with the agreement originating from RAN2#94</w:t>
      </w:r>
      <w:r w:rsidR="00121A1B">
        <w:rPr>
          <w:lang w:val="en-US"/>
        </w:rPr>
        <w:t>,</w:t>
      </w:r>
      <w:r w:rsidR="00C47E6C">
        <w:rPr>
          <w:lang w:val="en-US"/>
        </w:rPr>
        <w:t xml:space="preserve"> </w:t>
      </w:r>
      <w:r w:rsidR="00121A1B">
        <w:rPr>
          <w:lang w:val="en-US"/>
        </w:rPr>
        <w:t>stating the following:</w:t>
      </w:r>
      <w:r w:rsidR="00C47E6C">
        <w:rPr>
          <w:lang w:val="en-US"/>
        </w:rPr>
        <w:t xml:space="preserve"> “</w:t>
      </w:r>
      <w:r w:rsidR="00C47E6C" w:rsidRPr="00121A1B">
        <w:rPr>
          <w:i/>
          <w:lang w:val="en-US"/>
        </w:rPr>
        <w:t>target eNB pre-allocates periodic UL grant</w:t>
      </w:r>
      <w:r w:rsidR="00C47E6C">
        <w:rPr>
          <w:lang w:val="en-US"/>
        </w:rPr>
        <w:t>”.</w:t>
      </w:r>
      <w:r w:rsidR="00121A1B">
        <w:rPr>
          <w:lang w:val="en-US"/>
        </w:rPr>
        <w:t xml:space="preserve"> It seems to </w:t>
      </w:r>
      <w:r w:rsidR="000960B7">
        <w:rPr>
          <w:lang w:val="en-US"/>
        </w:rPr>
        <w:t xml:space="preserve">be </w:t>
      </w:r>
      <w:r w:rsidR="00121A1B">
        <w:rPr>
          <w:lang w:val="en-US"/>
        </w:rPr>
        <w:t xml:space="preserve">straightforward such agreement implies the usage of RRC </w:t>
      </w:r>
      <w:r w:rsidR="000960B7">
        <w:rPr>
          <w:lang w:val="en-US"/>
        </w:rPr>
        <w:t>signaling (i.e. HO command)</w:t>
      </w:r>
      <w:r w:rsidR="00FB464C">
        <w:rPr>
          <w:lang w:val="en-US"/>
        </w:rPr>
        <w:t xml:space="preserve"> to deliver the UL grant</w:t>
      </w:r>
      <w:r w:rsidR="000960B7">
        <w:rPr>
          <w:lang w:val="en-US"/>
        </w:rPr>
        <w:t xml:space="preserve">. However, </w:t>
      </w:r>
      <w:r w:rsidR="00121A1B">
        <w:rPr>
          <w:lang w:val="en-US"/>
        </w:rPr>
        <w:t>due to the intense discussion</w:t>
      </w:r>
      <w:r w:rsidR="000960B7">
        <w:rPr>
          <w:lang w:val="en-US"/>
        </w:rPr>
        <w:t xml:space="preserve"> and diverging opinions, RAN2 ended up with a hybrid</w:t>
      </w:r>
      <w:r w:rsidR="00121A1B">
        <w:rPr>
          <w:lang w:val="en-US"/>
        </w:rPr>
        <w:t xml:space="preserve"> solution described in the </w:t>
      </w:r>
      <w:r w:rsidR="000960B7">
        <w:rPr>
          <w:lang w:val="en-US"/>
        </w:rPr>
        <w:t>aforementioned “agreement box”. Even though it can be regarded as a trade-</w:t>
      </w:r>
      <w:r w:rsidR="00911D45">
        <w:rPr>
          <w:lang w:val="en-US"/>
        </w:rPr>
        <w:t>off aimed at accommodating</w:t>
      </w:r>
      <w:r w:rsidR="000960B7">
        <w:rPr>
          <w:lang w:val="en-US"/>
        </w:rPr>
        <w:t xml:space="preserve"> various preferences among the involved stakeholders, </w:t>
      </w:r>
      <w:r w:rsidR="00122FB0">
        <w:rPr>
          <w:lang w:val="en-US"/>
        </w:rPr>
        <w:t xml:space="preserve">it may yield </w:t>
      </w:r>
      <w:r w:rsidR="00911D45">
        <w:rPr>
          <w:lang w:val="en-US"/>
        </w:rPr>
        <w:t>a suboptimal solution which at the end of the day may bring more trouble</w:t>
      </w:r>
      <w:r w:rsidR="00FB464C">
        <w:rPr>
          <w:lang w:val="en-US"/>
        </w:rPr>
        <w:t>s</w:t>
      </w:r>
      <w:r w:rsidR="00911D45">
        <w:rPr>
          <w:lang w:val="en-US"/>
        </w:rPr>
        <w:t xml:space="preserve"> than benefits. </w:t>
      </w:r>
      <w:r w:rsidR="00846191">
        <w:rPr>
          <w:lang w:val="en-US"/>
        </w:rPr>
        <w:t xml:space="preserve">Among the potentially problematic </w:t>
      </w:r>
      <w:r w:rsidR="00114D1D">
        <w:rPr>
          <w:lang w:val="en-US"/>
        </w:rPr>
        <w:t>areas, one can easily identify</w:t>
      </w:r>
      <w:r w:rsidR="00846191">
        <w:rPr>
          <w:lang w:val="en-US"/>
        </w:rPr>
        <w:t>:</w:t>
      </w:r>
    </w:p>
    <w:p w:rsidR="00114D1D" w:rsidRPr="00114D1D" w:rsidRDefault="00114D1D" w:rsidP="006B234A">
      <w:pPr>
        <w:pStyle w:val="ListParagraph"/>
        <w:numPr>
          <w:ilvl w:val="0"/>
          <w:numId w:val="8"/>
        </w:numPr>
        <w:jc w:val="both"/>
        <w:rPr>
          <w:lang w:val="en-US"/>
        </w:rPr>
      </w:pPr>
      <w:r w:rsidRPr="00114D1D">
        <w:rPr>
          <w:lang w:val="en-US"/>
        </w:rPr>
        <w:t>When the UE should start monitoring target cell’s PDCCH and how to determine when and whether it should contain the UL grant?</w:t>
      </w:r>
    </w:p>
    <w:p w:rsidR="00114D1D" w:rsidRDefault="00114D1D" w:rsidP="00846191">
      <w:pPr>
        <w:pStyle w:val="ListParagraph"/>
        <w:numPr>
          <w:ilvl w:val="0"/>
          <w:numId w:val="8"/>
        </w:numPr>
        <w:jc w:val="both"/>
        <w:rPr>
          <w:lang w:val="en-US"/>
        </w:rPr>
      </w:pPr>
      <w:r>
        <w:rPr>
          <w:lang w:val="en-US"/>
        </w:rPr>
        <w:t>The need to execute simultaneous reception of PDCCH from two intra-frequency cells, what appears to be against the RAN2#94 agreement removing Cat. C and Cat. D solutions.</w:t>
      </w:r>
    </w:p>
    <w:p w:rsidR="00846191" w:rsidRPr="00114D1D" w:rsidRDefault="00114D1D" w:rsidP="00114D1D">
      <w:pPr>
        <w:pStyle w:val="ListParagraph"/>
        <w:numPr>
          <w:ilvl w:val="0"/>
          <w:numId w:val="8"/>
        </w:numPr>
        <w:jc w:val="both"/>
        <w:rPr>
          <w:lang w:val="en-US"/>
        </w:rPr>
      </w:pPr>
      <w:r>
        <w:rPr>
          <w:lang w:val="en-US"/>
        </w:rPr>
        <w:t>Large impact on RAN4 and associated UE requirements</w:t>
      </w:r>
    </w:p>
    <w:p w:rsidR="00846191" w:rsidRDefault="00846191" w:rsidP="00846191">
      <w:pPr>
        <w:jc w:val="both"/>
        <w:rPr>
          <w:lang w:val="en-US"/>
        </w:rPr>
      </w:pPr>
      <w:r>
        <w:rPr>
          <w:lang w:val="en-US"/>
        </w:rPr>
        <w:t>Thus, for the sake of clarity and in order to minimize the complexity of the</w:t>
      </w:r>
      <w:r w:rsidR="00195CEF">
        <w:rPr>
          <w:lang w:val="en-US"/>
        </w:rPr>
        <w:t xml:space="preserve"> ultimately agreed</w:t>
      </w:r>
      <w:r>
        <w:rPr>
          <w:lang w:val="en-US"/>
        </w:rPr>
        <w:t xml:space="preserve"> soluti</w:t>
      </w:r>
      <w:r w:rsidR="00195CEF">
        <w:rPr>
          <w:lang w:val="en-US"/>
        </w:rPr>
        <w:t>on</w:t>
      </w:r>
      <w:r>
        <w:rPr>
          <w:lang w:val="en-US"/>
        </w:rPr>
        <w:t xml:space="preserve">, we propose to </w:t>
      </w:r>
      <w:r w:rsidR="00B2070E">
        <w:rPr>
          <w:lang w:val="en-US"/>
        </w:rPr>
        <w:t xml:space="preserve">rely on the RRC-based UL grant delivery. </w:t>
      </w:r>
    </w:p>
    <w:p w:rsidR="00B2070E" w:rsidRPr="00B2070E" w:rsidRDefault="00B2070E" w:rsidP="00B2070E">
      <w:pPr>
        <w:pStyle w:val="ListParagraph"/>
        <w:numPr>
          <w:ilvl w:val="0"/>
          <w:numId w:val="9"/>
        </w:numPr>
        <w:jc w:val="both"/>
        <w:rPr>
          <w:b/>
          <w:lang w:val="en-US"/>
        </w:rPr>
      </w:pPr>
      <w:bookmarkStart w:id="4" w:name="_Ref463008822"/>
      <w:r w:rsidRPr="00B2070E">
        <w:rPr>
          <w:b/>
          <w:lang w:val="en-US"/>
        </w:rPr>
        <w:t xml:space="preserve">In case </w:t>
      </w:r>
      <w:r w:rsidRPr="00B2070E">
        <w:rPr>
          <w:b/>
          <w:i/>
          <w:lang w:val="en-US"/>
        </w:rPr>
        <w:t>rach-Skip</w:t>
      </w:r>
      <w:r w:rsidRPr="00B2070E">
        <w:rPr>
          <w:b/>
          <w:lang w:val="en-US"/>
        </w:rPr>
        <w:t xml:space="preserve"> is configured, UL grant is delivered by means of RRC signaling.</w:t>
      </w:r>
      <w:bookmarkEnd w:id="4"/>
      <w:r w:rsidRPr="00B2070E">
        <w:rPr>
          <w:b/>
          <w:lang w:val="en-US"/>
        </w:rPr>
        <w:t xml:space="preserve">  </w:t>
      </w:r>
    </w:p>
    <w:p w:rsidR="00351B43" w:rsidRPr="006E13D1" w:rsidRDefault="00351B43" w:rsidP="00351B43">
      <w:pPr>
        <w:pStyle w:val="Heading2"/>
      </w:pPr>
      <w:r>
        <w:t>2</w:t>
      </w:r>
      <w:r w:rsidR="003E1DC1">
        <w:t>.3</w:t>
      </w:r>
      <w:r>
        <w:tab/>
        <w:t>Handover timers</w:t>
      </w:r>
    </w:p>
    <w:p w:rsidR="00AD6AA5" w:rsidRDefault="00FD7BCA" w:rsidP="00172B7D">
      <w:pPr>
        <w:jc w:val="both"/>
        <w:rPr>
          <w:lang w:val="en-US"/>
        </w:rPr>
      </w:pPr>
      <w:r>
        <w:rPr>
          <w:lang w:val="en-US"/>
        </w:rPr>
        <w:t xml:space="preserve">The considerations on mobility related timers have sparked a vivid discussion in the course of </w:t>
      </w:r>
      <w:r w:rsidRPr="00FD7BCA">
        <w:rPr>
          <w:lang w:val="en-US"/>
        </w:rPr>
        <w:t>[95#37][LTE/eMob]</w:t>
      </w:r>
      <w:r>
        <w:rPr>
          <w:lang w:val="en-US"/>
        </w:rPr>
        <w:t xml:space="preserve"> e-mail thread. </w:t>
      </w:r>
      <w:r w:rsidR="00BA6CC8">
        <w:rPr>
          <w:lang w:val="en-US"/>
        </w:rPr>
        <w:t xml:space="preserve">There seem to be non-aligned views on the T310 behaviour in light of the new agreed solutions. In our </w:t>
      </w:r>
      <w:r w:rsidR="00A95B65">
        <w:rPr>
          <w:lang w:val="en-US"/>
        </w:rPr>
        <w:t>opinion,</w:t>
      </w:r>
      <w:r w:rsidR="00BA6CC8">
        <w:rPr>
          <w:lang w:val="en-US"/>
        </w:rPr>
        <w:t xml:space="preserve"> it would make sense to stop T310 upon receiving HO command with </w:t>
      </w:r>
      <w:r w:rsidR="00BA6CC8" w:rsidRPr="00227780">
        <w:rPr>
          <w:i/>
          <w:lang w:val="en-US"/>
        </w:rPr>
        <w:t>makeBeforeBreak</w:t>
      </w:r>
      <w:r w:rsidR="00BA6CC8">
        <w:rPr>
          <w:lang w:val="en-US"/>
        </w:rPr>
        <w:t xml:space="preserve"> indication. Otherwise, we may end up with</w:t>
      </w:r>
      <w:r w:rsidR="00C86B48">
        <w:rPr>
          <w:lang w:val="en-US"/>
        </w:rPr>
        <w:t xml:space="preserve"> e.g.</w:t>
      </w:r>
      <w:r w:rsidR="00BA6CC8">
        <w:rPr>
          <w:lang w:val="en-US"/>
        </w:rPr>
        <w:t xml:space="preserve"> having a Radio Link Failure (RLF) declared</w:t>
      </w:r>
      <w:r w:rsidR="00F86D97">
        <w:rPr>
          <w:lang w:val="en-US"/>
        </w:rPr>
        <w:t xml:space="preserve"> while simultaneously completing successfully a HO at the target cell.</w:t>
      </w:r>
      <w:r w:rsidR="00C86B48">
        <w:rPr>
          <w:lang w:val="en-US"/>
        </w:rPr>
        <w:t xml:space="preserve"> </w:t>
      </w:r>
      <w:r w:rsidR="00AD6AA5">
        <w:rPr>
          <w:lang w:val="en-US"/>
        </w:rPr>
        <w:t xml:space="preserve">In such case, according to current specifications, RLF should trigger re-establishment procedure which does not seem to be appropriate while the HO procedure is ongoing – assuming that T304 is still running. </w:t>
      </w:r>
    </w:p>
    <w:p w:rsidR="00C3371D" w:rsidRDefault="00C86B48" w:rsidP="00172B7D">
      <w:pPr>
        <w:jc w:val="both"/>
        <w:rPr>
          <w:lang w:val="en-US"/>
        </w:rPr>
      </w:pPr>
      <w:r>
        <w:rPr>
          <w:lang w:val="en-US"/>
        </w:rPr>
        <w:t xml:space="preserve">Another </w:t>
      </w:r>
      <w:r w:rsidR="00AD6AA5">
        <w:rPr>
          <w:lang w:val="en-US"/>
        </w:rPr>
        <w:t xml:space="preserve">issue </w:t>
      </w:r>
      <w:r w:rsidR="00A95B65">
        <w:rPr>
          <w:lang w:val="en-US"/>
        </w:rPr>
        <w:t>would be that</w:t>
      </w:r>
      <w:r>
        <w:rPr>
          <w:lang w:val="en-US"/>
        </w:rPr>
        <w:t xml:space="preserve"> RLF and HOF </w:t>
      </w:r>
      <w:r w:rsidR="00AD6AA5">
        <w:rPr>
          <w:lang w:val="en-US"/>
        </w:rPr>
        <w:t xml:space="preserve">could be </w:t>
      </w:r>
      <w:r w:rsidR="00A95B65">
        <w:rPr>
          <w:lang w:val="en-US"/>
        </w:rPr>
        <w:t xml:space="preserve">encountered </w:t>
      </w:r>
      <w:r w:rsidR="00AD6AA5">
        <w:rPr>
          <w:lang w:val="en-US"/>
        </w:rPr>
        <w:t xml:space="preserve">during the same HO procedure. The question is then which of the failures the UE should </w:t>
      </w:r>
      <w:r w:rsidR="00097708">
        <w:rPr>
          <w:lang w:val="en-US"/>
        </w:rPr>
        <w:t xml:space="preserve">actually </w:t>
      </w:r>
      <w:r w:rsidR="00AD6AA5">
        <w:rPr>
          <w:lang w:val="en-US"/>
        </w:rPr>
        <w:t xml:space="preserve">report. </w:t>
      </w:r>
      <w:r w:rsidR="00D83C51">
        <w:rPr>
          <w:lang w:val="en-US"/>
        </w:rPr>
        <w:t>In the current signaling either one</w:t>
      </w:r>
      <w:r w:rsidR="00097708">
        <w:rPr>
          <w:lang w:val="en-US"/>
        </w:rPr>
        <w:t xml:space="preserve"> or the other, but not both </w:t>
      </w:r>
      <w:r w:rsidR="00D83C51">
        <w:rPr>
          <w:lang w:val="en-US"/>
        </w:rPr>
        <w:t xml:space="preserve">HOF/RLF will be reported. </w:t>
      </w:r>
      <w:r w:rsidR="00A95B65">
        <w:rPr>
          <w:lang w:val="en-US"/>
        </w:rPr>
        <w:t xml:space="preserve">Associated excerpt from </w:t>
      </w:r>
      <w:r w:rsidR="00A95B65" w:rsidRPr="001A3C36">
        <w:rPr>
          <w:i/>
        </w:rPr>
        <w:t>RLF-Report</w:t>
      </w:r>
      <w:r w:rsidR="00A95B65">
        <w:t xml:space="preserve"> </w:t>
      </w:r>
      <w:r w:rsidR="00097708">
        <w:t>is</w:t>
      </w:r>
      <w:r w:rsidR="001A3C36">
        <w:t xml:space="preserve"> </w:t>
      </w:r>
      <w:r w:rsidR="00A95B65">
        <w:t xml:space="preserve">provided below: </w:t>
      </w:r>
    </w:p>
    <w:p w:rsidR="00C3371D" w:rsidRPr="00D05729" w:rsidRDefault="00C3371D" w:rsidP="00C3371D">
      <w:pPr>
        <w:pStyle w:val="PL"/>
        <w:shd w:val="clear" w:color="auto" w:fill="E6E6E6"/>
      </w:pPr>
      <w:r w:rsidRPr="00D05729">
        <w:t>connectionFailureType-r10</w:t>
      </w:r>
      <w:r w:rsidRPr="00D05729">
        <w:tab/>
      </w:r>
      <w:r w:rsidRPr="00D05729">
        <w:tab/>
        <w:t>ENUMERATED {rlf, hof}</w:t>
      </w:r>
      <w:r w:rsidRPr="00D05729">
        <w:tab/>
      </w:r>
      <w:r w:rsidRPr="00D05729">
        <w:tab/>
      </w:r>
      <w:r w:rsidRPr="00D05729">
        <w:tab/>
        <w:t>OPTIONAL,</w:t>
      </w:r>
    </w:p>
    <w:p w:rsidR="00351B43" w:rsidRDefault="00C3371D" w:rsidP="005244ED">
      <w:pPr>
        <w:jc w:val="both"/>
        <w:rPr>
          <w:lang w:val="en-US"/>
        </w:rPr>
      </w:pPr>
      <w:r>
        <w:br/>
      </w:r>
      <w:r w:rsidR="00AD6AA5">
        <w:rPr>
          <w:lang w:val="en-US"/>
        </w:rPr>
        <w:t xml:space="preserve">With make-before-break, weakening of the source cell connection during the HO execution is obvious and therefore reporting of the HOF would be more relevant. Expiry of T304 would trigger </w:t>
      </w:r>
      <w:r w:rsidR="0060600C">
        <w:rPr>
          <w:lang w:val="en-US"/>
        </w:rPr>
        <w:t>normal recovery procedure (</w:t>
      </w:r>
      <w:r w:rsidR="00605E05">
        <w:rPr>
          <w:lang w:val="en-US"/>
        </w:rPr>
        <w:t xml:space="preserve">i.e. </w:t>
      </w:r>
      <w:r w:rsidR="0060600C">
        <w:rPr>
          <w:lang w:val="en-US"/>
        </w:rPr>
        <w:t xml:space="preserve">re-establishment) and the failure reporting </w:t>
      </w:r>
      <w:r w:rsidR="00D83C51">
        <w:rPr>
          <w:lang w:val="en-US"/>
        </w:rPr>
        <w:t xml:space="preserve">will then </w:t>
      </w:r>
      <w:r w:rsidR="0060600C">
        <w:rPr>
          <w:lang w:val="en-US"/>
        </w:rPr>
        <w:t>indicate HOF.</w:t>
      </w:r>
    </w:p>
    <w:p w:rsidR="00505FBC" w:rsidRDefault="00505FBC" w:rsidP="006816FA">
      <w:pPr>
        <w:jc w:val="both"/>
        <w:rPr>
          <w:lang w:val="en-US"/>
        </w:rPr>
      </w:pPr>
      <w:r>
        <w:rPr>
          <w:lang w:val="en-US"/>
        </w:rPr>
        <w:t>Potential RLF detection (if T310 was started) in the source cell and related reporting seem to be more a SON feature rather than essential part of the HO execution. Therefore, that option seems out of scope of this WI.</w:t>
      </w:r>
    </w:p>
    <w:p w:rsidR="00D245E5" w:rsidRDefault="00172B7D" w:rsidP="006816FA">
      <w:pPr>
        <w:jc w:val="both"/>
        <w:rPr>
          <w:lang w:val="en-US"/>
        </w:rPr>
      </w:pPr>
      <w:r>
        <w:rPr>
          <w:lang w:val="en-US"/>
        </w:rPr>
        <w:t xml:space="preserve">We believe </w:t>
      </w:r>
      <w:r w:rsidR="00820B9E">
        <w:rPr>
          <w:lang w:val="en-US"/>
        </w:rPr>
        <w:t>T304</w:t>
      </w:r>
      <w:r>
        <w:rPr>
          <w:lang w:val="en-US"/>
        </w:rPr>
        <w:t xml:space="preserve"> should be enough to monitor the rad</w:t>
      </w:r>
      <w:r w:rsidR="00543C83">
        <w:rPr>
          <w:lang w:val="en-US"/>
        </w:rPr>
        <w:t>io links upon triggering HO in</w:t>
      </w:r>
      <w:r>
        <w:rPr>
          <w:lang w:val="en-US"/>
        </w:rPr>
        <w:t xml:space="preserve"> </w:t>
      </w:r>
      <w:r w:rsidRPr="007655FF">
        <w:rPr>
          <w:i/>
          <w:lang w:val="en-US"/>
        </w:rPr>
        <w:t>makeBeforeBreak</w:t>
      </w:r>
      <w:r w:rsidR="00543C83">
        <w:rPr>
          <w:lang w:val="en-US"/>
        </w:rPr>
        <w:t xml:space="preserve"> manner</w:t>
      </w:r>
      <w:r>
        <w:rPr>
          <w:lang w:val="en-US"/>
        </w:rPr>
        <w:t xml:space="preserve">. </w:t>
      </w:r>
      <w:r w:rsidR="00543C83">
        <w:rPr>
          <w:lang w:val="en-US"/>
        </w:rPr>
        <w:t>The</w:t>
      </w:r>
      <w:r w:rsidR="00A97A78">
        <w:rPr>
          <w:lang w:val="en-US"/>
        </w:rPr>
        <w:t xml:space="preserve"> excerpt from the</w:t>
      </w:r>
      <w:r w:rsidR="00543C83">
        <w:rPr>
          <w:lang w:val="en-US"/>
        </w:rPr>
        <w:t xml:space="preserve"> le</w:t>
      </w:r>
      <w:r w:rsidR="00A97A78">
        <w:rPr>
          <w:lang w:val="en-US"/>
        </w:rPr>
        <w:t xml:space="preserve">gacy </w:t>
      </w:r>
      <w:r w:rsidR="00D83C51">
        <w:rPr>
          <w:lang w:val="en-US"/>
        </w:rPr>
        <w:t xml:space="preserve">(Rel.13) </w:t>
      </w:r>
      <w:r w:rsidR="00A97A78">
        <w:rPr>
          <w:lang w:val="en-US"/>
        </w:rPr>
        <w:t>procedure is as follows:</w:t>
      </w:r>
    </w:p>
    <w:tbl>
      <w:tblPr>
        <w:tblStyle w:val="TableGrid"/>
        <w:tblW w:w="0" w:type="auto"/>
        <w:tblLook w:val="04A0" w:firstRow="1" w:lastRow="0" w:firstColumn="1" w:lastColumn="0" w:noHBand="0" w:noVBand="1"/>
      </w:tblPr>
      <w:tblGrid>
        <w:gridCol w:w="9631"/>
      </w:tblGrid>
      <w:tr w:rsidR="00BC790E" w:rsidTr="00BC790E">
        <w:tc>
          <w:tcPr>
            <w:tcW w:w="9631" w:type="dxa"/>
          </w:tcPr>
          <w:p w:rsidR="00BC790E" w:rsidRDefault="00BC790E" w:rsidP="005244ED">
            <w:pPr>
              <w:pStyle w:val="B1"/>
              <w:ind w:left="0" w:firstLine="0"/>
            </w:pPr>
            <w:r>
              <w:t>1&gt;  if T304 expires (handover failure):</w:t>
            </w:r>
          </w:p>
          <w:p w:rsidR="00BC790E" w:rsidRDefault="00BC790E" w:rsidP="00BC790E">
            <w:pPr>
              <w:pStyle w:val="B2"/>
            </w:pPr>
            <w:r>
              <w:t xml:space="preserve">2&gt;  </w:t>
            </w:r>
            <w:r w:rsidRPr="00C819AE">
              <w:t>revert back to the configuration used in the source PCell</w:t>
            </w:r>
            <w:r>
              <w:t xml:space="preserve">, excluding the configuration configured by the </w:t>
            </w:r>
            <w:r>
              <w:rPr>
                <w:i/>
                <w:iCs/>
              </w:rPr>
              <w:t>physicalConfigDedicated</w:t>
            </w:r>
            <w:r>
              <w:t>,</w:t>
            </w:r>
            <w:r>
              <w:rPr>
                <w:i/>
                <w:iCs/>
              </w:rPr>
              <w:t xml:space="preserve"> </w:t>
            </w:r>
            <w:r>
              <w:t xml:space="preserve">the </w:t>
            </w:r>
            <w:r>
              <w:rPr>
                <w:i/>
                <w:iCs/>
              </w:rPr>
              <w:t>mac-MainConfig</w:t>
            </w:r>
            <w:r>
              <w:t xml:space="preserve"> and the </w:t>
            </w:r>
            <w:r>
              <w:rPr>
                <w:i/>
                <w:iCs/>
              </w:rPr>
              <w:t>sps-Config</w:t>
            </w:r>
            <w:r>
              <w:t>;</w:t>
            </w:r>
          </w:p>
          <w:p w:rsidR="00BC790E" w:rsidRDefault="00BC790E" w:rsidP="00BC790E">
            <w:pPr>
              <w:pStyle w:val="B2"/>
            </w:pPr>
            <w:r>
              <w:t xml:space="preserve">2&gt;  store the following handover failure information in </w:t>
            </w:r>
            <w:r>
              <w:rPr>
                <w:i/>
                <w:iCs/>
              </w:rPr>
              <w:t>VarRLF-Report</w:t>
            </w:r>
            <w:r>
              <w:t xml:space="preserve"> by setting its fields as follows:</w:t>
            </w:r>
          </w:p>
          <w:p w:rsidR="00BC790E" w:rsidRDefault="00BC790E" w:rsidP="00BC790E">
            <w:pPr>
              <w:pStyle w:val="B3"/>
              <w:rPr>
                <w:lang w:val="en-US"/>
              </w:rPr>
            </w:pPr>
            <w:r>
              <w:t xml:space="preserve">3&gt;  … </w:t>
            </w:r>
          </w:p>
          <w:p w:rsidR="00BC790E" w:rsidRPr="005244ED" w:rsidRDefault="00BC790E" w:rsidP="005244ED">
            <w:pPr>
              <w:pStyle w:val="B2"/>
            </w:pPr>
            <w:r>
              <w:t xml:space="preserve">2&gt;  </w:t>
            </w:r>
            <w:r w:rsidRPr="00C819AE">
              <w:t>initiate the connection re-establishment procedure</w:t>
            </w:r>
            <w:r w:rsidRPr="00505FBC">
              <w:t xml:space="preserve"> as specified in 5.3.7, </w:t>
            </w:r>
            <w:r w:rsidRPr="00C819AE">
              <w:t>upon which the RRC connection reconfiguration procedure ends</w:t>
            </w:r>
            <w:r w:rsidRPr="00505FBC">
              <w:t>;</w:t>
            </w:r>
          </w:p>
        </w:tc>
      </w:tr>
    </w:tbl>
    <w:p w:rsidR="00505FBC" w:rsidRPr="005244ED" w:rsidRDefault="00505FBC" w:rsidP="00351B43"/>
    <w:p w:rsidR="00390787" w:rsidRDefault="00505FBC" w:rsidP="005244ED">
      <w:pPr>
        <w:jc w:val="both"/>
        <w:rPr>
          <w:lang w:val="en-US"/>
        </w:rPr>
      </w:pPr>
      <w:r>
        <w:rPr>
          <w:lang w:val="en-US"/>
        </w:rPr>
        <w:lastRenderedPageBreak/>
        <w:t>The procedure followed by HOF is suitable also for make-before-break and the recovery (with re-establishment procedure) seems appropriate in this case as well. Re-establishment procedure is suitable also in case the connection to the source cell is running in order to end the HO procedure.</w:t>
      </w:r>
    </w:p>
    <w:p w:rsidR="00753C34" w:rsidRDefault="00505FBC" w:rsidP="00753C34">
      <w:pPr>
        <w:pStyle w:val="ListParagraph"/>
        <w:numPr>
          <w:ilvl w:val="0"/>
          <w:numId w:val="9"/>
        </w:numPr>
        <w:rPr>
          <w:b/>
          <w:lang w:val="en-US"/>
        </w:rPr>
      </w:pPr>
      <w:bookmarkStart w:id="5" w:name="_Ref463008873"/>
      <w:r>
        <w:rPr>
          <w:b/>
          <w:lang w:val="en-US"/>
        </w:rPr>
        <w:t>Current HOF detection and recovery</w:t>
      </w:r>
      <w:r w:rsidR="00FB464C">
        <w:rPr>
          <w:b/>
          <w:lang w:val="en-US"/>
        </w:rPr>
        <w:t>,</w:t>
      </w:r>
      <w:r>
        <w:rPr>
          <w:b/>
          <w:lang w:val="en-US"/>
        </w:rPr>
        <w:t xml:space="preserve"> as specified in </w:t>
      </w:r>
      <w:r w:rsidR="00056253" w:rsidRPr="00056253">
        <w:rPr>
          <w:b/>
          <w:lang w:val="en-US"/>
        </w:rPr>
        <w:t>5.3.5.6 of TS 36.331</w:t>
      </w:r>
      <w:r w:rsidR="00FB464C">
        <w:rPr>
          <w:b/>
          <w:lang w:val="en-US"/>
        </w:rPr>
        <w:t>,</w:t>
      </w:r>
      <w:r w:rsidR="00056253" w:rsidRPr="00056253">
        <w:rPr>
          <w:b/>
          <w:lang w:val="en-US"/>
        </w:rPr>
        <w:t xml:space="preserve"> </w:t>
      </w:r>
      <w:r>
        <w:rPr>
          <w:b/>
          <w:lang w:val="en-US"/>
        </w:rPr>
        <w:t xml:space="preserve">is applicable also for </w:t>
      </w:r>
      <w:r w:rsidR="00056253" w:rsidRPr="00056253">
        <w:rPr>
          <w:b/>
          <w:i/>
          <w:lang w:val="en-US"/>
        </w:rPr>
        <w:t>makeBeforeBreak</w:t>
      </w:r>
      <w:r w:rsidR="00056253" w:rsidRPr="00056253">
        <w:rPr>
          <w:b/>
          <w:lang w:val="en-US"/>
        </w:rPr>
        <w:t xml:space="preserve"> HO.</w:t>
      </w:r>
      <w:bookmarkEnd w:id="5"/>
    </w:p>
    <w:p w:rsidR="004376B0" w:rsidRDefault="004376B0" w:rsidP="005244ED">
      <w:pPr>
        <w:pStyle w:val="ListParagraph"/>
        <w:ind w:left="0"/>
        <w:rPr>
          <w:b/>
          <w:lang w:val="en-US"/>
        </w:rPr>
      </w:pPr>
    </w:p>
    <w:p w:rsidR="004376B0" w:rsidRDefault="004376B0" w:rsidP="005244ED">
      <w:pPr>
        <w:pStyle w:val="ListParagraph"/>
        <w:ind w:left="0"/>
        <w:rPr>
          <w:lang w:val="en-US"/>
        </w:rPr>
      </w:pPr>
      <w:r w:rsidRPr="005244ED">
        <w:rPr>
          <w:lang w:val="en-US"/>
        </w:rPr>
        <w:t>Perhaps it is not</w:t>
      </w:r>
      <w:r w:rsidR="00C527C2">
        <w:rPr>
          <w:lang w:val="en-US"/>
        </w:rPr>
        <w:t xml:space="preserve"> an issue of major</w:t>
      </w:r>
      <w:r w:rsidR="003027E6">
        <w:rPr>
          <w:lang w:val="en-US"/>
        </w:rPr>
        <w:t xml:space="preserve"> importance but we believe an indication concerning T304 </w:t>
      </w:r>
      <w:r w:rsidR="002F3BDD">
        <w:rPr>
          <w:lang w:val="en-US"/>
        </w:rPr>
        <w:t xml:space="preserve">expiry </w:t>
      </w:r>
      <w:r w:rsidR="003027E6">
        <w:rPr>
          <w:lang w:val="en-US"/>
        </w:rPr>
        <w:t>could</w:t>
      </w:r>
      <w:r w:rsidRPr="005244ED">
        <w:rPr>
          <w:lang w:val="en-US"/>
        </w:rPr>
        <w:t xml:space="preserve"> be also inserted into</w:t>
      </w:r>
      <w:r w:rsidR="00C527C2">
        <w:rPr>
          <w:lang w:val="en-US"/>
        </w:rPr>
        <w:t xml:space="preserve"> 5.3.5.4 of </w:t>
      </w:r>
      <w:r w:rsidR="00385805">
        <w:rPr>
          <w:lang w:val="en-US"/>
        </w:rPr>
        <w:fldChar w:fldCharType="begin"/>
      </w:r>
      <w:r w:rsidR="00C527C2">
        <w:rPr>
          <w:lang w:val="en-US"/>
        </w:rPr>
        <w:instrText xml:space="preserve"> REF _Ref462914552 \r \h </w:instrText>
      </w:r>
      <w:r w:rsidR="00385805">
        <w:rPr>
          <w:lang w:val="en-US"/>
        </w:rPr>
      </w:r>
      <w:r w:rsidR="00385805">
        <w:rPr>
          <w:lang w:val="en-US"/>
        </w:rPr>
        <w:fldChar w:fldCharType="separate"/>
      </w:r>
      <w:r w:rsidR="00C527C2">
        <w:rPr>
          <w:lang w:val="en-US"/>
        </w:rPr>
        <w:t>[4]</w:t>
      </w:r>
      <w:r w:rsidR="00385805">
        <w:rPr>
          <w:lang w:val="en-US"/>
        </w:rPr>
        <w:fldChar w:fldCharType="end"/>
      </w:r>
      <w:r w:rsidR="00C527C2">
        <w:rPr>
          <w:lang w:val="en-US"/>
        </w:rPr>
        <w:t>.</w:t>
      </w:r>
      <w:r w:rsidR="003027E6">
        <w:rPr>
          <w:lang w:val="en-US"/>
        </w:rPr>
        <w:t xml:space="preserve"> In </w:t>
      </w:r>
      <w:r w:rsidR="00385805">
        <w:rPr>
          <w:lang w:val="en-US"/>
        </w:rPr>
        <w:fldChar w:fldCharType="begin"/>
      </w:r>
      <w:r w:rsidR="003027E6">
        <w:rPr>
          <w:lang w:val="en-US"/>
        </w:rPr>
        <w:instrText xml:space="preserve"> REF _Ref462917251 \r \h </w:instrText>
      </w:r>
      <w:r w:rsidR="00385805">
        <w:rPr>
          <w:lang w:val="en-US"/>
        </w:rPr>
      </w:r>
      <w:r w:rsidR="00385805">
        <w:rPr>
          <w:lang w:val="en-US"/>
        </w:rPr>
        <w:fldChar w:fldCharType="separate"/>
      </w:r>
      <w:r w:rsidR="003027E6">
        <w:rPr>
          <w:lang w:val="en-US"/>
        </w:rPr>
        <w:t>[1]</w:t>
      </w:r>
      <w:r w:rsidR="00385805">
        <w:rPr>
          <w:lang w:val="en-US"/>
        </w:rPr>
        <w:fldChar w:fldCharType="end"/>
      </w:r>
      <w:r w:rsidR="003027E6">
        <w:rPr>
          <w:lang w:val="en-US"/>
        </w:rPr>
        <w:t xml:space="preserve"> </w:t>
      </w:r>
      <w:r w:rsidR="007F46D6">
        <w:rPr>
          <w:lang w:val="en-US"/>
        </w:rPr>
        <w:t xml:space="preserve">it is currently proposed </w:t>
      </w:r>
      <w:r w:rsidR="003027E6">
        <w:rPr>
          <w:lang w:val="en-US"/>
        </w:rPr>
        <w:t xml:space="preserve">to execute the following action if </w:t>
      </w:r>
      <w:r w:rsidR="003027E6" w:rsidRPr="005244ED">
        <w:rPr>
          <w:i/>
          <w:lang w:val="en-US"/>
        </w:rPr>
        <w:t>makeBeforeBreak</w:t>
      </w:r>
      <w:r w:rsidR="003027E6">
        <w:rPr>
          <w:lang w:val="en-US"/>
        </w:rPr>
        <w:t xml:space="preserve"> is configured </w:t>
      </w:r>
      <w:r w:rsidR="00123834">
        <w:rPr>
          <w:lang w:val="en-US"/>
        </w:rPr>
        <w:t xml:space="preserve">(and similar action if </w:t>
      </w:r>
      <w:r w:rsidR="003027E6" w:rsidRPr="005244ED">
        <w:rPr>
          <w:i/>
          <w:lang w:val="en-US"/>
        </w:rPr>
        <w:t>rach-Skip</w:t>
      </w:r>
      <w:r w:rsidR="003027E6">
        <w:rPr>
          <w:lang w:val="en-US"/>
        </w:rPr>
        <w:t xml:space="preserve"> is </w:t>
      </w:r>
      <w:r w:rsidR="00123834">
        <w:rPr>
          <w:lang w:val="en-US"/>
        </w:rPr>
        <w:t>configured)</w:t>
      </w:r>
      <w:r w:rsidR="003027E6">
        <w:rPr>
          <w:lang w:val="en-US"/>
        </w:rPr>
        <w:t>:</w:t>
      </w:r>
    </w:p>
    <w:tbl>
      <w:tblPr>
        <w:tblStyle w:val="TableGrid"/>
        <w:tblW w:w="0" w:type="auto"/>
        <w:tblLook w:val="04A0" w:firstRow="1" w:lastRow="0" w:firstColumn="1" w:lastColumn="0" w:noHBand="0" w:noVBand="1"/>
      </w:tblPr>
      <w:tblGrid>
        <w:gridCol w:w="9631"/>
      </w:tblGrid>
      <w:tr w:rsidR="000272F3" w:rsidTr="000272F3">
        <w:tc>
          <w:tcPr>
            <w:tcW w:w="9631" w:type="dxa"/>
          </w:tcPr>
          <w:p w:rsidR="000272F3" w:rsidRPr="005244ED" w:rsidRDefault="000272F3" w:rsidP="005244ED">
            <w:pPr>
              <w:pStyle w:val="B3"/>
            </w:pPr>
            <w:r>
              <w:t>3</w:t>
            </w:r>
            <w:r w:rsidRPr="00C819AE">
              <w:t>&gt;</w:t>
            </w:r>
            <w:r w:rsidRPr="00C819AE">
              <w:tab/>
              <w:t>continue the uplink</w:t>
            </w:r>
            <w:r>
              <w:t>/</w:t>
            </w:r>
            <w:r w:rsidRPr="00C819AE">
              <w:t>downlink transmission</w:t>
            </w:r>
            <w:r>
              <w:t>/reception</w:t>
            </w:r>
            <w:r w:rsidRPr="00C819AE">
              <w:t xml:space="preserve"> with the source cell(s) </w:t>
            </w:r>
            <w:r>
              <w:t>until</w:t>
            </w:r>
            <w:r w:rsidRPr="00C819AE">
              <w:t xml:space="preserve"> the first transmission of PRACH to the target PCell</w:t>
            </w:r>
            <w:r w:rsidRPr="00DE582F">
              <w:t xml:space="preserve">, according to the </w:t>
            </w:r>
            <w:r w:rsidRPr="00C819AE">
              <w:rPr>
                <w:i/>
              </w:rPr>
              <w:t>prach-Config,</w:t>
            </w:r>
            <w:r w:rsidRPr="00C819AE">
              <w:t xml:space="preserve"> </w:t>
            </w:r>
            <w:r w:rsidRPr="00C819AE">
              <w:rPr>
                <w:i/>
              </w:rPr>
              <w:t>rach-ConfigCommon</w:t>
            </w:r>
            <w:r w:rsidRPr="00C819AE">
              <w:t xml:space="preserve"> and </w:t>
            </w:r>
            <w:r w:rsidRPr="00C819AE">
              <w:rPr>
                <w:i/>
              </w:rPr>
              <w:t>rach-ConfigDedicated</w:t>
            </w:r>
            <w:r w:rsidRPr="00C819AE">
              <w:t xml:space="preserve"> of the target PCell;</w:t>
            </w:r>
          </w:p>
        </w:tc>
      </w:tr>
    </w:tbl>
    <w:p w:rsidR="000272F3" w:rsidRDefault="000272F3" w:rsidP="005244ED">
      <w:pPr>
        <w:pStyle w:val="ListParagraph"/>
        <w:ind w:left="0"/>
        <w:rPr>
          <w:lang w:val="en-US"/>
        </w:rPr>
      </w:pPr>
    </w:p>
    <w:p w:rsidR="003027E6" w:rsidRDefault="003027E6" w:rsidP="005244ED">
      <w:pPr>
        <w:pStyle w:val="ListParagraph"/>
        <w:ind w:left="0"/>
      </w:pPr>
      <w:r>
        <w:t>We think that the following enhancement could be considered</w:t>
      </w:r>
      <w:r w:rsidR="00123834">
        <w:t xml:space="preserve"> (+ similar update if </w:t>
      </w:r>
      <w:r w:rsidR="00123834" w:rsidRPr="0026761E">
        <w:rPr>
          <w:i/>
        </w:rPr>
        <w:t>rach-Skip</w:t>
      </w:r>
      <w:r w:rsidR="00123834">
        <w:t xml:space="preserve"> is configured)</w:t>
      </w:r>
      <w:r>
        <w:t>:</w:t>
      </w:r>
    </w:p>
    <w:tbl>
      <w:tblPr>
        <w:tblStyle w:val="TableGrid"/>
        <w:tblW w:w="0" w:type="auto"/>
        <w:tblLook w:val="04A0" w:firstRow="1" w:lastRow="0" w:firstColumn="1" w:lastColumn="0" w:noHBand="0" w:noVBand="1"/>
      </w:tblPr>
      <w:tblGrid>
        <w:gridCol w:w="9631"/>
      </w:tblGrid>
      <w:tr w:rsidR="000272F3" w:rsidTr="000272F3">
        <w:tc>
          <w:tcPr>
            <w:tcW w:w="9631" w:type="dxa"/>
          </w:tcPr>
          <w:p w:rsidR="000272F3" w:rsidRDefault="000272F3" w:rsidP="005244ED">
            <w:pPr>
              <w:pStyle w:val="B3"/>
            </w:pPr>
            <w:r>
              <w:t>3</w:t>
            </w:r>
            <w:r w:rsidRPr="00C819AE">
              <w:t>&gt;</w:t>
            </w:r>
            <w:r w:rsidRPr="00C819AE">
              <w:tab/>
              <w:t>continue the uplink</w:t>
            </w:r>
            <w:r>
              <w:t>/</w:t>
            </w:r>
            <w:r w:rsidRPr="00C819AE">
              <w:t>downlink transmission</w:t>
            </w:r>
            <w:r>
              <w:t>/reception</w:t>
            </w:r>
            <w:r w:rsidRPr="00C819AE">
              <w:t xml:space="preserve"> with the source cell(s) </w:t>
            </w:r>
            <w:r>
              <w:t xml:space="preserve">until </w:t>
            </w:r>
            <w:r w:rsidRPr="00C819AE">
              <w:rPr>
                <w:color w:val="FF0000"/>
                <w:highlight w:val="yellow"/>
              </w:rPr>
              <w:t>T304 expiry or until</w:t>
            </w:r>
            <w:r w:rsidRPr="00C819AE">
              <w:rPr>
                <w:color w:val="FF0000"/>
              </w:rPr>
              <w:t xml:space="preserve"> </w:t>
            </w:r>
            <w:r w:rsidRPr="00C819AE">
              <w:t>the first transmission of PRACH to the target PCell</w:t>
            </w:r>
            <w:r w:rsidRPr="00DE582F">
              <w:t xml:space="preserve">, according to the </w:t>
            </w:r>
            <w:r w:rsidRPr="00C819AE">
              <w:rPr>
                <w:i/>
              </w:rPr>
              <w:t>prach-Config,</w:t>
            </w:r>
            <w:r w:rsidRPr="00C819AE">
              <w:t xml:space="preserve"> </w:t>
            </w:r>
            <w:r w:rsidRPr="00C819AE">
              <w:rPr>
                <w:i/>
              </w:rPr>
              <w:t>rach-ConfigCommon</w:t>
            </w:r>
            <w:r w:rsidRPr="00C819AE">
              <w:t xml:space="preserve"> and </w:t>
            </w:r>
            <w:r w:rsidRPr="00C819AE">
              <w:rPr>
                <w:i/>
              </w:rPr>
              <w:t>rach-ConfigDedicated</w:t>
            </w:r>
            <w:r w:rsidRPr="00C819AE">
              <w:t xml:space="preserve"> of the target PCell;</w:t>
            </w:r>
          </w:p>
        </w:tc>
      </w:tr>
    </w:tbl>
    <w:p w:rsidR="000272F3" w:rsidRDefault="000272F3" w:rsidP="005244ED">
      <w:pPr>
        <w:pStyle w:val="ListParagraph"/>
        <w:ind w:left="0"/>
      </w:pPr>
    </w:p>
    <w:p w:rsidR="003027E6" w:rsidRPr="005244ED" w:rsidRDefault="003027E6">
      <w:pPr>
        <w:pStyle w:val="ListParagraph"/>
        <w:numPr>
          <w:ilvl w:val="0"/>
          <w:numId w:val="9"/>
        </w:numPr>
        <w:rPr>
          <w:b/>
        </w:rPr>
      </w:pPr>
      <w:bookmarkStart w:id="6" w:name="_Ref463008890"/>
      <w:r w:rsidRPr="005244ED">
        <w:rPr>
          <w:b/>
        </w:rPr>
        <w:t xml:space="preserve">RAN2 is asked to consider the aforementioned modification to 5.3.5.4 of </w:t>
      </w:r>
      <w:r w:rsidR="00A162C9">
        <w:fldChar w:fldCharType="begin"/>
      </w:r>
      <w:r w:rsidR="00A162C9">
        <w:instrText xml:space="preserve"> REF _Ref462914552 \r \h  \* MERGEFORMAT </w:instrText>
      </w:r>
      <w:r w:rsidR="00A162C9">
        <w:fldChar w:fldCharType="separate"/>
      </w:r>
      <w:r w:rsidRPr="005244ED">
        <w:rPr>
          <w:b/>
        </w:rPr>
        <w:t>[4]</w:t>
      </w:r>
      <w:r w:rsidR="00A162C9">
        <w:fldChar w:fldCharType="end"/>
      </w:r>
      <w:r w:rsidRPr="005244ED">
        <w:rPr>
          <w:b/>
        </w:rPr>
        <w:t>.</w:t>
      </w:r>
      <w:bookmarkEnd w:id="6"/>
    </w:p>
    <w:p w:rsidR="00F879B1" w:rsidRPr="006E13D1" w:rsidRDefault="00F879B1" w:rsidP="00F879B1">
      <w:pPr>
        <w:pStyle w:val="Heading2"/>
      </w:pPr>
      <w:r>
        <w:t>2.4</w:t>
      </w:r>
      <w:r>
        <w:tab/>
        <w:t>Applicability to Carrier Aggregation</w:t>
      </w:r>
    </w:p>
    <w:p w:rsidR="00F879B1" w:rsidRDefault="001E553D" w:rsidP="00543C83">
      <w:pPr>
        <w:jc w:val="both"/>
        <w:rPr>
          <w:lang w:val="en-US"/>
        </w:rPr>
      </w:pPr>
      <w:r>
        <w:rPr>
          <w:lang w:val="en-US"/>
        </w:rPr>
        <w:t>Based on the agreement box</w:t>
      </w:r>
      <w:r w:rsidR="007F46D6">
        <w:rPr>
          <w:lang w:val="en-US"/>
        </w:rPr>
        <w:t xml:space="preserve"> outlined in the Introduction</w:t>
      </w:r>
      <w:r>
        <w:rPr>
          <w:lang w:val="en-US"/>
        </w:rPr>
        <w:t xml:space="preserve">, RACH-less and make-before-break operation is applicable to </w:t>
      </w:r>
      <w:r w:rsidR="009C5D16">
        <w:rPr>
          <w:lang w:val="en-US"/>
        </w:rPr>
        <w:t>“</w:t>
      </w:r>
      <w:r w:rsidRPr="009C5D16">
        <w:rPr>
          <w:i/>
          <w:lang w:val="en-US"/>
        </w:rPr>
        <w:t>handover scenarios or SCG change</w:t>
      </w:r>
      <w:r w:rsidR="009C5D16">
        <w:rPr>
          <w:lang w:val="en-US"/>
        </w:rPr>
        <w:t>”</w:t>
      </w:r>
      <w:r>
        <w:rPr>
          <w:lang w:val="en-US"/>
        </w:rPr>
        <w:t xml:space="preserve">. As a result, we are wondering </w:t>
      </w:r>
      <w:r w:rsidR="009C5D16">
        <w:rPr>
          <w:lang w:val="en-US"/>
        </w:rPr>
        <w:t>if SCC/SCell change in case of Carrier Aggregation has been deliberately neglected or whether it is implicitly covered within the statement on “handover scenarios”.</w:t>
      </w:r>
      <w:r w:rsidR="00605E05">
        <w:rPr>
          <w:lang w:val="en-US"/>
        </w:rPr>
        <w:t xml:space="preserve"> In current version of the Stage 2 CR </w:t>
      </w:r>
      <w:r w:rsidR="00385805">
        <w:rPr>
          <w:lang w:val="en-US"/>
        </w:rPr>
        <w:fldChar w:fldCharType="begin"/>
      </w:r>
      <w:r w:rsidR="00605E05">
        <w:rPr>
          <w:lang w:val="en-US"/>
        </w:rPr>
        <w:instrText xml:space="preserve"> REF _Ref462918394 \r \h </w:instrText>
      </w:r>
      <w:r w:rsidR="00385805">
        <w:rPr>
          <w:lang w:val="en-US"/>
        </w:rPr>
      </w:r>
      <w:r w:rsidR="00385805">
        <w:rPr>
          <w:lang w:val="en-US"/>
        </w:rPr>
        <w:fldChar w:fldCharType="separate"/>
      </w:r>
      <w:r w:rsidR="00605E05">
        <w:rPr>
          <w:lang w:val="en-US"/>
        </w:rPr>
        <w:t>[2]</w:t>
      </w:r>
      <w:r w:rsidR="00385805">
        <w:rPr>
          <w:lang w:val="en-US"/>
        </w:rPr>
        <w:fldChar w:fldCharType="end"/>
      </w:r>
      <w:r w:rsidR="00AE44F8">
        <w:rPr>
          <w:lang w:val="en-US"/>
        </w:rPr>
        <w:t xml:space="preserve"> </w:t>
      </w:r>
      <w:r w:rsidR="00605E05">
        <w:rPr>
          <w:lang w:val="en-US"/>
        </w:rPr>
        <w:t>only</w:t>
      </w:r>
      <w:r w:rsidR="00AE44F8">
        <w:rPr>
          <w:lang w:val="en-US"/>
        </w:rPr>
        <w:t xml:space="preserve"> the</w:t>
      </w:r>
      <w:r w:rsidR="00605E05">
        <w:rPr>
          <w:lang w:val="en-US"/>
        </w:rPr>
        <w:t xml:space="preserve"> </w:t>
      </w:r>
      <w:r w:rsidR="00365FDA">
        <w:rPr>
          <w:lang w:val="en-US"/>
        </w:rPr>
        <w:t xml:space="preserve">PCell change is affected and just for the case of RACH-less operation. </w:t>
      </w:r>
      <w:r w:rsidR="009C5D16">
        <w:rPr>
          <w:lang w:val="en-US"/>
        </w:rPr>
        <w:t xml:space="preserve"> If the intention is </w:t>
      </w:r>
      <w:r w:rsidR="00D00786">
        <w:rPr>
          <w:lang w:val="en-US"/>
        </w:rPr>
        <w:t xml:space="preserve">to apply make-before-break or RACH-less also to CA case then perhaps subsection 7.5 </w:t>
      </w:r>
      <w:r w:rsidR="004376B0">
        <w:rPr>
          <w:lang w:val="en-US"/>
        </w:rPr>
        <w:t>of</w:t>
      </w:r>
      <w:r w:rsidR="00D00786">
        <w:rPr>
          <w:lang w:val="en-US"/>
        </w:rPr>
        <w:t xml:space="preserve"> </w:t>
      </w:r>
      <w:r w:rsidR="00385805">
        <w:rPr>
          <w:lang w:val="en-US"/>
        </w:rPr>
        <w:fldChar w:fldCharType="begin"/>
      </w:r>
      <w:r w:rsidR="00AE44F8">
        <w:rPr>
          <w:lang w:val="en-US"/>
        </w:rPr>
        <w:instrText xml:space="preserve"> REF _Ref462918394 \r \h </w:instrText>
      </w:r>
      <w:r w:rsidR="00385805">
        <w:rPr>
          <w:lang w:val="en-US"/>
        </w:rPr>
      </w:r>
      <w:r w:rsidR="00385805">
        <w:rPr>
          <w:lang w:val="en-US"/>
        </w:rPr>
        <w:fldChar w:fldCharType="separate"/>
      </w:r>
      <w:r w:rsidR="00AE44F8">
        <w:rPr>
          <w:lang w:val="en-US"/>
        </w:rPr>
        <w:t>[2]</w:t>
      </w:r>
      <w:r w:rsidR="00385805">
        <w:rPr>
          <w:lang w:val="en-US"/>
        </w:rPr>
        <w:fldChar w:fldCharType="end"/>
      </w:r>
      <w:r w:rsidR="00511B8F">
        <w:rPr>
          <w:lang w:val="en-US"/>
        </w:rPr>
        <w:t xml:space="preserve"> should be </w:t>
      </w:r>
      <w:r w:rsidR="00A244F8">
        <w:rPr>
          <w:lang w:val="en-US"/>
        </w:rPr>
        <w:t>further</w:t>
      </w:r>
      <w:r w:rsidR="00511B8F">
        <w:rPr>
          <w:lang w:val="en-US"/>
        </w:rPr>
        <w:t xml:space="preserve"> updated</w:t>
      </w:r>
      <w:r w:rsidR="00A244F8">
        <w:rPr>
          <w:lang w:val="en-US"/>
        </w:rPr>
        <w:t xml:space="preserve"> with adequate modifications.</w:t>
      </w:r>
    </w:p>
    <w:p w:rsidR="00351B43" w:rsidRPr="00511B8F" w:rsidRDefault="00511B8F" w:rsidP="00511B8F">
      <w:pPr>
        <w:pStyle w:val="ListParagraph"/>
        <w:numPr>
          <w:ilvl w:val="0"/>
          <w:numId w:val="9"/>
        </w:numPr>
        <w:rPr>
          <w:b/>
          <w:lang w:val="en-US"/>
        </w:rPr>
      </w:pPr>
      <w:bookmarkStart w:id="7" w:name="_Ref463008903"/>
      <w:r w:rsidRPr="00511B8F">
        <w:rPr>
          <w:b/>
          <w:lang w:val="en-US"/>
        </w:rPr>
        <w:t xml:space="preserve">Subsection 7.5 on Carrier Aggregation should be updated with relevant changes if </w:t>
      </w:r>
      <w:r w:rsidR="00AE44F8">
        <w:rPr>
          <w:b/>
          <w:lang w:val="en-US"/>
        </w:rPr>
        <w:t>both</w:t>
      </w:r>
      <w:r w:rsidRPr="00511B8F">
        <w:rPr>
          <w:b/>
          <w:lang w:val="en-US"/>
        </w:rPr>
        <w:t xml:space="preserve"> solutions agreed within Further mobility enhancements in LTE WI are applicable to C</w:t>
      </w:r>
      <w:r w:rsidR="007F46D6">
        <w:rPr>
          <w:b/>
          <w:lang w:val="en-US"/>
        </w:rPr>
        <w:t>A</w:t>
      </w:r>
      <w:r w:rsidR="000643DD">
        <w:rPr>
          <w:b/>
          <w:lang w:val="en-US"/>
        </w:rPr>
        <w:t xml:space="preserve"> for PCell and SCell changes.</w:t>
      </w:r>
      <w:bookmarkEnd w:id="7"/>
    </w:p>
    <w:p w:rsidR="00D245E5" w:rsidRPr="006E13D1" w:rsidRDefault="00D245E5" w:rsidP="00D245E5">
      <w:pPr>
        <w:pStyle w:val="Heading2"/>
      </w:pPr>
      <w:r>
        <w:t>2.5</w:t>
      </w:r>
      <w:r>
        <w:tab/>
        <w:t xml:space="preserve">Source cell </w:t>
      </w:r>
      <w:r w:rsidR="00804556">
        <w:t>Tx/Rx</w:t>
      </w:r>
      <w:r>
        <w:t xml:space="preserve"> upon HO with </w:t>
      </w:r>
      <w:r w:rsidRPr="00D245E5">
        <w:rPr>
          <w:i/>
        </w:rPr>
        <w:t>makeBeforeBreak</w:t>
      </w:r>
    </w:p>
    <w:p w:rsidR="00CD4C7B" w:rsidRDefault="006816FA" w:rsidP="001B49C9">
      <w:r>
        <w:t xml:space="preserve">In the existing version of the Running Stage 2 CR (as defined in </w:t>
      </w:r>
      <w:r w:rsidR="00385805">
        <w:fldChar w:fldCharType="begin"/>
      </w:r>
      <w:r>
        <w:instrText xml:space="preserve"> REF _Ref462918394 \r \h </w:instrText>
      </w:r>
      <w:r w:rsidR="00385805">
        <w:fldChar w:fldCharType="separate"/>
      </w:r>
      <w:r>
        <w:t>[2]</w:t>
      </w:r>
      <w:r w:rsidR="00385805">
        <w:fldChar w:fldCharType="end"/>
      </w:r>
      <w:r>
        <w:t>)</w:t>
      </w:r>
      <w:r w:rsidR="00BF177D">
        <w:t xml:space="preserve"> it is stated that:</w:t>
      </w:r>
    </w:p>
    <w:p w:rsidR="00BF177D" w:rsidRPr="00141545" w:rsidRDefault="00BF177D" w:rsidP="00CA0BE7">
      <w:pPr>
        <w:jc w:val="both"/>
        <w:rPr>
          <w:i/>
        </w:rPr>
      </w:pPr>
      <w:r w:rsidRPr="00141545">
        <w:rPr>
          <w:i/>
        </w:rPr>
        <w:t xml:space="preserve">“If Make-Before-Break is configured, the connection is maintained in the source cell until the UE executes initial uplink transmission to the target eNB. The connection is maintained for uplink and/or downlink. </w:t>
      </w:r>
      <w:r w:rsidRPr="00141545">
        <w:rPr>
          <w:i/>
          <w:highlight w:val="yellow"/>
        </w:rPr>
        <w:t>Whether the source eNB continues transmission is an eNB implementation issue.</w:t>
      </w:r>
      <w:r w:rsidRPr="00141545">
        <w:rPr>
          <w:i/>
        </w:rPr>
        <w:t>”</w:t>
      </w:r>
    </w:p>
    <w:p w:rsidR="007442FB" w:rsidRDefault="00390787" w:rsidP="009F3F0E">
      <w:pPr>
        <w:jc w:val="both"/>
      </w:pPr>
      <w:r>
        <w:t xml:space="preserve">Our concerns are related to the highlighted part and somewhat vague suggestion it is an “eNB implementation issue”. </w:t>
      </w:r>
      <w:r w:rsidR="004665DA">
        <w:t>We regard the underlined statement as</w:t>
      </w:r>
      <w:r w:rsidR="00090C8B">
        <w:t xml:space="preserve"> to some extent</w:t>
      </w:r>
      <w:r w:rsidR="004665DA">
        <w:t xml:space="preserve"> inaccurate, especially that its relevance might be cond</w:t>
      </w:r>
      <w:r w:rsidR="00090C8B">
        <w:t>itional on</w:t>
      </w:r>
      <w:r w:rsidR="00056253">
        <w:t xml:space="preserve"> pending</w:t>
      </w:r>
      <w:r w:rsidR="00090C8B">
        <w:t xml:space="preserve"> RAN3 data</w:t>
      </w:r>
      <w:r w:rsidR="004665DA">
        <w:t xml:space="preserve"> forwarding</w:t>
      </w:r>
      <w:r w:rsidR="00090C8B">
        <w:t xml:space="preserve"> decisions</w:t>
      </w:r>
      <w:r w:rsidR="004665DA">
        <w:t xml:space="preserve">. </w:t>
      </w:r>
    </w:p>
    <w:p w:rsidR="00BF177D" w:rsidRPr="00056253" w:rsidRDefault="00056253" w:rsidP="007442FB">
      <w:pPr>
        <w:pStyle w:val="ListParagraph"/>
        <w:numPr>
          <w:ilvl w:val="0"/>
          <w:numId w:val="9"/>
        </w:numPr>
        <w:jc w:val="both"/>
        <w:rPr>
          <w:b/>
        </w:rPr>
      </w:pPr>
      <w:bookmarkStart w:id="8" w:name="_Ref463008920"/>
      <w:r w:rsidRPr="00056253">
        <w:rPr>
          <w:b/>
        </w:rPr>
        <w:t xml:space="preserve">Continuing source eNB transmission in case of </w:t>
      </w:r>
      <w:r w:rsidRPr="00056253">
        <w:rPr>
          <w:b/>
          <w:i/>
        </w:rPr>
        <w:t>makeBeforeBreak</w:t>
      </w:r>
      <w:r w:rsidRPr="00056253">
        <w:rPr>
          <w:b/>
        </w:rPr>
        <w:t xml:space="preserve"> is rather dependent on the DL buffer status and can be further impacted by RAN3 decisions on data forwarding. Thus, relevant changes should be introduced to TS 36.300 Running CR.</w:t>
      </w:r>
      <w:bookmarkEnd w:id="8"/>
      <w:r w:rsidRPr="00056253">
        <w:rPr>
          <w:b/>
        </w:rPr>
        <w:t xml:space="preserve"> </w:t>
      </w:r>
    </w:p>
    <w:p w:rsidR="00CD4C7B" w:rsidRPr="00C86B48" w:rsidRDefault="00511B8F" w:rsidP="00CD4C7B">
      <w:pPr>
        <w:pStyle w:val="Heading1"/>
        <w:rPr>
          <w:lang w:val="en-US"/>
        </w:rPr>
      </w:pPr>
      <w:r w:rsidRPr="00C86B48">
        <w:rPr>
          <w:lang w:val="en-US"/>
        </w:rPr>
        <w:t>3</w:t>
      </w:r>
      <w:r w:rsidR="00114D1D" w:rsidRPr="00C86B48">
        <w:rPr>
          <w:lang w:val="en-US"/>
        </w:rPr>
        <w:tab/>
        <w:t>Conclusion</w:t>
      </w:r>
    </w:p>
    <w:p w:rsidR="00CD4C7B" w:rsidRDefault="00114D1D" w:rsidP="00CD4C7B">
      <w:pPr>
        <w:rPr>
          <w:lang w:val="en-US"/>
        </w:rPr>
      </w:pPr>
      <w:r w:rsidRPr="00114D1D">
        <w:rPr>
          <w:lang w:val="en-US"/>
        </w:rPr>
        <w:t xml:space="preserve">This paper analyzed the remaining open issues that need to be resolved prior to introducing RACH-less and make-before-break solutions to LTE </w:t>
      </w:r>
      <w:r w:rsidR="007F46D6">
        <w:rPr>
          <w:lang w:val="en-US"/>
        </w:rPr>
        <w:t>specifications</w:t>
      </w:r>
      <w:r w:rsidRPr="00114D1D">
        <w:rPr>
          <w:lang w:val="en-US"/>
        </w:rPr>
        <w:t>.</w:t>
      </w:r>
      <w:r>
        <w:rPr>
          <w:lang w:val="en-US"/>
        </w:rPr>
        <w:t xml:space="preserve"> As a result, the following observations and proposals have been made:</w:t>
      </w:r>
    </w:p>
    <w:p w:rsidR="00114D1D" w:rsidRDefault="00A162C9" w:rsidP="00CD4C7B">
      <w:pPr>
        <w:rPr>
          <w:lang w:val="en-US"/>
        </w:rPr>
      </w:pPr>
      <w:r>
        <w:fldChar w:fldCharType="begin"/>
      </w:r>
      <w:r>
        <w:instrText xml:space="preserve"> REF _Ref463008770 \n \h  \* MERGEFORMAT </w:instrText>
      </w:r>
      <w:r>
        <w:fldChar w:fldCharType="separate"/>
      </w:r>
      <w:r w:rsidR="004328E9" w:rsidRPr="005244ED">
        <w:rPr>
          <w:b/>
          <w:lang w:val="en-US"/>
        </w:rPr>
        <w:t>Observation</w:t>
      </w:r>
      <w:r w:rsidR="004328E9">
        <w:rPr>
          <w:lang w:val="en-US"/>
        </w:rPr>
        <w:t xml:space="preserve"> </w:t>
      </w:r>
      <w:r w:rsidR="004328E9" w:rsidRPr="005244ED">
        <w:rPr>
          <w:b/>
          <w:lang w:val="en-US"/>
        </w:rPr>
        <w:t>1</w:t>
      </w:r>
      <w:r w:rsidR="004328E9">
        <w:rPr>
          <w:b/>
          <w:lang w:val="en-US"/>
        </w:rPr>
        <w:t>:</w:t>
      </w:r>
      <w:r>
        <w:fldChar w:fldCharType="end"/>
      </w:r>
      <w:r w:rsidR="00DF59C6">
        <w:rPr>
          <w:lang w:val="en-US"/>
        </w:rPr>
        <w:t xml:space="preserve"> </w:t>
      </w:r>
      <w:r w:rsidR="00385805">
        <w:rPr>
          <w:lang w:val="en-US"/>
        </w:rPr>
        <w:fldChar w:fldCharType="begin"/>
      </w:r>
      <w:r w:rsidR="00DF59C6">
        <w:rPr>
          <w:lang w:val="en-US"/>
        </w:rPr>
        <w:instrText xml:space="preserve"> REF _Ref463008770 \h </w:instrText>
      </w:r>
      <w:r w:rsidR="00385805">
        <w:rPr>
          <w:lang w:val="en-US"/>
        </w:rPr>
      </w:r>
      <w:r w:rsidR="00385805">
        <w:rPr>
          <w:lang w:val="en-US"/>
        </w:rPr>
        <w:fldChar w:fldCharType="separate"/>
      </w:r>
      <w:r w:rsidR="00DF59C6" w:rsidRPr="00C819AE">
        <w:rPr>
          <w:b/>
          <w:lang w:val="en-US"/>
        </w:rPr>
        <w:t>Due to limiting the applicability of RACH-less handover to TA reuse or TA = 0 cases, additional constraint of using RACH-less approach only in asynchronous networks seems to be unnecessary.</w:t>
      </w:r>
      <w:r w:rsidR="00385805">
        <w:rPr>
          <w:lang w:val="en-US"/>
        </w:rPr>
        <w:fldChar w:fldCharType="end"/>
      </w:r>
    </w:p>
    <w:p w:rsidR="00DF59C6" w:rsidRDefault="00A162C9" w:rsidP="00CD4C7B">
      <w:pPr>
        <w:rPr>
          <w:lang w:val="en-US"/>
        </w:rPr>
      </w:pPr>
      <w:r>
        <w:fldChar w:fldCharType="begin"/>
      </w:r>
      <w:r>
        <w:instrText xml:space="preserve"> REF _Ref463008822 \n \h  \* MERGEFORMAT </w:instrText>
      </w:r>
      <w:r>
        <w:fldChar w:fldCharType="separate"/>
      </w:r>
      <w:r w:rsidR="00DF59C6" w:rsidRPr="005244ED">
        <w:rPr>
          <w:b/>
          <w:lang w:val="en-US"/>
        </w:rPr>
        <w:t>Proposal</w:t>
      </w:r>
      <w:r w:rsidR="00DF59C6">
        <w:rPr>
          <w:lang w:val="en-US"/>
        </w:rPr>
        <w:t xml:space="preserve"> </w:t>
      </w:r>
      <w:r w:rsidR="00DF59C6" w:rsidRPr="005244ED">
        <w:rPr>
          <w:b/>
          <w:lang w:val="en-US"/>
        </w:rPr>
        <w:t>1</w:t>
      </w:r>
      <w:r w:rsidR="00DF59C6">
        <w:rPr>
          <w:b/>
          <w:lang w:val="en-US"/>
        </w:rPr>
        <w:t>:</w:t>
      </w:r>
      <w:r>
        <w:fldChar w:fldCharType="end"/>
      </w:r>
      <w:r w:rsidR="00DF59C6">
        <w:rPr>
          <w:lang w:val="en-US"/>
        </w:rPr>
        <w:t xml:space="preserve"> </w:t>
      </w:r>
      <w:r w:rsidR="00385805">
        <w:rPr>
          <w:lang w:val="en-US"/>
        </w:rPr>
        <w:fldChar w:fldCharType="begin"/>
      </w:r>
      <w:r w:rsidR="00DF59C6">
        <w:rPr>
          <w:lang w:val="en-US"/>
        </w:rPr>
        <w:instrText xml:space="preserve"> REF _Ref463008822 \h </w:instrText>
      </w:r>
      <w:r w:rsidR="00385805">
        <w:rPr>
          <w:lang w:val="en-US"/>
        </w:rPr>
      </w:r>
      <w:r w:rsidR="00385805">
        <w:rPr>
          <w:lang w:val="en-US"/>
        </w:rPr>
        <w:fldChar w:fldCharType="separate"/>
      </w:r>
      <w:r w:rsidR="00DF59C6" w:rsidRPr="00B2070E">
        <w:rPr>
          <w:b/>
          <w:lang w:val="en-US"/>
        </w:rPr>
        <w:t xml:space="preserve">In case </w:t>
      </w:r>
      <w:r w:rsidR="00DF59C6" w:rsidRPr="00B2070E">
        <w:rPr>
          <w:b/>
          <w:i/>
          <w:lang w:val="en-US"/>
        </w:rPr>
        <w:t>rach-Skip</w:t>
      </w:r>
      <w:r w:rsidR="00DF59C6" w:rsidRPr="00B2070E">
        <w:rPr>
          <w:b/>
          <w:lang w:val="en-US"/>
        </w:rPr>
        <w:t xml:space="preserve"> is configured, UL grant is delivered by means of RRC signaling.</w:t>
      </w:r>
      <w:r w:rsidR="00385805">
        <w:rPr>
          <w:lang w:val="en-US"/>
        </w:rPr>
        <w:fldChar w:fldCharType="end"/>
      </w:r>
    </w:p>
    <w:p w:rsidR="00DF59C6" w:rsidRDefault="00A162C9" w:rsidP="00CD4C7B">
      <w:pPr>
        <w:rPr>
          <w:lang w:val="en-US"/>
        </w:rPr>
      </w:pPr>
      <w:r>
        <w:lastRenderedPageBreak/>
        <w:fldChar w:fldCharType="begin"/>
      </w:r>
      <w:r>
        <w:instrText xml:space="preserve"> REF _Ref463008873 \n \h  \* MERGEFORMAT </w:instrText>
      </w:r>
      <w:r>
        <w:fldChar w:fldCharType="separate"/>
      </w:r>
      <w:r w:rsidR="007F76AE" w:rsidRPr="005244ED">
        <w:rPr>
          <w:b/>
          <w:lang w:val="en-US"/>
        </w:rPr>
        <w:t>Proposal</w:t>
      </w:r>
      <w:r w:rsidR="007F76AE">
        <w:rPr>
          <w:lang w:val="en-US"/>
        </w:rPr>
        <w:t xml:space="preserve"> </w:t>
      </w:r>
      <w:r w:rsidR="007F76AE" w:rsidRPr="005244ED">
        <w:rPr>
          <w:b/>
          <w:lang w:val="en-US"/>
        </w:rPr>
        <w:t>2</w:t>
      </w:r>
      <w:r w:rsidR="007F76AE">
        <w:rPr>
          <w:b/>
          <w:lang w:val="en-US"/>
        </w:rPr>
        <w:t>:</w:t>
      </w:r>
      <w:r>
        <w:fldChar w:fldCharType="end"/>
      </w:r>
      <w:r w:rsidR="007F76AE">
        <w:rPr>
          <w:lang w:val="en-US"/>
        </w:rPr>
        <w:t xml:space="preserve"> </w:t>
      </w:r>
      <w:r w:rsidR="00385805">
        <w:rPr>
          <w:lang w:val="en-US"/>
        </w:rPr>
        <w:fldChar w:fldCharType="begin"/>
      </w:r>
      <w:r w:rsidR="007F76AE">
        <w:rPr>
          <w:lang w:val="en-US"/>
        </w:rPr>
        <w:instrText xml:space="preserve"> REF _Ref463008873 \h </w:instrText>
      </w:r>
      <w:r w:rsidR="00385805">
        <w:rPr>
          <w:lang w:val="en-US"/>
        </w:rPr>
      </w:r>
      <w:r w:rsidR="00385805">
        <w:rPr>
          <w:lang w:val="en-US"/>
        </w:rPr>
        <w:fldChar w:fldCharType="separate"/>
      </w:r>
      <w:r w:rsidR="007F76AE">
        <w:rPr>
          <w:b/>
          <w:lang w:val="en-US"/>
        </w:rPr>
        <w:t xml:space="preserve">Current HOF detection and recovery, as specified in </w:t>
      </w:r>
      <w:r w:rsidR="007F76AE" w:rsidRPr="00056253">
        <w:rPr>
          <w:b/>
          <w:lang w:val="en-US"/>
        </w:rPr>
        <w:t>5.3.5.6 of TS 36.331</w:t>
      </w:r>
      <w:r w:rsidR="007F76AE">
        <w:rPr>
          <w:b/>
          <w:lang w:val="en-US"/>
        </w:rPr>
        <w:t>,</w:t>
      </w:r>
      <w:r w:rsidR="007F76AE" w:rsidRPr="00056253">
        <w:rPr>
          <w:b/>
          <w:lang w:val="en-US"/>
        </w:rPr>
        <w:t xml:space="preserve"> </w:t>
      </w:r>
      <w:r w:rsidR="007F76AE">
        <w:rPr>
          <w:b/>
          <w:lang w:val="en-US"/>
        </w:rPr>
        <w:t xml:space="preserve">is applicable also for </w:t>
      </w:r>
      <w:r w:rsidR="007F76AE" w:rsidRPr="00056253">
        <w:rPr>
          <w:b/>
          <w:i/>
          <w:lang w:val="en-US"/>
        </w:rPr>
        <w:t>makeBeforeBreak</w:t>
      </w:r>
      <w:r w:rsidR="007F76AE" w:rsidRPr="00056253">
        <w:rPr>
          <w:b/>
          <w:lang w:val="en-US"/>
        </w:rPr>
        <w:t xml:space="preserve"> HO.</w:t>
      </w:r>
      <w:r w:rsidR="00385805">
        <w:rPr>
          <w:lang w:val="en-US"/>
        </w:rPr>
        <w:fldChar w:fldCharType="end"/>
      </w:r>
    </w:p>
    <w:p w:rsidR="007F76AE" w:rsidRDefault="00A162C9" w:rsidP="00CD4C7B">
      <w:pPr>
        <w:rPr>
          <w:lang w:val="en-US"/>
        </w:rPr>
      </w:pPr>
      <w:r>
        <w:fldChar w:fldCharType="begin"/>
      </w:r>
      <w:r>
        <w:instrText xml:space="preserve"> REF _Ref463008890 \n \h  \* MERGEFORMAT </w:instrText>
      </w:r>
      <w:r>
        <w:fldChar w:fldCharType="separate"/>
      </w:r>
      <w:r w:rsidR="007F76AE" w:rsidRPr="005244ED">
        <w:rPr>
          <w:b/>
          <w:lang w:val="en-US"/>
        </w:rPr>
        <w:t>Proposal 3:</w:t>
      </w:r>
      <w:r>
        <w:fldChar w:fldCharType="end"/>
      </w:r>
      <w:r w:rsidR="007F76AE">
        <w:rPr>
          <w:lang w:val="en-US"/>
        </w:rPr>
        <w:t xml:space="preserve"> </w:t>
      </w:r>
      <w:r w:rsidR="00385805">
        <w:rPr>
          <w:lang w:val="en-US"/>
        </w:rPr>
        <w:fldChar w:fldCharType="begin"/>
      </w:r>
      <w:r w:rsidR="007F76AE">
        <w:rPr>
          <w:lang w:val="en-US"/>
        </w:rPr>
        <w:instrText xml:space="preserve"> REF _Ref463008890 \h </w:instrText>
      </w:r>
      <w:r w:rsidR="00385805">
        <w:rPr>
          <w:lang w:val="en-US"/>
        </w:rPr>
      </w:r>
      <w:r w:rsidR="00385805">
        <w:rPr>
          <w:lang w:val="en-US"/>
        </w:rPr>
        <w:fldChar w:fldCharType="separate"/>
      </w:r>
      <w:r w:rsidR="007F76AE" w:rsidRPr="005244ED">
        <w:rPr>
          <w:b/>
        </w:rPr>
        <w:t>RAN2 is asked to consider the aforementioned modification to 5.3.5.4 of [4].</w:t>
      </w:r>
      <w:r w:rsidR="00385805">
        <w:rPr>
          <w:lang w:val="en-US"/>
        </w:rPr>
        <w:fldChar w:fldCharType="end"/>
      </w:r>
    </w:p>
    <w:p w:rsidR="007F76AE" w:rsidRDefault="00A162C9" w:rsidP="00CD4C7B">
      <w:pPr>
        <w:rPr>
          <w:lang w:val="en-US"/>
        </w:rPr>
      </w:pPr>
      <w:r>
        <w:fldChar w:fldCharType="begin"/>
      </w:r>
      <w:r>
        <w:instrText xml:space="preserve"> REF _Ref463008903 \n \h  \* MERGEFORMAT </w:instrText>
      </w:r>
      <w:r>
        <w:fldChar w:fldCharType="separate"/>
      </w:r>
      <w:r w:rsidR="007F76AE" w:rsidRPr="005244ED">
        <w:rPr>
          <w:b/>
          <w:lang w:val="en-US"/>
        </w:rPr>
        <w:t>Proposal</w:t>
      </w:r>
      <w:r w:rsidR="007F76AE">
        <w:rPr>
          <w:lang w:val="en-US"/>
        </w:rPr>
        <w:t xml:space="preserve"> </w:t>
      </w:r>
      <w:r w:rsidR="007F76AE" w:rsidRPr="005244ED">
        <w:rPr>
          <w:b/>
          <w:lang w:val="en-US"/>
        </w:rPr>
        <w:t>4</w:t>
      </w:r>
      <w:r w:rsidR="007F76AE">
        <w:rPr>
          <w:b/>
          <w:lang w:val="en-US"/>
        </w:rPr>
        <w:t>:</w:t>
      </w:r>
      <w:r>
        <w:fldChar w:fldCharType="end"/>
      </w:r>
      <w:r w:rsidR="007F76AE">
        <w:rPr>
          <w:lang w:val="en-US"/>
        </w:rPr>
        <w:t xml:space="preserve"> </w:t>
      </w:r>
      <w:r w:rsidR="00385805">
        <w:rPr>
          <w:lang w:val="en-US"/>
        </w:rPr>
        <w:fldChar w:fldCharType="begin"/>
      </w:r>
      <w:r w:rsidR="007F76AE">
        <w:rPr>
          <w:lang w:val="en-US"/>
        </w:rPr>
        <w:instrText xml:space="preserve"> REF _Ref463008903 \h </w:instrText>
      </w:r>
      <w:r w:rsidR="00385805">
        <w:rPr>
          <w:lang w:val="en-US"/>
        </w:rPr>
      </w:r>
      <w:r w:rsidR="00385805">
        <w:rPr>
          <w:lang w:val="en-US"/>
        </w:rPr>
        <w:fldChar w:fldCharType="separate"/>
      </w:r>
      <w:r w:rsidR="007F76AE" w:rsidRPr="00511B8F">
        <w:rPr>
          <w:b/>
          <w:lang w:val="en-US"/>
        </w:rPr>
        <w:t xml:space="preserve">Subsection 7.5 on Carrier Aggregation should be updated with relevant changes if </w:t>
      </w:r>
      <w:r w:rsidR="007F76AE">
        <w:rPr>
          <w:b/>
          <w:lang w:val="en-US"/>
        </w:rPr>
        <w:t>both</w:t>
      </w:r>
      <w:r w:rsidR="007F76AE" w:rsidRPr="00511B8F">
        <w:rPr>
          <w:b/>
          <w:lang w:val="en-US"/>
        </w:rPr>
        <w:t xml:space="preserve"> solutions agreed within Further mobility enhancements in LTE WI are applicable to C</w:t>
      </w:r>
      <w:r w:rsidR="007F76AE">
        <w:rPr>
          <w:b/>
          <w:lang w:val="en-US"/>
        </w:rPr>
        <w:t>A for PCell and SCell changes.</w:t>
      </w:r>
      <w:r w:rsidR="00385805">
        <w:rPr>
          <w:lang w:val="en-US"/>
        </w:rPr>
        <w:fldChar w:fldCharType="end"/>
      </w:r>
    </w:p>
    <w:p w:rsidR="007F76AE" w:rsidRDefault="00A162C9" w:rsidP="00CD4C7B">
      <w:pPr>
        <w:rPr>
          <w:lang w:val="en-US"/>
        </w:rPr>
      </w:pPr>
      <w:r>
        <w:fldChar w:fldCharType="begin"/>
      </w:r>
      <w:r>
        <w:instrText xml:space="preserve"> REF </w:instrText>
      </w:r>
      <w:r>
        <w:instrText xml:space="preserve">_Ref463008920 \n \h  \* MERGEFORMAT </w:instrText>
      </w:r>
      <w:r>
        <w:fldChar w:fldCharType="separate"/>
      </w:r>
      <w:r w:rsidR="007F76AE" w:rsidRPr="005244ED">
        <w:rPr>
          <w:b/>
          <w:lang w:val="en-US"/>
        </w:rPr>
        <w:t>Proposal 5</w:t>
      </w:r>
      <w:r w:rsidR="007F76AE">
        <w:rPr>
          <w:b/>
          <w:lang w:val="en-US"/>
        </w:rPr>
        <w:t>:</w:t>
      </w:r>
      <w:r>
        <w:fldChar w:fldCharType="end"/>
      </w:r>
      <w:r w:rsidR="007F76AE">
        <w:rPr>
          <w:lang w:val="en-US"/>
        </w:rPr>
        <w:t xml:space="preserve"> </w:t>
      </w:r>
      <w:r w:rsidR="00385805">
        <w:rPr>
          <w:lang w:val="en-US"/>
        </w:rPr>
        <w:fldChar w:fldCharType="begin"/>
      </w:r>
      <w:r w:rsidR="007F76AE">
        <w:rPr>
          <w:lang w:val="en-US"/>
        </w:rPr>
        <w:instrText xml:space="preserve"> REF _Ref463008920 \h </w:instrText>
      </w:r>
      <w:r w:rsidR="00385805">
        <w:rPr>
          <w:lang w:val="en-US"/>
        </w:rPr>
      </w:r>
      <w:r w:rsidR="00385805">
        <w:rPr>
          <w:lang w:val="en-US"/>
        </w:rPr>
        <w:fldChar w:fldCharType="separate"/>
      </w:r>
      <w:r w:rsidR="007F76AE" w:rsidRPr="00056253">
        <w:rPr>
          <w:b/>
        </w:rPr>
        <w:t xml:space="preserve">Continuing source eNB transmission in case of </w:t>
      </w:r>
      <w:r w:rsidR="007F76AE" w:rsidRPr="00056253">
        <w:rPr>
          <w:b/>
          <w:i/>
        </w:rPr>
        <w:t>makeBeforeBreak</w:t>
      </w:r>
      <w:r w:rsidR="007F76AE" w:rsidRPr="00056253">
        <w:rPr>
          <w:b/>
        </w:rPr>
        <w:t xml:space="preserve"> is rather dependent on the DL buffer status and can be further impacted by RAN3 decisions on data forwarding. Thus, relevant changes should be introduced to TS 36.300 Running CR.</w:t>
      </w:r>
      <w:r w:rsidR="00385805">
        <w:rPr>
          <w:lang w:val="en-US"/>
        </w:rPr>
        <w:fldChar w:fldCharType="end"/>
      </w:r>
    </w:p>
    <w:p w:rsidR="007F76AE" w:rsidRPr="00114D1D" w:rsidRDefault="007F76AE" w:rsidP="00CD4C7B">
      <w:pPr>
        <w:rPr>
          <w:lang w:val="en-US"/>
        </w:rPr>
      </w:pPr>
    </w:p>
    <w:p w:rsidR="00CD4C7B" w:rsidRPr="006E13D1" w:rsidRDefault="00CD4C7B" w:rsidP="00CD4C7B">
      <w:pPr>
        <w:pStyle w:val="Heading1"/>
      </w:pPr>
      <w:r w:rsidRPr="006E13D1">
        <w:t>References</w:t>
      </w:r>
    </w:p>
    <w:p w:rsidR="008938BB" w:rsidRDefault="00EB4423" w:rsidP="005244ED">
      <w:pPr>
        <w:numPr>
          <w:ilvl w:val="0"/>
          <w:numId w:val="4"/>
        </w:numPr>
        <w:overflowPunct w:val="0"/>
        <w:autoSpaceDE w:val="0"/>
        <w:autoSpaceDN w:val="0"/>
        <w:adjustRightInd w:val="0"/>
        <w:textAlignment w:val="baseline"/>
      </w:pPr>
      <w:bookmarkStart w:id="9" w:name="_Ref462914680"/>
      <w:bookmarkStart w:id="10" w:name="_Ref462917251"/>
      <w:bookmarkStart w:id="11" w:name="_Ref462847494"/>
      <w:bookmarkStart w:id="12" w:name="_Ref75086397"/>
      <w:r w:rsidRPr="00EB4423">
        <w:t>R2-166606</w:t>
      </w:r>
      <w:r>
        <w:t xml:space="preserve">, </w:t>
      </w:r>
      <w:r w:rsidRPr="0026761E">
        <w:rPr>
          <w:i/>
        </w:rPr>
        <w:t>Introduction of mobility enhancement solutions</w:t>
      </w:r>
      <w:r>
        <w:t>, Running Stage 3 CR, 3GPP TSG RAN2 Meeting #95bis, Kaohsiung, 10 - 14 October 2016</w:t>
      </w:r>
      <w:bookmarkEnd w:id="9"/>
      <w:bookmarkEnd w:id="10"/>
    </w:p>
    <w:p w:rsidR="007655FF" w:rsidRDefault="00EB4423" w:rsidP="0026761E">
      <w:pPr>
        <w:numPr>
          <w:ilvl w:val="0"/>
          <w:numId w:val="4"/>
        </w:numPr>
        <w:overflowPunct w:val="0"/>
        <w:autoSpaceDE w:val="0"/>
        <w:autoSpaceDN w:val="0"/>
        <w:adjustRightInd w:val="0"/>
        <w:textAlignment w:val="baseline"/>
      </w:pPr>
      <w:bookmarkStart w:id="13" w:name="_Ref462914689"/>
      <w:bookmarkStart w:id="14" w:name="_Ref462918394"/>
      <w:r>
        <w:t>R2-16</w:t>
      </w:r>
      <w:r w:rsidR="0026761E">
        <w:t>6250</w:t>
      </w:r>
      <w:r w:rsidRPr="0026761E">
        <w:rPr>
          <w:i/>
        </w:rPr>
        <w:t xml:space="preserve">, </w:t>
      </w:r>
      <w:r w:rsidR="0026761E" w:rsidRPr="0026761E">
        <w:rPr>
          <w:i/>
        </w:rPr>
        <w:t>Introduction of RACH-less and Make Before Break for handover and SCG change</w:t>
      </w:r>
      <w:r>
        <w:t>, Running Stage 2 CR, 3GPP TSG RAN2 Meeting #95bis, Kaohsiung, 10 - 14 October 2016</w:t>
      </w:r>
      <w:bookmarkEnd w:id="13"/>
      <w:bookmarkEnd w:id="14"/>
    </w:p>
    <w:p w:rsidR="007655FF" w:rsidRDefault="00D00786" w:rsidP="007655FF">
      <w:pPr>
        <w:numPr>
          <w:ilvl w:val="0"/>
          <w:numId w:val="4"/>
        </w:numPr>
        <w:overflowPunct w:val="0"/>
        <w:autoSpaceDE w:val="0"/>
        <w:autoSpaceDN w:val="0"/>
        <w:adjustRightInd w:val="0"/>
        <w:textAlignment w:val="baseline"/>
      </w:pPr>
      <w:bookmarkStart w:id="15" w:name="_Ref462916971"/>
      <w:r>
        <w:t>3GPP TS 36.300</w:t>
      </w:r>
      <w:r w:rsidR="00CD4C7B" w:rsidRPr="006E13D1">
        <w:t xml:space="preserve">, </w:t>
      </w:r>
      <w:r>
        <w:t>E-UTRA and E-UTRAN; Overall description; Stage 2</w:t>
      </w:r>
      <w:bookmarkEnd w:id="11"/>
      <w:bookmarkEnd w:id="15"/>
      <w:r w:rsidR="00B96DBB">
        <w:t>, available at www.3gpp.org</w:t>
      </w:r>
    </w:p>
    <w:p w:rsidR="00CD4C7B" w:rsidRPr="006E13D1" w:rsidRDefault="00172B7D" w:rsidP="00CD4C7B">
      <w:pPr>
        <w:numPr>
          <w:ilvl w:val="0"/>
          <w:numId w:val="4"/>
        </w:numPr>
        <w:overflowPunct w:val="0"/>
        <w:autoSpaceDE w:val="0"/>
        <w:autoSpaceDN w:val="0"/>
        <w:adjustRightInd w:val="0"/>
        <w:textAlignment w:val="baseline"/>
      </w:pPr>
      <w:bookmarkStart w:id="16" w:name="_Ref462914552"/>
      <w:r>
        <w:t>3GPP TS 36.331</w:t>
      </w:r>
      <w:r w:rsidRPr="006E13D1">
        <w:t xml:space="preserve">, </w:t>
      </w:r>
      <w:r w:rsidR="00465655">
        <w:t xml:space="preserve">E-UTRA and E-UTRAN; </w:t>
      </w:r>
      <w:r w:rsidR="00465655" w:rsidRPr="00465655">
        <w:t>Radio Resource Control (RRC); Protocol specification</w:t>
      </w:r>
      <w:bookmarkEnd w:id="12"/>
      <w:bookmarkEnd w:id="16"/>
      <w:r w:rsidR="00B96DBB">
        <w:t>, available at www.3gpp.org</w:t>
      </w:r>
    </w:p>
    <w:p w:rsidR="00CD4C7B" w:rsidRDefault="00CD4C7B" w:rsidP="00CD4C7B"/>
    <w:p w:rsidR="00080512" w:rsidRPr="00CD4C7B" w:rsidRDefault="00080512" w:rsidP="00CD4C7B"/>
    <w:sectPr w:rsidR="00080512" w:rsidRPr="00CD4C7B" w:rsidSect="003858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2C9" w:rsidRDefault="00A162C9">
      <w:r>
        <w:separator/>
      </w:r>
    </w:p>
  </w:endnote>
  <w:endnote w:type="continuationSeparator" w:id="0">
    <w:p w:rsidR="00A162C9" w:rsidRDefault="00A1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2C9" w:rsidRDefault="00A162C9">
      <w:r>
        <w:separator/>
      </w:r>
    </w:p>
  </w:footnote>
  <w:footnote w:type="continuationSeparator" w:id="0">
    <w:p w:rsidR="00A162C9" w:rsidRDefault="00A16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0724A"/>
    <w:multiLevelType w:val="hybridMultilevel"/>
    <w:tmpl w:val="B3148DB0"/>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361335"/>
    <w:multiLevelType w:val="hybridMultilevel"/>
    <w:tmpl w:val="31585AAA"/>
    <w:lvl w:ilvl="0" w:tplc="E3082522">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269BC"/>
    <w:multiLevelType w:val="hybridMultilevel"/>
    <w:tmpl w:val="38A68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2009AB"/>
    <w:multiLevelType w:val="hybridMultilevel"/>
    <w:tmpl w:val="2EA61F58"/>
    <w:lvl w:ilvl="0" w:tplc="B8C4C726">
      <w:start w:val="1"/>
      <w:numFmt w:val="decimal"/>
      <w:lvlText w:val="Proposal %1:"/>
      <w:lvlJc w:val="left"/>
      <w:pPr>
        <w:ind w:left="765" w:hanging="360"/>
      </w:pPr>
      <w:rPr>
        <w:rFonts w:hint="eastAsia"/>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39F8184F"/>
    <w:multiLevelType w:val="hybridMultilevel"/>
    <w:tmpl w:val="7ABE4B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125660"/>
    <w:multiLevelType w:val="hybridMultilevel"/>
    <w:tmpl w:val="ABB0F514"/>
    <w:lvl w:ilvl="0" w:tplc="A6F24282">
      <w:start w:val="1"/>
      <w:numFmt w:val="decimal"/>
      <w:lvlText w:val="Observation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935ED"/>
    <w:multiLevelType w:val="hybridMultilevel"/>
    <w:tmpl w:val="0062F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AB5C81"/>
    <w:multiLevelType w:val="hybridMultilevel"/>
    <w:tmpl w:val="2DA0B6B6"/>
    <w:lvl w:ilvl="0" w:tplc="02223126">
      <w:start w:val="1"/>
      <w:numFmt w:val="decimal"/>
      <w:lvlText w:val="Observation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B35F99"/>
    <w:multiLevelType w:val="hybridMultilevel"/>
    <w:tmpl w:val="6C6A8D4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0652EF"/>
    <w:multiLevelType w:val="hybridMultilevel"/>
    <w:tmpl w:val="ACB4E58A"/>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7D0ECB"/>
    <w:multiLevelType w:val="hybridMultilevel"/>
    <w:tmpl w:val="383EFA0A"/>
    <w:lvl w:ilvl="0" w:tplc="5DFE48C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9"/>
  </w:num>
  <w:num w:numId="6">
    <w:abstractNumId w:val="4"/>
  </w:num>
  <w:num w:numId="7">
    <w:abstractNumId w:val="10"/>
  </w:num>
  <w:num w:numId="8">
    <w:abstractNumId w:val="7"/>
  </w:num>
  <w:num w:numId="9">
    <w:abstractNumId w:val="3"/>
  </w:num>
  <w:num w:numId="10">
    <w:abstractNumId w:val="13"/>
  </w:num>
  <w:num w:numId="11">
    <w:abstractNumId w:val="6"/>
  </w:num>
  <w:num w:numId="12">
    <w:abstractNumId w:val="11"/>
  </w:num>
  <w:num w:numId="13">
    <w:abstractNumId w:val="1"/>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2F3"/>
    <w:rsid w:val="00033397"/>
    <w:rsid w:val="00040095"/>
    <w:rsid w:val="000536D5"/>
    <w:rsid w:val="00056253"/>
    <w:rsid w:val="000643DD"/>
    <w:rsid w:val="00080512"/>
    <w:rsid w:val="0008174A"/>
    <w:rsid w:val="00090468"/>
    <w:rsid w:val="00090C8B"/>
    <w:rsid w:val="000960B7"/>
    <w:rsid w:val="00097708"/>
    <w:rsid w:val="000B7BCF"/>
    <w:rsid w:val="000C522B"/>
    <w:rsid w:val="000D58AB"/>
    <w:rsid w:val="00104D40"/>
    <w:rsid w:val="0010543D"/>
    <w:rsid w:val="00114D1D"/>
    <w:rsid w:val="00121A1B"/>
    <w:rsid w:val="00122FB0"/>
    <w:rsid w:val="00123834"/>
    <w:rsid w:val="00141545"/>
    <w:rsid w:val="00172B7D"/>
    <w:rsid w:val="001741A0"/>
    <w:rsid w:val="00194CD0"/>
    <w:rsid w:val="00195CEF"/>
    <w:rsid w:val="001A3C36"/>
    <w:rsid w:val="001B49C9"/>
    <w:rsid w:val="001E553D"/>
    <w:rsid w:val="001F168B"/>
    <w:rsid w:val="001F7831"/>
    <w:rsid w:val="00204045"/>
    <w:rsid w:val="00225CC6"/>
    <w:rsid w:val="0022606D"/>
    <w:rsid w:val="00227780"/>
    <w:rsid w:val="00241349"/>
    <w:rsid w:val="0026761E"/>
    <w:rsid w:val="002747EC"/>
    <w:rsid w:val="002855BF"/>
    <w:rsid w:val="002F0D22"/>
    <w:rsid w:val="002F3BDD"/>
    <w:rsid w:val="003027E6"/>
    <w:rsid w:val="00302893"/>
    <w:rsid w:val="003172DC"/>
    <w:rsid w:val="00326069"/>
    <w:rsid w:val="00332DAB"/>
    <w:rsid w:val="00351B43"/>
    <w:rsid w:val="0035462D"/>
    <w:rsid w:val="00365FDA"/>
    <w:rsid w:val="00366747"/>
    <w:rsid w:val="00385805"/>
    <w:rsid w:val="00390787"/>
    <w:rsid w:val="003B40AD"/>
    <w:rsid w:val="003C4E37"/>
    <w:rsid w:val="003C514E"/>
    <w:rsid w:val="003E16BE"/>
    <w:rsid w:val="003E1DC1"/>
    <w:rsid w:val="00401855"/>
    <w:rsid w:val="00416D27"/>
    <w:rsid w:val="004328E9"/>
    <w:rsid w:val="004376B0"/>
    <w:rsid w:val="00465655"/>
    <w:rsid w:val="004665DA"/>
    <w:rsid w:val="00477455"/>
    <w:rsid w:val="00485C30"/>
    <w:rsid w:val="004D3578"/>
    <w:rsid w:val="004D380D"/>
    <w:rsid w:val="004D7751"/>
    <w:rsid w:val="004E213A"/>
    <w:rsid w:val="00503171"/>
    <w:rsid w:val="00505FBC"/>
    <w:rsid w:val="00511B8F"/>
    <w:rsid w:val="005244ED"/>
    <w:rsid w:val="00531996"/>
    <w:rsid w:val="00531DF6"/>
    <w:rsid w:val="00534DA0"/>
    <w:rsid w:val="00543C83"/>
    <w:rsid w:val="00543E6C"/>
    <w:rsid w:val="00565087"/>
    <w:rsid w:val="0056573F"/>
    <w:rsid w:val="00593F89"/>
    <w:rsid w:val="005F5F99"/>
    <w:rsid w:val="00605E05"/>
    <w:rsid w:val="0060600C"/>
    <w:rsid w:val="00611566"/>
    <w:rsid w:val="00646D99"/>
    <w:rsid w:val="006545F4"/>
    <w:rsid w:val="00656910"/>
    <w:rsid w:val="006816FA"/>
    <w:rsid w:val="00692861"/>
    <w:rsid w:val="006947FF"/>
    <w:rsid w:val="006C66D8"/>
    <w:rsid w:val="006D1E24"/>
    <w:rsid w:val="006E1417"/>
    <w:rsid w:val="006F6A2C"/>
    <w:rsid w:val="00734A5B"/>
    <w:rsid w:val="007442FB"/>
    <w:rsid w:val="00744E76"/>
    <w:rsid w:val="00753C34"/>
    <w:rsid w:val="00757D40"/>
    <w:rsid w:val="007655FF"/>
    <w:rsid w:val="00781F0F"/>
    <w:rsid w:val="0078727C"/>
    <w:rsid w:val="0079049D"/>
    <w:rsid w:val="007B18D8"/>
    <w:rsid w:val="007C095F"/>
    <w:rsid w:val="007F46D6"/>
    <w:rsid w:val="007F76AE"/>
    <w:rsid w:val="008028A4"/>
    <w:rsid w:val="00804556"/>
    <w:rsid w:val="00820B9E"/>
    <w:rsid w:val="00846191"/>
    <w:rsid w:val="008768CA"/>
    <w:rsid w:val="00880559"/>
    <w:rsid w:val="008938BB"/>
    <w:rsid w:val="0090271F"/>
    <w:rsid w:val="00911D45"/>
    <w:rsid w:val="00917013"/>
    <w:rsid w:val="00942EC2"/>
    <w:rsid w:val="00961B32"/>
    <w:rsid w:val="00974BB0"/>
    <w:rsid w:val="009B07CD"/>
    <w:rsid w:val="009C19E9"/>
    <w:rsid w:val="009C2EA8"/>
    <w:rsid w:val="009C5D16"/>
    <w:rsid w:val="009F3F0E"/>
    <w:rsid w:val="00A10F02"/>
    <w:rsid w:val="00A162C9"/>
    <w:rsid w:val="00A244F8"/>
    <w:rsid w:val="00A44A70"/>
    <w:rsid w:val="00A53724"/>
    <w:rsid w:val="00A82346"/>
    <w:rsid w:val="00A95B65"/>
    <w:rsid w:val="00A9671C"/>
    <w:rsid w:val="00A97A78"/>
    <w:rsid w:val="00AD6AA5"/>
    <w:rsid w:val="00AE44F8"/>
    <w:rsid w:val="00B15449"/>
    <w:rsid w:val="00B2070E"/>
    <w:rsid w:val="00B47FD1"/>
    <w:rsid w:val="00B7435F"/>
    <w:rsid w:val="00B96DBB"/>
    <w:rsid w:val="00BA6CC8"/>
    <w:rsid w:val="00BC569B"/>
    <w:rsid w:val="00BC790E"/>
    <w:rsid w:val="00BE017C"/>
    <w:rsid w:val="00BE2A5E"/>
    <w:rsid w:val="00BF177D"/>
    <w:rsid w:val="00C12B51"/>
    <w:rsid w:val="00C24650"/>
    <w:rsid w:val="00C33079"/>
    <w:rsid w:val="00C3371D"/>
    <w:rsid w:val="00C37EFA"/>
    <w:rsid w:val="00C45448"/>
    <w:rsid w:val="00C47E6C"/>
    <w:rsid w:val="00C527C2"/>
    <w:rsid w:val="00C83A13"/>
    <w:rsid w:val="00C86B48"/>
    <w:rsid w:val="00CA0BE7"/>
    <w:rsid w:val="00CA3D0C"/>
    <w:rsid w:val="00CA654B"/>
    <w:rsid w:val="00CB6468"/>
    <w:rsid w:val="00CD4C7B"/>
    <w:rsid w:val="00D00786"/>
    <w:rsid w:val="00D245E5"/>
    <w:rsid w:val="00D738D6"/>
    <w:rsid w:val="00D75EC2"/>
    <w:rsid w:val="00D80795"/>
    <w:rsid w:val="00D83C51"/>
    <w:rsid w:val="00D87E00"/>
    <w:rsid w:val="00D9134D"/>
    <w:rsid w:val="00D96D11"/>
    <w:rsid w:val="00DA7A03"/>
    <w:rsid w:val="00DB1818"/>
    <w:rsid w:val="00DC309B"/>
    <w:rsid w:val="00DC4DA2"/>
    <w:rsid w:val="00DF59C6"/>
    <w:rsid w:val="00E3530B"/>
    <w:rsid w:val="00E62835"/>
    <w:rsid w:val="00E64A75"/>
    <w:rsid w:val="00E73CA1"/>
    <w:rsid w:val="00E77645"/>
    <w:rsid w:val="00E83697"/>
    <w:rsid w:val="00E93EA9"/>
    <w:rsid w:val="00EB4423"/>
    <w:rsid w:val="00EB4C98"/>
    <w:rsid w:val="00EB79B5"/>
    <w:rsid w:val="00EC4A25"/>
    <w:rsid w:val="00F025A2"/>
    <w:rsid w:val="00F07388"/>
    <w:rsid w:val="00F2026E"/>
    <w:rsid w:val="00F2210A"/>
    <w:rsid w:val="00F37743"/>
    <w:rsid w:val="00F5266A"/>
    <w:rsid w:val="00F54A3D"/>
    <w:rsid w:val="00F653B8"/>
    <w:rsid w:val="00F71B89"/>
    <w:rsid w:val="00F76F8F"/>
    <w:rsid w:val="00F86D97"/>
    <w:rsid w:val="00F879B1"/>
    <w:rsid w:val="00FA1266"/>
    <w:rsid w:val="00FA7086"/>
    <w:rsid w:val="00FB464C"/>
    <w:rsid w:val="00FC1192"/>
    <w:rsid w:val="00FD7BCA"/>
    <w:rsid w:val="00FE1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3AF0C2-0B64-4E84-A209-8FF6AECF8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805"/>
    <w:pPr>
      <w:spacing w:after="180"/>
    </w:pPr>
    <w:rPr>
      <w:lang w:eastAsia="en-US"/>
    </w:rPr>
  </w:style>
  <w:style w:type="paragraph" w:styleId="Heading1">
    <w:name w:val="heading 1"/>
    <w:next w:val="Normal"/>
    <w:qFormat/>
    <w:rsid w:val="0038580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85805"/>
    <w:pPr>
      <w:pBdr>
        <w:top w:val="none" w:sz="0" w:space="0" w:color="auto"/>
      </w:pBdr>
      <w:spacing w:before="180"/>
      <w:outlineLvl w:val="1"/>
    </w:pPr>
    <w:rPr>
      <w:sz w:val="32"/>
    </w:rPr>
  </w:style>
  <w:style w:type="paragraph" w:styleId="Heading3">
    <w:name w:val="heading 3"/>
    <w:basedOn w:val="Heading2"/>
    <w:next w:val="Normal"/>
    <w:qFormat/>
    <w:rsid w:val="00385805"/>
    <w:pPr>
      <w:spacing w:before="120"/>
      <w:outlineLvl w:val="2"/>
    </w:pPr>
    <w:rPr>
      <w:sz w:val="28"/>
    </w:rPr>
  </w:style>
  <w:style w:type="paragraph" w:styleId="Heading4">
    <w:name w:val="heading 4"/>
    <w:basedOn w:val="Heading3"/>
    <w:next w:val="Normal"/>
    <w:qFormat/>
    <w:rsid w:val="00385805"/>
    <w:pPr>
      <w:ind w:left="1418" w:hanging="1418"/>
      <w:outlineLvl w:val="3"/>
    </w:pPr>
    <w:rPr>
      <w:sz w:val="24"/>
    </w:rPr>
  </w:style>
  <w:style w:type="paragraph" w:styleId="Heading5">
    <w:name w:val="heading 5"/>
    <w:basedOn w:val="Heading4"/>
    <w:next w:val="Normal"/>
    <w:qFormat/>
    <w:rsid w:val="00385805"/>
    <w:pPr>
      <w:ind w:left="1701" w:hanging="1701"/>
      <w:outlineLvl w:val="4"/>
    </w:pPr>
    <w:rPr>
      <w:sz w:val="22"/>
    </w:rPr>
  </w:style>
  <w:style w:type="paragraph" w:styleId="Heading6">
    <w:name w:val="heading 6"/>
    <w:basedOn w:val="H6"/>
    <w:next w:val="Normal"/>
    <w:qFormat/>
    <w:rsid w:val="00385805"/>
    <w:pPr>
      <w:outlineLvl w:val="5"/>
    </w:pPr>
  </w:style>
  <w:style w:type="paragraph" w:styleId="Heading7">
    <w:name w:val="heading 7"/>
    <w:basedOn w:val="H6"/>
    <w:next w:val="Normal"/>
    <w:qFormat/>
    <w:rsid w:val="00385805"/>
    <w:pPr>
      <w:outlineLvl w:val="6"/>
    </w:pPr>
  </w:style>
  <w:style w:type="paragraph" w:styleId="Heading8">
    <w:name w:val="heading 8"/>
    <w:basedOn w:val="Heading1"/>
    <w:next w:val="Normal"/>
    <w:qFormat/>
    <w:rsid w:val="00385805"/>
    <w:pPr>
      <w:ind w:left="0" w:firstLine="0"/>
      <w:outlineLvl w:val="7"/>
    </w:pPr>
  </w:style>
  <w:style w:type="paragraph" w:styleId="Heading9">
    <w:name w:val="heading 9"/>
    <w:basedOn w:val="Heading8"/>
    <w:next w:val="Normal"/>
    <w:qFormat/>
    <w:rsid w:val="003858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5805"/>
    <w:pPr>
      <w:ind w:left="1985" w:hanging="1985"/>
      <w:outlineLvl w:val="9"/>
    </w:pPr>
    <w:rPr>
      <w:sz w:val="20"/>
    </w:rPr>
  </w:style>
  <w:style w:type="paragraph" w:styleId="TOC9">
    <w:name w:val="toc 9"/>
    <w:basedOn w:val="TOC8"/>
    <w:semiHidden/>
    <w:rsid w:val="00385805"/>
    <w:pPr>
      <w:ind w:left="1418" w:hanging="1418"/>
    </w:pPr>
  </w:style>
  <w:style w:type="paragraph" w:styleId="TOC8">
    <w:name w:val="toc 8"/>
    <w:basedOn w:val="TOC1"/>
    <w:semiHidden/>
    <w:rsid w:val="00385805"/>
    <w:pPr>
      <w:spacing w:before="180"/>
      <w:ind w:left="2693" w:hanging="2693"/>
    </w:pPr>
    <w:rPr>
      <w:b/>
    </w:rPr>
  </w:style>
  <w:style w:type="paragraph" w:styleId="TOC1">
    <w:name w:val="toc 1"/>
    <w:semiHidden/>
    <w:rsid w:val="0038580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385805"/>
    <w:pPr>
      <w:keepLines/>
      <w:tabs>
        <w:tab w:val="center" w:pos="4536"/>
        <w:tab w:val="right" w:pos="9072"/>
      </w:tabs>
    </w:pPr>
    <w:rPr>
      <w:noProof/>
    </w:rPr>
  </w:style>
  <w:style w:type="character" w:customStyle="1" w:styleId="ZGSM">
    <w:name w:val="ZGSM"/>
    <w:rsid w:val="0038580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8580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85805"/>
    <w:pPr>
      <w:framePr w:wrap="notBeside" w:vAnchor="page" w:hAnchor="margin" w:y="15764"/>
      <w:widowControl w:val="0"/>
    </w:pPr>
    <w:rPr>
      <w:rFonts w:ascii="Arial" w:hAnsi="Arial"/>
      <w:noProof/>
      <w:sz w:val="32"/>
      <w:lang w:eastAsia="en-US"/>
    </w:rPr>
  </w:style>
  <w:style w:type="paragraph" w:styleId="TOC5">
    <w:name w:val="toc 5"/>
    <w:basedOn w:val="TOC4"/>
    <w:semiHidden/>
    <w:rsid w:val="00385805"/>
    <w:pPr>
      <w:ind w:left="1701" w:hanging="1701"/>
    </w:pPr>
  </w:style>
  <w:style w:type="paragraph" w:styleId="TOC4">
    <w:name w:val="toc 4"/>
    <w:basedOn w:val="TOC3"/>
    <w:semiHidden/>
    <w:rsid w:val="00385805"/>
    <w:pPr>
      <w:ind w:left="1418" w:hanging="1418"/>
    </w:pPr>
  </w:style>
  <w:style w:type="paragraph" w:styleId="TOC3">
    <w:name w:val="toc 3"/>
    <w:basedOn w:val="TOC2"/>
    <w:semiHidden/>
    <w:rsid w:val="00385805"/>
    <w:pPr>
      <w:ind w:left="1134" w:hanging="1134"/>
    </w:pPr>
  </w:style>
  <w:style w:type="paragraph" w:styleId="TOC2">
    <w:name w:val="toc 2"/>
    <w:basedOn w:val="TOC1"/>
    <w:semiHidden/>
    <w:rsid w:val="00385805"/>
    <w:pPr>
      <w:keepNext w:val="0"/>
      <w:spacing w:before="0"/>
      <w:ind w:left="851" w:hanging="851"/>
    </w:pPr>
    <w:rPr>
      <w:sz w:val="20"/>
    </w:rPr>
  </w:style>
  <w:style w:type="paragraph" w:styleId="Footer">
    <w:name w:val="footer"/>
    <w:basedOn w:val="Header"/>
    <w:rsid w:val="00385805"/>
    <w:pPr>
      <w:jc w:val="center"/>
    </w:pPr>
    <w:rPr>
      <w:i/>
    </w:rPr>
  </w:style>
  <w:style w:type="paragraph" w:customStyle="1" w:styleId="TT">
    <w:name w:val="TT"/>
    <w:basedOn w:val="Heading1"/>
    <w:next w:val="Normal"/>
    <w:rsid w:val="00385805"/>
    <w:pPr>
      <w:outlineLvl w:val="9"/>
    </w:pPr>
  </w:style>
  <w:style w:type="paragraph" w:customStyle="1" w:styleId="NF">
    <w:name w:val="NF"/>
    <w:basedOn w:val="NO"/>
    <w:rsid w:val="00385805"/>
    <w:pPr>
      <w:keepNext/>
      <w:spacing w:after="0"/>
    </w:pPr>
    <w:rPr>
      <w:rFonts w:ascii="Arial" w:hAnsi="Arial"/>
      <w:sz w:val="18"/>
    </w:rPr>
  </w:style>
  <w:style w:type="paragraph" w:customStyle="1" w:styleId="NO">
    <w:name w:val="NO"/>
    <w:basedOn w:val="Normal"/>
    <w:rsid w:val="00385805"/>
    <w:pPr>
      <w:keepLines/>
      <w:ind w:left="1135" w:hanging="851"/>
    </w:pPr>
  </w:style>
  <w:style w:type="paragraph" w:customStyle="1" w:styleId="PL">
    <w:name w:val="PL"/>
    <w:link w:val="PLChar"/>
    <w:rsid w:val="0038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85805"/>
    <w:pPr>
      <w:jc w:val="right"/>
    </w:pPr>
  </w:style>
  <w:style w:type="paragraph" w:customStyle="1" w:styleId="TAL">
    <w:name w:val="TAL"/>
    <w:basedOn w:val="Normal"/>
    <w:rsid w:val="00385805"/>
    <w:pPr>
      <w:keepNext/>
      <w:keepLines/>
      <w:spacing w:after="0"/>
    </w:pPr>
    <w:rPr>
      <w:rFonts w:ascii="Arial" w:hAnsi="Arial"/>
      <w:sz w:val="18"/>
    </w:rPr>
  </w:style>
  <w:style w:type="paragraph" w:customStyle="1" w:styleId="TAH">
    <w:name w:val="TAH"/>
    <w:basedOn w:val="TAC"/>
    <w:rsid w:val="00385805"/>
    <w:rPr>
      <w:b/>
    </w:rPr>
  </w:style>
  <w:style w:type="paragraph" w:customStyle="1" w:styleId="TAC">
    <w:name w:val="TAC"/>
    <w:basedOn w:val="TAL"/>
    <w:rsid w:val="00385805"/>
    <w:pPr>
      <w:jc w:val="center"/>
    </w:pPr>
  </w:style>
  <w:style w:type="paragraph" w:customStyle="1" w:styleId="LD">
    <w:name w:val="LD"/>
    <w:rsid w:val="00385805"/>
    <w:pPr>
      <w:keepNext/>
      <w:keepLines/>
      <w:spacing w:line="180" w:lineRule="exact"/>
    </w:pPr>
    <w:rPr>
      <w:rFonts w:ascii="Courier New" w:hAnsi="Courier New"/>
      <w:noProof/>
      <w:lang w:eastAsia="en-US"/>
    </w:rPr>
  </w:style>
  <w:style w:type="paragraph" w:customStyle="1" w:styleId="EX">
    <w:name w:val="EX"/>
    <w:basedOn w:val="Normal"/>
    <w:rsid w:val="00385805"/>
    <w:pPr>
      <w:keepLines/>
      <w:ind w:left="1702" w:hanging="1418"/>
    </w:pPr>
  </w:style>
  <w:style w:type="paragraph" w:customStyle="1" w:styleId="FP">
    <w:name w:val="FP"/>
    <w:basedOn w:val="Normal"/>
    <w:rsid w:val="00385805"/>
    <w:pPr>
      <w:spacing w:after="0"/>
    </w:pPr>
  </w:style>
  <w:style w:type="paragraph" w:customStyle="1" w:styleId="NW">
    <w:name w:val="NW"/>
    <w:basedOn w:val="NO"/>
    <w:rsid w:val="00385805"/>
    <w:pPr>
      <w:spacing w:after="0"/>
    </w:pPr>
  </w:style>
  <w:style w:type="paragraph" w:customStyle="1" w:styleId="EW">
    <w:name w:val="EW"/>
    <w:basedOn w:val="EX"/>
    <w:rsid w:val="00385805"/>
    <w:pPr>
      <w:spacing w:after="0"/>
    </w:pPr>
  </w:style>
  <w:style w:type="paragraph" w:customStyle="1" w:styleId="B1">
    <w:name w:val="B1"/>
    <w:basedOn w:val="Normal"/>
    <w:link w:val="B1Char1"/>
    <w:rsid w:val="00385805"/>
    <w:pPr>
      <w:ind w:left="568" w:hanging="284"/>
    </w:pPr>
  </w:style>
  <w:style w:type="paragraph" w:styleId="TOC6">
    <w:name w:val="toc 6"/>
    <w:basedOn w:val="TOC5"/>
    <w:next w:val="Normal"/>
    <w:semiHidden/>
    <w:rsid w:val="00385805"/>
    <w:pPr>
      <w:ind w:left="1985" w:hanging="1985"/>
    </w:pPr>
  </w:style>
  <w:style w:type="paragraph" w:styleId="TOC7">
    <w:name w:val="toc 7"/>
    <w:basedOn w:val="TOC6"/>
    <w:next w:val="Normal"/>
    <w:semiHidden/>
    <w:rsid w:val="00385805"/>
    <w:pPr>
      <w:ind w:left="2268" w:hanging="2268"/>
    </w:pPr>
  </w:style>
  <w:style w:type="paragraph" w:customStyle="1" w:styleId="EditorsNote">
    <w:name w:val="Editor's Note"/>
    <w:basedOn w:val="NO"/>
    <w:rsid w:val="00385805"/>
    <w:rPr>
      <w:color w:val="FF0000"/>
    </w:rPr>
  </w:style>
  <w:style w:type="paragraph" w:customStyle="1" w:styleId="TH">
    <w:name w:val="TH"/>
    <w:basedOn w:val="Normal"/>
    <w:rsid w:val="00385805"/>
    <w:pPr>
      <w:keepNext/>
      <w:keepLines/>
      <w:spacing w:before="60"/>
      <w:jc w:val="center"/>
    </w:pPr>
    <w:rPr>
      <w:rFonts w:ascii="Arial" w:hAnsi="Arial"/>
      <w:b/>
    </w:rPr>
  </w:style>
  <w:style w:type="paragraph" w:customStyle="1" w:styleId="ZA">
    <w:name w:val="ZA"/>
    <w:rsid w:val="0038580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8580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8580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8580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85805"/>
    <w:pPr>
      <w:ind w:left="851" w:hanging="851"/>
    </w:pPr>
  </w:style>
  <w:style w:type="paragraph" w:customStyle="1" w:styleId="ZH">
    <w:name w:val="ZH"/>
    <w:rsid w:val="00385805"/>
    <w:pPr>
      <w:framePr w:wrap="notBeside" w:vAnchor="page" w:hAnchor="margin" w:xAlign="center" w:y="6805"/>
      <w:widowControl w:val="0"/>
    </w:pPr>
    <w:rPr>
      <w:rFonts w:ascii="Arial" w:hAnsi="Arial"/>
      <w:noProof/>
      <w:lang w:eastAsia="en-US"/>
    </w:rPr>
  </w:style>
  <w:style w:type="paragraph" w:customStyle="1" w:styleId="TF">
    <w:name w:val="TF"/>
    <w:basedOn w:val="TH"/>
    <w:rsid w:val="00385805"/>
    <w:pPr>
      <w:keepNext w:val="0"/>
      <w:spacing w:before="0" w:after="240"/>
    </w:pPr>
  </w:style>
  <w:style w:type="paragraph" w:customStyle="1" w:styleId="ZG">
    <w:name w:val="ZG"/>
    <w:rsid w:val="0038580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385805"/>
    <w:pPr>
      <w:ind w:left="851" w:hanging="284"/>
    </w:pPr>
  </w:style>
  <w:style w:type="paragraph" w:customStyle="1" w:styleId="B3">
    <w:name w:val="B3"/>
    <w:basedOn w:val="Normal"/>
    <w:link w:val="B3Char"/>
    <w:rsid w:val="00385805"/>
    <w:pPr>
      <w:ind w:left="1135" w:hanging="284"/>
    </w:pPr>
  </w:style>
  <w:style w:type="paragraph" w:customStyle="1" w:styleId="B4">
    <w:name w:val="B4"/>
    <w:basedOn w:val="Normal"/>
    <w:rsid w:val="00385805"/>
    <w:pPr>
      <w:ind w:left="1418" w:hanging="284"/>
    </w:pPr>
  </w:style>
  <w:style w:type="paragraph" w:customStyle="1" w:styleId="B5">
    <w:name w:val="B5"/>
    <w:basedOn w:val="Normal"/>
    <w:rsid w:val="00385805"/>
    <w:pPr>
      <w:ind w:left="1702" w:hanging="284"/>
    </w:pPr>
  </w:style>
  <w:style w:type="paragraph" w:customStyle="1" w:styleId="ZTD">
    <w:name w:val="ZTD"/>
    <w:basedOn w:val="ZB"/>
    <w:rsid w:val="00385805"/>
    <w:pPr>
      <w:framePr w:hRule="auto" w:wrap="notBeside" w:y="852"/>
    </w:pPr>
    <w:rPr>
      <w:i w:val="0"/>
      <w:sz w:val="40"/>
    </w:rPr>
  </w:style>
  <w:style w:type="paragraph" w:customStyle="1" w:styleId="ZV">
    <w:name w:val="ZV"/>
    <w:basedOn w:val="ZU"/>
    <w:rsid w:val="00385805"/>
    <w:pPr>
      <w:framePr w:wrap="notBeside" w:y="16161"/>
    </w:pPr>
  </w:style>
  <w:style w:type="paragraph" w:customStyle="1" w:styleId="TAJ">
    <w:name w:val="TAJ"/>
    <w:basedOn w:val="TH"/>
    <w:rsid w:val="00385805"/>
  </w:style>
  <w:style w:type="paragraph" w:customStyle="1" w:styleId="Guidance">
    <w:name w:val="Guidance"/>
    <w:basedOn w:val="Normal"/>
    <w:rsid w:val="0038580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odyText">
    <w:name w:val="Body Text"/>
    <w:basedOn w:val="Normal"/>
    <w:link w:val="BodyTextChar"/>
    <w:rsid w:val="00E3530B"/>
    <w:pPr>
      <w:spacing w:after="0"/>
    </w:pPr>
    <w:rPr>
      <w:rFonts w:ascii="Arial" w:hAnsi="Arial" w:cs="Arial"/>
      <w:color w:val="FF0000"/>
    </w:rPr>
  </w:style>
  <w:style w:type="character" w:customStyle="1" w:styleId="BodyTextChar">
    <w:name w:val="Body Text Char"/>
    <w:basedOn w:val="DefaultParagraphFont"/>
    <w:link w:val="BodyText"/>
    <w:rsid w:val="00E3530B"/>
    <w:rPr>
      <w:rFonts w:ascii="Arial" w:hAnsi="Arial" w:cs="Arial"/>
      <w:color w:val="FF0000"/>
      <w:lang w:eastAsia="en-US"/>
    </w:rPr>
  </w:style>
  <w:style w:type="paragraph" w:styleId="ListParagraph">
    <w:name w:val="List Paragraph"/>
    <w:basedOn w:val="Normal"/>
    <w:uiPriority w:val="34"/>
    <w:qFormat/>
    <w:rsid w:val="000536D5"/>
    <w:pPr>
      <w:ind w:left="720"/>
      <w:contextualSpacing/>
    </w:pPr>
  </w:style>
  <w:style w:type="character" w:customStyle="1" w:styleId="PLChar">
    <w:name w:val="PL Char"/>
    <w:link w:val="PL"/>
    <w:rsid w:val="00C3371D"/>
    <w:rPr>
      <w:rFonts w:ascii="Courier New" w:hAnsi="Courier New"/>
      <w:noProof/>
      <w:sz w:val="16"/>
      <w:lang w:eastAsia="en-US"/>
    </w:rPr>
  </w:style>
  <w:style w:type="character" w:customStyle="1" w:styleId="B1Char1">
    <w:name w:val="B1 Char1"/>
    <w:link w:val="B1"/>
    <w:rsid w:val="00D245E5"/>
    <w:rPr>
      <w:lang w:eastAsia="en-US"/>
    </w:rPr>
  </w:style>
  <w:style w:type="character" w:customStyle="1" w:styleId="B2Char">
    <w:name w:val="B2 Char"/>
    <w:link w:val="B2"/>
    <w:rsid w:val="00D245E5"/>
    <w:rPr>
      <w:lang w:eastAsia="en-US"/>
    </w:rPr>
  </w:style>
  <w:style w:type="character" w:styleId="CommentReference">
    <w:name w:val="annotation reference"/>
    <w:basedOn w:val="DefaultParagraphFont"/>
    <w:rsid w:val="00056253"/>
    <w:rPr>
      <w:sz w:val="16"/>
      <w:szCs w:val="16"/>
    </w:rPr>
  </w:style>
  <w:style w:type="paragraph" w:styleId="CommentText">
    <w:name w:val="annotation text"/>
    <w:basedOn w:val="Normal"/>
    <w:link w:val="CommentTextChar"/>
    <w:rsid w:val="00056253"/>
  </w:style>
  <w:style w:type="character" w:customStyle="1" w:styleId="CommentTextChar">
    <w:name w:val="Comment Text Char"/>
    <w:basedOn w:val="DefaultParagraphFont"/>
    <w:link w:val="CommentText"/>
    <w:rsid w:val="00056253"/>
    <w:rPr>
      <w:lang w:eastAsia="en-US"/>
    </w:rPr>
  </w:style>
  <w:style w:type="paragraph" w:styleId="CommentSubject">
    <w:name w:val="annotation subject"/>
    <w:basedOn w:val="CommentText"/>
    <w:next w:val="CommentText"/>
    <w:link w:val="CommentSubjectChar"/>
    <w:rsid w:val="00056253"/>
    <w:rPr>
      <w:b/>
      <w:bCs/>
    </w:rPr>
  </w:style>
  <w:style w:type="character" w:customStyle="1" w:styleId="CommentSubjectChar">
    <w:name w:val="Comment Subject Char"/>
    <w:basedOn w:val="CommentTextChar"/>
    <w:link w:val="CommentSubject"/>
    <w:rsid w:val="00056253"/>
    <w:rPr>
      <w:b/>
      <w:bCs/>
      <w:lang w:eastAsia="en-US"/>
    </w:rPr>
  </w:style>
  <w:style w:type="paragraph" w:styleId="BalloonText">
    <w:name w:val="Balloon Text"/>
    <w:basedOn w:val="Normal"/>
    <w:link w:val="BalloonTextChar"/>
    <w:rsid w:val="00056253"/>
    <w:pPr>
      <w:spacing w:after="0"/>
    </w:pPr>
    <w:rPr>
      <w:rFonts w:ascii="Segoe UI" w:hAnsi="Segoe UI" w:cs="Segoe UI"/>
      <w:sz w:val="18"/>
      <w:szCs w:val="18"/>
    </w:rPr>
  </w:style>
  <w:style w:type="character" w:customStyle="1" w:styleId="BalloonTextChar">
    <w:name w:val="Balloon Text Char"/>
    <w:basedOn w:val="DefaultParagraphFont"/>
    <w:link w:val="BalloonText"/>
    <w:rsid w:val="00056253"/>
    <w:rPr>
      <w:rFonts w:ascii="Segoe UI" w:hAnsi="Segoe UI" w:cs="Segoe UI"/>
      <w:sz w:val="18"/>
      <w:szCs w:val="18"/>
      <w:lang w:eastAsia="en-US"/>
    </w:rPr>
  </w:style>
  <w:style w:type="character" w:customStyle="1" w:styleId="B3Char">
    <w:name w:val="B3 Char"/>
    <w:basedOn w:val="DefaultParagraphFont"/>
    <w:link w:val="B3"/>
    <w:locked/>
    <w:rsid w:val="00505FBC"/>
    <w:rPr>
      <w:lang w:eastAsia="en-US"/>
    </w:rPr>
  </w:style>
  <w:style w:type="character" w:customStyle="1" w:styleId="B1Char">
    <w:name w:val="B1 Char"/>
    <w:rsid w:val="003027E6"/>
    <w:rPr>
      <w:rFonts w:ascii="Times New Roman" w:hAnsi="Times New Roman"/>
      <w:lang w:val="en-GB" w:eastAsia="en-US"/>
    </w:rPr>
  </w:style>
  <w:style w:type="table" w:styleId="TableGrid">
    <w:name w:val="Table Grid"/>
    <w:basedOn w:val="TableNormal"/>
    <w:rsid w:val="00BC7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123834"/>
    <w:pPr>
      <w:spacing w:after="0"/>
    </w:pPr>
    <w:rPr>
      <w:rFonts w:ascii="Tahoma" w:hAnsi="Tahoma" w:cs="Tahoma"/>
      <w:sz w:val="16"/>
      <w:szCs w:val="16"/>
    </w:rPr>
  </w:style>
  <w:style w:type="character" w:customStyle="1" w:styleId="DocumentMapChar">
    <w:name w:val="Document Map Char"/>
    <w:basedOn w:val="DefaultParagraphFont"/>
    <w:link w:val="DocumentMap"/>
    <w:rsid w:val="0012383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398755">
      <w:bodyDiv w:val="1"/>
      <w:marLeft w:val="0"/>
      <w:marRight w:val="0"/>
      <w:marTop w:val="0"/>
      <w:marBottom w:val="0"/>
      <w:divBdr>
        <w:top w:val="none" w:sz="0" w:space="0" w:color="auto"/>
        <w:left w:val="none" w:sz="0" w:space="0" w:color="auto"/>
        <w:bottom w:val="none" w:sz="0" w:space="0" w:color="auto"/>
        <w:right w:val="none" w:sz="0" w:space="0" w:color="auto"/>
      </w:divBdr>
    </w:div>
    <w:div w:id="159601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4</Pages>
  <Words>1840</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12309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Stanczak, Jedrzej (Nokia - PL/Wroclaw)</dc:creator>
  <cp:lastModifiedBy>Jedrzej</cp:lastModifiedBy>
  <cp:revision>2</cp:revision>
  <dcterms:created xsi:type="dcterms:W3CDTF">2016-09-30T14:35:00Z</dcterms:created>
  <dcterms:modified xsi:type="dcterms:W3CDTF">2016-09-30T14:35:00Z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1865000436</vt:i4>
  </property>
  <property fmtid="{D5CDD505-2E9C-101B-9397-08002B2CF9AE}" pid="3" name="_NewReviewCycle">
    <vt:lpwstr/>
  </property>
  <property fmtid="{D5CDD505-2E9C-101B-9397-08002B2CF9AE}" pid="4" name="_EmailSubject">
    <vt:lpwstr>[MobEnh] Papers for October meetings</vt:lpwstr>
  </property>
  <property fmtid="{D5CDD505-2E9C-101B-9397-08002B2CF9AE}" pid="5" name="_AuthorEmail">
    <vt:lpwstr>hakon.helmers@nokia.com</vt:lpwstr>
  </property>
  <property fmtid="{D5CDD505-2E9C-101B-9397-08002B2CF9AE}" pid="6" name="_AuthorEmailDisplayName">
    <vt:lpwstr>Helmers, Hakon (Nokia - FR)</vt:lpwstr>
  </property>
  <property fmtid="{D5CDD505-2E9C-101B-9397-08002B2CF9AE}" pid="7" name="_ReviewingToolsShownOnce">
    <vt:lpwstr/>
  </property>
</Properties>
</file>