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0CB76" w14:textId="27E44458" w:rsidR="00CD4C7B" w:rsidRPr="00376B8A"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D33FD9">
        <w:rPr>
          <w:noProof w:val="0"/>
          <w:sz w:val="24"/>
          <w:szCs w:val="24"/>
        </w:rPr>
        <w:t>5</w:t>
      </w:r>
      <w:r w:rsidRPr="00B266B0">
        <w:rPr>
          <w:bCs/>
          <w:noProof w:val="0"/>
          <w:sz w:val="24"/>
          <w:szCs w:val="24"/>
        </w:rPr>
        <w:tab/>
      </w:r>
      <w:bookmarkStart w:id="1" w:name="_GoBack"/>
      <w:r w:rsidR="00A046B2" w:rsidRPr="00A046B2">
        <w:rPr>
          <w:bCs/>
          <w:noProof w:val="0"/>
          <w:sz w:val="24"/>
          <w:szCs w:val="24"/>
        </w:rPr>
        <w:t>R2-165467</w:t>
      </w:r>
      <w:bookmarkEnd w:id="1"/>
    </w:p>
    <w:p w14:paraId="436A50B3" w14:textId="7941EF43" w:rsidR="00CD4C7B" w:rsidRPr="00B266B0" w:rsidRDefault="00D33FD9" w:rsidP="00CD4C7B">
      <w:pPr>
        <w:pStyle w:val="Header"/>
        <w:tabs>
          <w:tab w:val="right" w:pos="9639"/>
        </w:tabs>
        <w:rPr>
          <w:bCs/>
          <w:noProof w:val="0"/>
          <w:sz w:val="24"/>
          <w:szCs w:val="24"/>
        </w:rPr>
      </w:pPr>
      <w:r>
        <w:rPr>
          <w:rFonts w:eastAsia="SimSun"/>
          <w:noProof w:val="0"/>
          <w:sz w:val="24"/>
          <w:szCs w:val="24"/>
          <w:lang w:eastAsia="zh-CN"/>
        </w:rPr>
        <w:t>Gothenburg, Sweden</w:t>
      </w:r>
      <w:r w:rsidRPr="009B07CD">
        <w:rPr>
          <w:rFonts w:eastAsia="SimSun"/>
          <w:noProof w:val="0"/>
          <w:sz w:val="24"/>
          <w:szCs w:val="24"/>
          <w:lang w:eastAsia="zh-CN"/>
        </w:rPr>
        <w:t xml:space="preserve">, </w:t>
      </w:r>
      <w:r>
        <w:rPr>
          <w:rFonts w:eastAsia="SimSun"/>
          <w:noProof w:val="0"/>
          <w:sz w:val="24"/>
          <w:szCs w:val="24"/>
          <w:lang w:eastAsia="zh-CN"/>
        </w:rPr>
        <w:t>22</w:t>
      </w:r>
      <w:r w:rsidRPr="009B07CD">
        <w:rPr>
          <w:rFonts w:eastAsia="SimSun"/>
          <w:noProof w:val="0"/>
          <w:sz w:val="24"/>
          <w:szCs w:val="24"/>
          <w:lang w:eastAsia="zh-CN"/>
        </w:rPr>
        <w:t xml:space="preserve"> - </w:t>
      </w:r>
      <w:r>
        <w:rPr>
          <w:rFonts w:eastAsia="SimSun"/>
          <w:noProof w:val="0"/>
          <w:sz w:val="24"/>
          <w:szCs w:val="24"/>
          <w:lang w:eastAsia="zh-CN"/>
        </w:rPr>
        <w:t>26</w:t>
      </w:r>
      <w:r w:rsidRPr="009B07CD">
        <w:rPr>
          <w:rFonts w:eastAsia="SimSun"/>
          <w:noProof w:val="0"/>
          <w:sz w:val="24"/>
          <w:szCs w:val="24"/>
          <w:lang w:eastAsia="zh-CN"/>
        </w:rPr>
        <w:t xml:space="preserve"> </w:t>
      </w:r>
      <w:r>
        <w:rPr>
          <w:rFonts w:eastAsia="SimSun"/>
          <w:noProof w:val="0"/>
          <w:sz w:val="24"/>
          <w:szCs w:val="24"/>
          <w:lang w:eastAsia="zh-CN"/>
        </w:rPr>
        <w:t xml:space="preserve">August </w:t>
      </w:r>
      <w:r w:rsidRPr="009B07CD">
        <w:rPr>
          <w:rFonts w:eastAsia="SimSun"/>
          <w:noProof w:val="0"/>
          <w:sz w:val="24"/>
          <w:szCs w:val="24"/>
          <w:lang w:eastAsia="zh-CN"/>
        </w:rPr>
        <w:t>2016</w:t>
      </w:r>
    </w:p>
    <w:p w14:paraId="60A6ACE8" w14:textId="77777777" w:rsidR="00CD4C7B" w:rsidRPr="00B266B0" w:rsidRDefault="00CD4C7B" w:rsidP="00CD4C7B">
      <w:pPr>
        <w:pStyle w:val="Header"/>
        <w:rPr>
          <w:bCs/>
          <w:noProof w:val="0"/>
          <w:sz w:val="24"/>
        </w:rPr>
      </w:pPr>
    </w:p>
    <w:p w14:paraId="75441DDD" w14:textId="77777777" w:rsidR="00CD4C7B" w:rsidRPr="00B266B0" w:rsidRDefault="00CD4C7B" w:rsidP="00CD4C7B">
      <w:pPr>
        <w:pStyle w:val="Header"/>
        <w:rPr>
          <w:bCs/>
          <w:noProof w:val="0"/>
          <w:sz w:val="24"/>
        </w:rPr>
      </w:pPr>
    </w:p>
    <w:p w14:paraId="513AA277" w14:textId="20020E2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C73DB">
        <w:rPr>
          <w:rFonts w:cs="Arial"/>
          <w:b/>
          <w:bCs/>
          <w:sz w:val="24"/>
          <w:lang w:eastAsia="ja-JP"/>
        </w:rPr>
        <w:t>8</w:t>
      </w:r>
      <w:r w:rsidR="002747EC">
        <w:rPr>
          <w:rFonts w:cs="Arial"/>
          <w:b/>
          <w:bCs/>
          <w:sz w:val="24"/>
          <w:lang w:eastAsia="ja-JP"/>
        </w:rPr>
        <w:t>.</w:t>
      </w:r>
      <w:r w:rsidR="00C233D0">
        <w:rPr>
          <w:rFonts w:cs="Arial"/>
          <w:b/>
          <w:bCs/>
          <w:sz w:val="24"/>
          <w:lang w:eastAsia="ja-JP"/>
        </w:rPr>
        <w:t>10</w:t>
      </w:r>
      <w:r w:rsidR="002747EC">
        <w:rPr>
          <w:rFonts w:cs="Arial"/>
          <w:b/>
          <w:bCs/>
          <w:sz w:val="24"/>
          <w:lang w:eastAsia="ja-JP"/>
        </w:rPr>
        <w:t>.</w:t>
      </w:r>
      <w:r w:rsidR="00A046B2">
        <w:rPr>
          <w:rFonts w:cs="Arial"/>
          <w:b/>
          <w:bCs/>
          <w:sz w:val="24"/>
          <w:lang w:eastAsia="ja-JP"/>
        </w:rPr>
        <w:t>5</w:t>
      </w:r>
    </w:p>
    <w:p w14:paraId="5177A0B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55EA057" w14:textId="0C651A4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7FCD">
        <w:rPr>
          <w:rFonts w:ascii="Arial" w:hAnsi="Arial" w:cs="Arial"/>
          <w:b/>
          <w:bCs/>
          <w:sz w:val="24"/>
        </w:rPr>
        <w:t xml:space="preserve">Shared MBMS Network and </w:t>
      </w:r>
      <w:r w:rsidR="00905BC6">
        <w:rPr>
          <w:rFonts w:ascii="Arial" w:hAnsi="Arial" w:cs="Arial"/>
          <w:b/>
          <w:bCs/>
          <w:sz w:val="24"/>
        </w:rPr>
        <w:t>Receive Only Mode considerations based on SA2 LSs</w:t>
      </w:r>
    </w:p>
    <w:p w14:paraId="4A3A2B75" w14:textId="77777777" w:rsidR="00CD4C7B" w:rsidRPr="00B266B0" w:rsidRDefault="00EC73DB" w:rsidP="00CD4C7B">
      <w:pPr>
        <w:ind w:left="1985" w:hanging="1985"/>
        <w:rPr>
          <w:rFonts w:ascii="Arial" w:hAnsi="Arial" w:cs="Arial"/>
          <w:b/>
          <w:bCs/>
          <w:sz w:val="24"/>
        </w:rPr>
      </w:pPr>
      <w:r>
        <w:rPr>
          <w:rFonts w:ascii="Arial" w:hAnsi="Arial" w:cs="Arial"/>
          <w:b/>
          <w:bCs/>
          <w:sz w:val="24"/>
        </w:rPr>
        <w:t>WID</w:t>
      </w:r>
      <w:r w:rsidR="00CD4C7B">
        <w:rPr>
          <w:rFonts w:ascii="Arial" w:hAnsi="Arial" w:cs="Arial"/>
          <w:b/>
          <w:bCs/>
          <w:sz w:val="24"/>
        </w:rPr>
        <w:t>:</w:t>
      </w:r>
      <w:r w:rsidR="00CD4C7B">
        <w:rPr>
          <w:rFonts w:ascii="Arial" w:hAnsi="Arial" w:cs="Arial"/>
          <w:b/>
          <w:bCs/>
          <w:sz w:val="24"/>
        </w:rPr>
        <w:tab/>
      </w:r>
      <w:r w:rsidRPr="00EC73DB">
        <w:rPr>
          <w:rFonts w:ascii="Arial" w:hAnsi="Arial" w:cs="Arial"/>
          <w:b/>
          <w:bCs/>
          <w:sz w:val="24"/>
        </w:rPr>
        <w:t>MBMS_LTE_enh2</w:t>
      </w:r>
      <w:r w:rsidR="00CD4C7B">
        <w:rPr>
          <w:rFonts w:ascii="Arial" w:hAnsi="Arial" w:cs="Arial"/>
          <w:b/>
          <w:bCs/>
          <w:sz w:val="24"/>
        </w:rPr>
        <w:t xml:space="preserve"> </w:t>
      </w:r>
      <w:r w:rsidR="00D80795">
        <w:rPr>
          <w:rFonts w:ascii="Arial" w:hAnsi="Arial" w:cs="Arial"/>
          <w:b/>
          <w:bCs/>
          <w:sz w:val="24"/>
        </w:rPr>
        <w:t>-</w:t>
      </w:r>
      <w:r w:rsidR="00CD4C7B">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14:paraId="34A1F91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4DE2CDE" w14:textId="77777777" w:rsidR="00EC73DB" w:rsidRPr="00B266B0" w:rsidRDefault="00EC73DB" w:rsidP="00CD4C7B">
      <w:pPr>
        <w:tabs>
          <w:tab w:val="left" w:pos="1985"/>
        </w:tabs>
        <w:rPr>
          <w:rFonts w:ascii="Arial" w:hAnsi="Arial" w:cs="Arial"/>
          <w:b/>
          <w:bCs/>
          <w:sz w:val="24"/>
        </w:rPr>
      </w:pPr>
    </w:p>
    <w:p w14:paraId="1A6C12FF" w14:textId="77777777" w:rsidR="00CD4C7B" w:rsidRPr="006E13D1" w:rsidRDefault="009B0503" w:rsidP="00CD4C7B">
      <w:pPr>
        <w:pStyle w:val="Heading1"/>
      </w:pPr>
      <w:r>
        <w:t>1</w:t>
      </w:r>
      <w:r>
        <w:tab/>
      </w:r>
      <w:r w:rsidR="0056573F">
        <w:t>Introduction</w:t>
      </w:r>
    </w:p>
    <w:p w14:paraId="7ABBE3CE" w14:textId="7065F345" w:rsidR="002F7FCD" w:rsidRDefault="00905BC6" w:rsidP="002F7FCD">
      <w:pPr>
        <w:rPr>
          <w:lang w:val="en-US"/>
        </w:rPr>
      </w:pPr>
      <w:r>
        <w:rPr>
          <w:lang w:val="en-US"/>
        </w:rPr>
        <w:t xml:space="preserve">Two LSs were received by RAN2 from SA2 concerning eMBMS Work Item in [1] and [2]. </w:t>
      </w:r>
      <w:r w:rsidR="002F7FCD">
        <w:rPr>
          <w:lang w:val="en-US"/>
        </w:rPr>
        <w:t>SA2 is requesting RAN2 feedback concerning two functionalities they designed to enhance eMBMS framework, i.e.:</w:t>
      </w:r>
    </w:p>
    <w:p w14:paraId="1232A4B7" w14:textId="5D2A6C01" w:rsidR="002F7FCD" w:rsidRDefault="002F7FCD" w:rsidP="002F7FCD">
      <w:pPr>
        <w:pStyle w:val="ListParagraph"/>
        <w:numPr>
          <w:ilvl w:val="0"/>
          <w:numId w:val="20"/>
        </w:numPr>
        <w:rPr>
          <w:lang w:val="en-US"/>
        </w:rPr>
      </w:pPr>
      <w:r>
        <w:rPr>
          <w:lang w:val="en-US"/>
        </w:rPr>
        <w:t>Shared eMBMS functionality aka. Shared eMBMS Network (SEN)</w:t>
      </w:r>
    </w:p>
    <w:p w14:paraId="2CE82416" w14:textId="4E813BE1" w:rsidR="009B0503" w:rsidRDefault="002F7FCD" w:rsidP="002F7FCD">
      <w:pPr>
        <w:pStyle w:val="ListParagraph"/>
        <w:numPr>
          <w:ilvl w:val="0"/>
          <w:numId w:val="20"/>
        </w:numPr>
        <w:overflowPunct w:val="0"/>
        <w:autoSpaceDE w:val="0"/>
        <w:autoSpaceDN w:val="0"/>
        <w:adjustRightInd w:val="0"/>
        <w:spacing w:before="120"/>
        <w:rPr>
          <w:lang w:val="en-US"/>
        </w:rPr>
      </w:pPr>
      <w:r w:rsidRPr="002F7FCD">
        <w:rPr>
          <w:lang w:val="en-US"/>
        </w:rPr>
        <w:t>Receive Only Mode and Receive Only Mode with independent unicast</w:t>
      </w:r>
    </w:p>
    <w:p w14:paraId="07385326" w14:textId="40BBDAEF" w:rsidR="002F7FCD" w:rsidRPr="002F7FCD" w:rsidRDefault="002F7FCD" w:rsidP="002F7FCD">
      <w:pPr>
        <w:overflowPunct w:val="0"/>
        <w:autoSpaceDE w:val="0"/>
        <w:autoSpaceDN w:val="0"/>
        <w:adjustRightInd w:val="0"/>
        <w:spacing w:before="120"/>
        <w:rPr>
          <w:lang w:val="en-US"/>
        </w:rPr>
      </w:pPr>
      <w:r>
        <w:rPr>
          <w:lang w:val="en-US"/>
        </w:rPr>
        <w:t xml:space="preserve">In this paper we analyze those solutions from RAN2 perspective in order to provide background </w:t>
      </w:r>
      <w:r w:rsidR="00251C60">
        <w:rPr>
          <w:lang w:val="en-US"/>
        </w:rPr>
        <w:t>for a reply LS.</w:t>
      </w:r>
    </w:p>
    <w:p w14:paraId="60BD1F01" w14:textId="73599FBF" w:rsidR="00CD4C7B" w:rsidRPr="006E13D1" w:rsidRDefault="009B0503" w:rsidP="009B0503">
      <w:pPr>
        <w:pStyle w:val="Heading1"/>
      </w:pPr>
      <w:r>
        <w:rPr>
          <w:lang w:val="en-US"/>
        </w:rPr>
        <w:t>2</w:t>
      </w:r>
      <w:r>
        <w:rPr>
          <w:lang w:val="en-US"/>
        </w:rPr>
        <w:tab/>
      </w:r>
      <w:r w:rsidR="005A3F60">
        <w:t>Shared eMBMS Network</w:t>
      </w:r>
    </w:p>
    <w:p w14:paraId="2EFBDB82" w14:textId="7B4445A7" w:rsidR="00947019" w:rsidRDefault="001306FF" w:rsidP="005A3F60">
      <w:pPr>
        <w:rPr>
          <w:lang w:val="en-US"/>
        </w:rPr>
      </w:pPr>
      <w:r>
        <w:rPr>
          <w:lang w:val="en-US"/>
        </w:rPr>
        <w:t>The first feedback, which is requested from RAN2 concerns Solution 1</w:t>
      </w:r>
      <w:r w:rsidR="009C066B">
        <w:rPr>
          <w:lang w:val="en-US"/>
        </w:rPr>
        <w:t>, which</w:t>
      </w:r>
      <w:r>
        <w:rPr>
          <w:lang w:val="en-US"/>
        </w:rPr>
        <w:t xml:space="preserve"> </w:t>
      </w:r>
      <w:r w:rsidR="009C066B">
        <w:rPr>
          <w:lang w:val="en-US"/>
        </w:rPr>
        <w:t>is described in [3]. The LS asks:</w:t>
      </w:r>
    </w:p>
    <w:p w14:paraId="5088F18E" w14:textId="78547701" w:rsidR="001306FF" w:rsidRDefault="001306FF" w:rsidP="005A3F60">
      <w:pPr>
        <w:rPr>
          <w:i/>
          <w:lang w:val="en-US"/>
        </w:rPr>
      </w:pPr>
      <w:r w:rsidRPr="001306FF">
        <w:rPr>
          <w:i/>
          <w:lang w:val="en-US"/>
        </w:rPr>
        <w:t>“SA2 would like to request feedback from RAN2/RAN3 regarding the feasibility of MBSFN synchronization area spanning within and across PLMNs (Option A) from RAN perspective.”</w:t>
      </w:r>
    </w:p>
    <w:p w14:paraId="5B664C96" w14:textId="055C3A70" w:rsidR="001306FF" w:rsidRDefault="00DD1A4C" w:rsidP="005A3F60">
      <w:pPr>
        <w:rPr>
          <w:lang w:val="en-US"/>
        </w:rPr>
      </w:pPr>
      <w:r>
        <w:rPr>
          <w:lang w:val="en-US"/>
        </w:rPr>
        <w:t>We will not go into architectural consideration</w:t>
      </w:r>
      <w:r w:rsidR="009C066B">
        <w:rPr>
          <w:lang w:val="en-US"/>
        </w:rPr>
        <w:t>s</w:t>
      </w:r>
      <w:r>
        <w:rPr>
          <w:lang w:val="en-US"/>
        </w:rPr>
        <w:t>, which is in RAN3 area of expertise (we provide some thoughts in a related RAN3 contribution in [</w:t>
      </w:r>
      <w:r w:rsidR="00772130">
        <w:rPr>
          <w:lang w:val="en-US"/>
        </w:rPr>
        <w:t>4</w:t>
      </w:r>
      <w:r>
        <w:rPr>
          <w:lang w:val="en-US"/>
        </w:rPr>
        <w:t>]), but rather focus on the meaning of an eNB belonging to a specific MBSFN Synchronization Area and its implications for multi-PLMN MBMS service deployment.</w:t>
      </w:r>
      <w:r w:rsidR="00F10F70">
        <w:rPr>
          <w:lang w:val="en-US"/>
        </w:rPr>
        <w:t xml:space="preserve"> The definition of MBSFN Synchro</w:t>
      </w:r>
      <w:r w:rsidR="00772130">
        <w:rPr>
          <w:lang w:val="en-US"/>
        </w:rPr>
        <w:t>nization Area can be found in TS 36.300 [5</w:t>
      </w:r>
      <w:r w:rsidR="00F10F70">
        <w:rPr>
          <w:lang w:val="en-US"/>
        </w:rPr>
        <w:t>]</w:t>
      </w:r>
      <w:r w:rsidR="00491859">
        <w:rPr>
          <w:lang w:val="en-US"/>
        </w:rPr>
        <w:t xml:space="preserve"> and we paste it below underlining the fragments we find most important</w:t>
      </w:r>
      <w:r w:rsidR="00F10F70">
        <w:rPr>
          <w:lang w:val="en-US"/>
        </w:rPr>
        <w:t>:</w:t>
      </w:r>
    </w:p>
    <w:p w14:paraId="67CC18C1" w14:textId="1089021B" w:rsidR="00F10F70" w:rsidRDefault="00F10F70" w:rsidP="00F10F70">
      <w:pPr>
        <w:rPr>
          <w:i/>
          <w:kern w:val="2"/>
        </w:rPr>
      </w:pPr>
      <w:r w:rsidRPr="00F10F70">
        <w:rPr>
          <w:rFonts w:eastAsia="SimSun"/>
          <w:b/>
          <w:i/>
          <w:kern w:val="2"/>
          <w:lang w:eastAsia="zh-CN"/>
        </w:rPr>
        <w:t>“MBSFN</w:t>
      </w:r>
      <w:r w:rsidRPr="00F10F70">
        <w:rPr>
          <w:b/>
          <w:i/>
          <w:kern w:val="2"/>
        </w:rPr>
        <w:t xml:space="preserve"> Synchronization Area</w:t>
      </w:r>
      <w:r w:rsidRPr="00F10F70">
        <w:rPr>
          <w:i/>
          <w:kern w:val="2"/>
        </w:rPr>
        <w:t xml:space="preserve">: </w:t>
      </w:r>
      <w:r w:rsidRPr="00F10F70">
        <w:rPr>
          <w:i/>
          <w:kern w:val="2"/>
          <w:lang w:eastAsia="ja-JP"/>
        </w:rPr>
        <w:t xml:space="preserve">an </w:t>
      </w:r>
      <w:r w:rsidRPr="00F10F70">
        <w:rPr>
          <w:i/>
          <w:kern w:val="2"/>
        </w:rPr>
        <w:t xml:space="preserve">area of the network where </w:t>
      </w:r>
      <w:r w:rsidRPr="00F10F70">
        <w:rPr>
          <w:i/>
          <w:kern w:val="2"/>
          <w:u w:val="single"/>
        </w:rPr>
        <w:t>all eNodeBs can be synchronized</w:t>
      </w:r>
      <w:r w:rsidRPr="00F10F70">
        <w:rPr>
          <w:i/>
          <w:kern w:val="2"/>
        </w:rPr>
        <w:t xml:space="preserve"> and perform MBSFN transmissions. MB</w:t>
      </w:r>
      <w:r w:rsidRPr="00F10F70">
        <w:rPr>
          <w:i/>
          <w:kern w:val="2"/>
          <w:lang w:eastAsia="zh-CN"/>
        </w:rPr>
        <w:t xml:space="preserve">SFN Synchronization Areas are capable of supporting one or more MBSFN Areas. On a given frequency layer, a </w:t>
      </w:r>
      <w:r w:rsidRPr="00F10F70">
        <w:rPr>
          <w:i/>
          <w:kern w:val="2"/>
          <w:u w:val="single"/>
          <w:lang w:eastAsia="zh-CN"/>
        </w:rPr>
        <w:t>eNodeB can only belong to one MBSFN Synchronization Area</w:t>
      </w:r>
      <w:r w:rsidRPr="00F10F70">
        <w:rPr>
          <w:i/>
          <w:kern w:val="2"/>
          <w:lang w:eastAsia="zh-CN"/>
        </w:rPr>
        <w:t>. MB</w:t>
      </w:r>
      <w:r w:rsidRPr="00F10F70">
        <w:rPr>
          <w:i/>
          <w:kern w:val="2"/>
        </w:rPr>
        <w:t>SFN Synchronization Areas are independent from the definition of MBMS Service Areas”</w:t>
      </w:r>
    </w:p>
    <w:p w14:paraId="07BE3B12" w14:textId="03E55925" w:rsidR="001E455D" w:rsidRDefault="001E455D" w:rsidP="00F10F70">
      <w:pPr>
        <w:rPr>
          <w:kern w:val="2"/>
          <w:lang w:eastAsia="zh-CN"/>
        </w:rPr>
      </w:pPr>
      <w:r>
        <w:rPr>
          <w:kern w:val="2"/>
          <w:lang w:eastAsia="zh-CN"/>
        </w:rPr>
        <w:t>First of all eNBs, which contribute to a single MBSFN transmission need to be synchronized with each other. Technically there is nothing that prevents eNBs belonging to different PLMNs to be synchronized. In the real deployments it would most probably require an arrangement between the operators to e.g. use a common synchronizati</w:t>
      </w:r>
      <w:r w:rsidR="00F060B4">
        <w:rPr>
          <w:kern w:val="2"/>
          <w:lang w:eastAsia="zh-CN"/>
        </w:rPr>
        <w:t>on source, but such details are out of scope of 3GPP.</w:t>
      </w:r>
    </w:p>
    <w:p w14:paraId="0A7106F1" w14:textId="665A8D4B" w:rsidR="000E4028" w:rsidRDefault="000E4028" w:rsidP="00F10F70">
      <w:pPr>
        <w:rPr>
          <w:kern w:val="2"/>
          <w:lang w:eastAsia="zh-CN"/>
        </w:rPr>
      </w:pPr>
      <w:r>
        <w:rPr>
          <w:kern w:val="2"/>
          <w:lang w:eastAsia="zh-CN"/>
        </w:rPr>
        <w:t xml:space="preserve">Another point we underlined is that eNB may belong to only one MBSFN Synchronization Area at a time. This would again require pre-arrangement between operators operating particular PLMNs to agree on a single </w:t>
      </w:r>
      <w:r w:rsidRPr="000E4028">
        <w:rPr>
          <w:i/>
          <w:kern w:val="2"/>
          <w:lang w:eastAsia="zh-CN"/>
        </w:rPr>
        <w:t>MBSFN Synchronisation Area Id</w:t>
      </w:r>
      <w:r>
        <w:rPr>
          <w:kern w:val="2"/>
          <w:lang w:eastAsia="zh-CN"/>
        </w:rPr>
        <w:t xml:space="preserve"> to be used for their eNBs configuration, but there are no </w:t>
      </w:r>
      <w:r w:rsidR="00F81B95">
        <w:rPr>
          <w:kern w:val="2"/>
          <w:lang w:eastAsia="zh-CN"/>
        </w:rPr>
        <w:t>technical impediments to do so.</w:t>
      </w:r>
    </w:p>
    <w:p w14:paraId="513CF749" w14:textId="7DF2385F" w:rsidR="00381AAB" w:rsidRPr="00381AAB" w:rsidRDefault="00381AAB" w:rsidP="00F10F70">
      <w:pPr>
        <w:rPr>
          <w:b/>
          <w:kern w:val="2"/>
          <w:lang w:eastAsia="zh-CN"/>
        </w:rPr>
      </w:pPr>
      <w:r>
        <w:rPr>
          <w:b/>
          <w:kern w:val="2"/>
          <w:lang w:eastAsia="zh-CN"/>
        </w:rPr>
        <w:t xml:space="preserve">Observation 1: From RAN2 perspective </w:t>
      </w:r>
      <w:r w:rsidRPr="00381AAB">
        <w:rPr>
          <w:b/>
          <w:kern w:val="2"/>
          <w:lang w:eastAsia="zh-CN"/>
        </w:rPr>
        <w:t>MBSFN synchronization area spanning within and across PLMNs</w:t>
      </w:r>
      <w:r>
        <w:rPr>
          <w:b/>
          <w:kern w:val="2"/>
          <w:lang w:eastAsia="zh-CN"/>
        </w:rPr>
        <w:t xml:space="preserve"> is feasible.</w:t>
      </w:r>
    </w:p>
    <w:p w14:paraId="7930F620" w14:textId="7BDDD111" w:rsidR="00CD4C7B" w:rsidRPr="002A4D96" w:rsidRDefault="00896318" w:rsidP="00CD4C7B">
      <w:pPr>
        <w:pStyle w:val="Heading1"/>
        <w:rPr>
          <w:lang w:val="en-US"/>
        </w:rPr>
      </w:pPr>
      <w:r>
        <w:rPr>
          <w:lang w:val="en-US"/>
        </w:rPr>
        <w:lastRenderedPageBreak/>
        <w:t>3</w:t>
      </w:r>
      <w:r w:rsidR="00CD4C7B" w:rsidRPr="002A4D96">
        <w:rPr>
          <w:lang w:val="en-US"/>
        </w:rPr>
        <w:tab/>
      </w:r>
      <w:r w:rsidR="005A3F60">
        <w:rPr>
          <w:lang w:val="en-US"/>
        </w:rPr>
        <w:t>Receive Only Mode</w:t>
      </w:r>
    </w:p>
    <w:p w14:paraId="665F28DA" w14:textId="55D140D1" w:rsidR="002A4D96" w:rsidRDefault="00643899" w:rsidP="00CD4C7B">
      <w:pPr>
        <w:rPr>
          <w:lang w:val="en-US"/>
        </w:rPr>
      </w:pPr>
      <w:r>
        <w:rPr>
          <w:lang w:val="en-US"/>
        </w:rPr>
        <w:t>In their first LS SA2 mentioned some prerequisites, which have to be met for the Receive Only Mode and Receive Only Mode with independent unicast to work:</w:t>
      </w:r>
    </w:p>
    <w:p w14:paraId="7FCD02B2" w14:textId="4CE1325A" w:rsidR="00643899" w:rsidRDefault="00643899" w:rsidP="00CD4C7B">
      <w:r>
        <w:rPr>
          <w:i/>
        </w:rPr>
        <w:t>“</w:t>
      </w:r>
      <w:r w:rsidRPr="00643899">
        <w:rPr>
          <w:i/>
        </w:rPr>
        <w:t>For these to be feasible, the UE should be able to discover, select, and obtain the necessary system information, including the support for above modes, from the eMBMS cell without any signalling over unicast cells. In addition, a mechanism to prohibit legacy UEs trying to acquire and camping on this cell should be supported.</w:t>
      </w:r>
      <w:r>
        <w:rPr>
          <w:i/>
        </w:rPr>
        <w:t>”</w:t>
      </w:r>
    </w:p>
    <w:p w14:paraId="765584A7" w14:textId="15E14B64" w:rsidR="00643899" w:rsidRDefault="00643899" w:rsidP="00CD4C7B">
      <w:r>
        <w:t xml:space="preserve">In their second LS they put additional pressure on the concern they have about the </w:t>
      </w:r>
      <w:r w:rsidRPr="00643899">
        <w:rPr>
          <w:i/>
        </w:rPr>
        <w:t>“impact on the UE radio performance and other issues”</w:t>
      </w:r>
      <w:r>
        <w:t xml:space="preserve"> of requiring </w:t>
      </w:r>
      <w:r w:rsidRPr="00643899">
        <w:rPr>
          <w:i/>
        </w:rPr>
        <w:t>“Receive Only Mode UE to read the broadcast channel to verify if the broadcast TMGI matches the pre-configured one”</w:t>
      </w:r>
      <w:r>
        <w:t>.</w:t>
      </w:r>
    </w:p>
    <w:p w14:paraId="580100C7" w14:textId="2078D381" w:rsidR="001A7CC2" w:rsidRPr="00643899" w:rsidRDefault="003B45D0" w:rsidP="001A7CC2">
      <w:r>
        <w:t>What has to be noted before exploring the topic further is that eMBMS service is in fact “receive only” from RAN perspective already. It is already supported for UEs in RRC IDLE mode and all the information req</w:t>
      </w:r>
      <w:r w:rsidR="009C066B">
        <w:t xml:space="preserve">uired to receive it are </w:t>
      </w:r>
      <w:r>
        <w:t xml:space="preserve">broadcasted inside System Information and broadcast control channels (MCCH). </w:t>
      </w:r>
      <w:r w:rsidR="001A7CC2">
        <w:t xml:space="preserve">The only procedures requiring unicast communications with the network from RAN perspective are MBMS Interest Indication and Counting Procedure, but these are not required for </w:t>
      </w:r>
      <w:r w:rsidR="00287C63">
        <w:t xml:space="preserve">reception of </w:t>
      </w:r>
      <w:r w:rsidR="001A7CC2">
        <w:t>the MBMS service.</w:t>
      </w:r>
    </w:p>
    <w:p w14:paraId="2C0E2845" w14:textId="78E2663B" w:rsidR="009E07C1" w:rsidRDefault="001A7CC2" w:rsidP="00C71F1E">
      <w:r>
        <w:t>Therefore, t</w:t>
      </w:r>
      <w:r w:rsidR="00400BEA">
        <w:t>he requirements to connect to the network can be only imposed by higher layers, e.g. to perform authentication procedure (</w:t>
      </w:r>
      <w:r>
        <w:t xml:space="preserve">but </w:t>
      </w:r>
      <w:r w:rsidR="00400BEA">
        <w:t>as we indicated in our paper</w:t>
      </w:r>
      <w:r w:rsidR="00772130">
        <w:t xml:space="preserve"> to the previous meeting (see [6</w:t>
      </w:r>
      <w:r w:rsidR="00400BEA">
        <w:t>]) this procedure is RAN transparent).</w:t>
      </w:r>
      <w:r w:rsidR="009E07C1">
        <w:t xml:space="preserve"> We </w:t>
      </w:r>
      <w:r>
        <w:t xml:space="preserve">also </w:t>
      </w:r>
      <w:r w:rsidR="009E07C1">
        <w:t>understand that Receive Only Mode UEs wi</w:t>
      </w:r>
      <w:r>
        <w:t>ll be pre-authenticated and</w:t>
      </w:r>
      <w:r w:rsidR="009E07C1">
        <w:t xml:space="preserve"> be pre-configured with all the information required for them </w:t>
      </w:r>
      <w:r w:rsidR="00C71F1E">
        <w:t>to receive the eMBM</w:t>
      </w:r>
      <w:r w:rsidR="00772130">
        <w:t>S service, which according to [7</w:t>
      </w:r>
      <w:r w:rsidR="00C71F1E">
        <w:t xml:space="preserve">] will be PLMN ID(s) that provide the eMBMS service, TMGI(s), RAN specific information. This information is sufficient </w:t>
      </w:r>
      <w:r w:rsidR="0093336A">
        <w:t>for the UE</w:t>
      </w:r>
      <w:r w:rsidR="009C066B">
        <w:t>s</w:t>
      </w:r>
      <w:r w:rsidR="0093336A">
        <w:t xml:space="preserve"> to follow the exactly sa</w:t>
      </w:r>
      <w:r w:rsidR="009C066B">
        <w:t>me procedures as</w:t>
      </w:r>
      <w:r w:rsidR="0093336A">
        <w:t xml:space="preserve"> </w:t>
      </w:r>
      <w:r w:rsidR="0014726F">
        <w:t xml:space="preserve">legacy eMBMS UEs, i.e. </w:t>
      </w:r>
      <w:r w:rsidR="009C066B">
        <w:t>they</w:t>
      </w:r>
      <w:r w:rsidR="0014726F">
        <w:t xml:space="preserve"> can </w:t>
      </w:r>
      <w:r w:rsidR="0046687A">
        <w:t>combine it with the information signalled in</w:t>
      </w:r>
      <w:r w:rsidR="0014726F">
        <w:t xml:space="preserve"> SIB15</w:t>
      </w:r>
      <w:r w:rsidR="0046687A">
        <w:t xml:space="preserve"> and SIB13 to</w:t>
      </w:r>
      <w:r w:rsidR="00D1658E">
        <w:t xml:space="preserve"> choose the proper frequency</w:t>
      </w:r>
      <w:r w:rsidR="0046687A">
        <w:t xml:space="preserve"> </w:t>
      </w:r>
      <w:r w:rsidR="00D1658E">
        <w:t xml:space="preserve">and </w:t>
      </w:r>
      <w:r w:rsidR="00772130">
        <w:t>receive the service of their</w:t>
      </w:r>
      <w:r w:rsidR="0046687A">
        <w:t xml:space="preserve"> interest. We assume that Receive Only Mode UE will be pre-configured with the information (TMGIs) only of the services, which can be received by such UEs and do not see any need for additional “Receive Only Mode support” indication</w:t>
      </w:r>
      <w:r w:rsidR="00DC2A5C">
        <w:t xml:space="preserve"> from the network</w:t>
      </w:r>
      <w:r w:rsidR="0046687A">
        <w:t xml:space="preserve">. </w:t>
      </w:r>
      <w:r w:rsidR="00DC2A5C">
        <w:t xml:space="preserve">Receive Only Mode UEs will have to perform the same procedures as any other MBMS UE and if these procedures are found inefficient, then this is a broader issue. </w:t>
      </w:r>
    </w:p>
    <w:p w14:paraId="402F0C59" w14:textId="5656CF42" w:rsidR="00D1658E" w:rsidRDefault="00D1658E" w:rsidP="00C71F1E">
      <w:pPr>
        <w:rPr>
          <w:b/>
        </w:rPr>
      </w:pPr>
      <w:r>
        <w:rPr>
          <w:b/>
        </w:rPr>
        <w:t xml:space="preserve">Observation 2: Receive Only Mode UEs can reuse the same procedures as legacy eMBMS UEs and there are no additional inefficiencies compared to legacy UEs behaviour from RAN perspective. </w:t>
      </w:r>
      <w:r w:rsidR="00CC452D">
        <w:rPr>
          <w:b/>
        </w:rPr>
        <w:t xml:space="preserve">There is no need </w:t>
      </w:r>
      <w:r w:rsidR="00C12849">
        <w:rPr>
          <w:b/>
        </w:rPr>
        <w:t xml:space="preserve">for </w:t>
      </w:r>
      <w:r w:rsidR="00CC452D">
        <w:rPr>
          <w:b/>
        </w:rPr>
        <w:t>additional indication from RAN about Receive Only Mode support.</w:t>
      </w:r>
    </w:p>
    <w:p w14:paraId="61872461" w14:textId="548D16AD" w:rsidR="00826567" w:rsidRDefault="001A48A8" w:rsidP="00C71F1E">
      <w:r>
        <w:t xml:space="preserve">Another </w:t>
      </w:r>
      <w:r w:rsidRPr="001A48A8">
        <w:t>issue, which</w:t>
      </w:r>
      <w:r>
        <w:t xml:space="preserve"> is mentioned in the LS is that </w:t>
      </w:r>
      <w:r>
        <w:rPr>
          <w:i/>
        </w:rPr>
        <w:t>“</w:t>
      </w:r>
      <w:r w:rsidRPr="00643899">
        <w:rPr>
          <w:i/>
        </w:rPr>
        <w:t>a mechanism to prohibit legacy UEs trying to acquire and camping on this cell should be supported.</w:t>
      </w:r>
      <w:r>
        <w:rPr>
          <w:i/>
        </w:rPr>
        <w:t>”</w:t>
      </w:r>
      <w:r w:rsidR="003204C1">
        <w:t xml:space="preserve"> First of all</w:t>
      </w:r>
      <w:r w:rsidR="009C066B">
        <w:t>,</w:t>
      </w:r>
      <w:r w:rsidR="003204C1">
        <w:t xml:space="preserve"> in our opinion there is no problem of supporting Receive Only Mode on legacy MBMS carriers from RAN perspective, since</w:t>
      </w:r>
      <w:r w:rsidR="009C066B">
        <w:t xml:space="preserve"> as mentioned above</w:t>
      </w:r>
      <w:r w:rsidR="003204C1">
        <w:t xml:space="preserve"> the UEs can follow </w:t>
      </w:r>
      <w:r w:rsidR="009C066B">
        <w:t xml:space="preserve">legacy </w:t>
      </w:r>
      <w:r w:rsidR="003204C1">
        <w:t xml:space="preserve">procedures and it is only the matter of proper configuration of UEs and network. In consequence we think that for Receive Only Mode itself, there is no need to prohibit </w:t>
      </w:r>
      <w:r w:rsidR="009C066B">
        <w:t xml:space="preserve">legacy UEs from camping on </w:t>
      </w:r>
      <w:r w:rsidR="003204C1">
        <w:t>a cell</w:t>
      </w:r>
      <w:r w:rsidR="009C066B">
        <w:t xml:space="preserve"> delivering such service</w:t>
      </w:r>
      <w:r w:rsidR="003204C1">
        <w:t xml:space="preserve">. However it seems that SA2 is assuming that Receive Only Mode will be supported solely on dedicated/standalone MBMS carriers, where in our opinion such mechanism </w:t>
      </w:r>
      <w:r w:rsidR="00A26CD6">
        <w:t>is</w:t>
      </w:r>
      <w:r w:rsidR="003204C1">
        <w:t xml:space="preserve"> needed as we analyse in [</w:t>
      </w:r>
      <w:r w:rsidR="00772130">
        <w:t>8</w:t>
      </w:r>
      <w:r w:rsidR="003204C1">
        <w:t>].</w:t>
      </w:r>
      <w:r w:rsidR="00536257">
        <w:t xml:space="preserve"> But once again, this is not caused by Receive Only Mode support, but fo</w:t>
      </w:r>
      <w:r w:rsidR="009C066B">
        <w:t>r other reasons described in that</w:t>
      </w:r>
      <w:r w:rsidR="00536257">
        <w:t xml:space="preserve"> paper.</w:t>
      </w:r>
    </w:p>
    <w:p w14:paraId="6BAF1D84" w14:textId="1A089670" w:rsidR="006E55F1" w:rsidRPr="003204C1" w:rsidRDefault="00536257" w:rsidP="00CD4C7B">
      <w:r>
        <w:rPr>
          <w:b/>
        </w:rPr>
        <w:t>Observation 3: There is no need to prohibit legacy UEs from camping on a cell providing Receive Only Mode MBMS service. It may be required to prohibit legacy UEs from camping on further enhanced MBMS carrier for other reasons, which is under RAN2 study.</w:t>
      </w:r>
    </w:p>
    <w:p w14:paraId="380C477E" w14:textId="1F289501" w:rsidR="002A4D96" w:rsidRPr="009B0503" w:rsidRDefault="00896318" w:rsidP="002A4D96">
      <w:pPr>
        <w:pStyle w:val="Heading1"/>
        <w:rPr>
          <w:lang w:val="en-US"/>
        </w:rPr>
      </w:pPr>
      <w:r>
        <w:rPr>
          <w:lang w:val="en-US"/>
        </w:rPr>
        <w:t>4</w:t>
      </w:r>
      <w:r w:rsidR="002A4D96" w:rsidRPr="009B0503">
        <w:rPr>
          <w:lang w:val="en-US"/>
        </w:rPr>
        <w:tab/>
        <w:t>Summary</w:t>
      </w:r>
    </w:p>
    <w:p w14:paraId="04E27B03" w14:textId="7B57323C" w:rsidR="002A4D96" w:rsidRDefault="00751108" w:rsidP="00640A55">
      <w:pPr>
        <w:rPr>
          <w:lang w:val="en-US"/>
        </w:rPr>
      </w:pPr>
      <w:r>
        <w:rPr>
          <w:lang w:val="en-US"/>
        </w:rPr>
        <w:t>In this contribution we analyzed the solutions and questions mentioned in LSs received from SA2 concerning Shared eMBMS Network and Receive Only Mode operation for eMBMS. We observed the following:</w:t>
      </w:r>
    </w:p>
    <w:p w14:paraId="77592250" w14:textId="77777777" w:rsidR="00751108" w:rsidRPr="00381AAB" w:rsidRDefault="00751108" w:rsidP="00751108">
      <w:pPr>
        <w:rPr>
          <w:b/>
          <w:kern w:val="2"/>
          <w:lang w:eastAsia="zh-CN"/>
        </w:rPr>
      </w:pPr>
      <w:r>
        <w:rPr>
          <w:b/>
          <w:kern w:val="2"/>
          <w:lang w:eastAsia="zh-CN"/>
        </w:rPr>
        <w:t xml:space="preserve">Observation 1: From RAN2 perspective </w:t>
      </w:r>
      <w:r w:rsidRPr="00381AAB">
        <w:rPr>
          <w:b/>
          <w:kern w:val="2"/>
          <w:lang w:eastAsia="zh-CN"/>
        </w:rPr>
        <w:t>MBSFN synchronization area spanning within and across PLMNs</w:t>
      </w:r>
      <w:r>
        <w:rPr>
          <w:b/>
          <w:kern w:val="2"/>
          <w:lang w:eastAsia="zh-CN"/>
        </w:rPr>
        <w:t xml:space="preserve"> is feasible.</w:t>
      </w:r>
    </w:p>
    <w:p w14:paraId="4D1439E9" w14:textId="77777777" w:rsidR="00751108" w:rsidRDefault="00751108" w:rsidP="00751108">
      <w:pPr>
        <w:rPr>
          <w:b/>
        </w:rPr>
      </w:pPr>
      <w:r>
        <w:rPr>
          <w:b/>
        </w:rPr>
        <w:t>Observation 2: Receive Only Mode UEs can reuse the same procedures as legacy eMBMS UEs and there are no additional inefficiencies compared to legacy UEs behaviour from RAN perspective. There is no need of additional indication from RAN about Receive Only Mode support.</w:t>
      </w:r>
    </w:p>
    <w:p w14:paraId="0BCF6400" w14:textId="77777777" w:rsidR="00751108" w:rsidRPr="003204C1" w:rsidRDefault="00751108" w:rsidP="00751108">
      <w:r>
        <w:rPr>
          <w:b/>
        </w:rPr>
        <w:lastRenderedPageBreak/>
        <w:t>Observation 3: There is no need to prohibit legacy UEs from camping on a cell providing Receive Only Mode MBMS service. It may be required to prohibit legacy UEs from camping on further enhanced MBMS carrier for other reasons, which is under RAN2 study.</w:t>
      </w:r>
    </w:p>
    <w:p w14:paraId="7F95C228" w14:textId="44C810E0" w:rsidR="006E55F1" w:rsidRPr="009B0503" w:rsidRDefault="00751108" w:rsidP="00CD4C7B">
      <w:pPr>
        <w:rPr>
          <w:lang w:val="en-US"/>
        </w:rPr>
      </w:pPr>
      <w:r>
        <w:rPr>
          <w:lang w:val="en-US"/>
        </w:rPr>
        <w:t>Based on these observations we propose a reply LS i</w:t>
      </w:r>
      <w:r w:rsidR="006D0FF3">
        <w:rPr>
          <w:lang w:val="en-US"/>
        </w:rPr>
        <w:t>n [9</w:t>
      </w:r>
      <w:r>
        <w:rPr>
          <w:lang w:val="en-US"/>
        </w:rPr>
        <w:t>].</w:t>
      </w:r>
    </w:p>
    <w:p w14:paraId="2F466ED8" w14:textId="77777777" w:rsidR="00CD4C7B" w:rsidRPr="006E13D1" w:rsidRDefault="00CD4C7B" w:rsidP="00CD4C7B">
      <w:pPr>
        <w:pStyle w:val="Heading1"/>
      </w:pPr>
      <w:r w:rsidRPr="006E13D1">
        <w:t>References</w:t>
      </w:r>
    </w:p>
    <w:p w14:paraId="3C17271D" w14:textId="061B96DB" w:rsidR="00CD4C7B" w:rsidRPr="006E13D1" w:rsidRDefault="002F7FCD" w:rsidP="002F7FCD">
      <w:pPr>
        <w:numPr>
          <w:ilvl w:val="0"/>
          <w:numId w:val="4"/>
        </w:numPr>
        <w:overflowPunct w:val="0"/>
        <w:autoSpaceDE w:val="0"/>
        <w:autoSpaceDN w:val="0"/>
        <w:adjustRightInd w:val="0"/>
        <w:textAlignment w:val="baseline"/>
      </w:pPr>
      <w:bookmarkStart w:id="2" w:name="_Ref75086397"/>
      <w:r w:rsidRPr="002F7FCD">
        <w:t xml:space="preserve">R2-164640 </w:t>
      </w:r>
      <w:r>
        <w:t>(</w:t>
      </w:r>
      <w:r w:rsidR="00905BC6" w:rsidRPr="00905BC6">
        <w:t>S2-163212</w:t>
      </w:r>
      <w:r>
        <w:t>)</w:t>
      </w:r>
      <w:r w:rsidR="00CD4C7B" w:rsidRPr="006E13D1">
        <w:t xml:space="preserve">, </w:t>
      </w:r>
      <w:r w:rsidR="00905BC6" w:rsidRPr="00905BC6">
        <w:rPr>
          <w:i/>
        </w:rPr>
        <w:t>LS out on RAN impacts from enTV study of SA WG2</w:t>
      </w:r>
      <w:r w:rsidR="0024319F">
        <w:rPr>
          <w:i/>
        </w:rPr>
        <w:t xml:space="preserve">, </w:t>
      </w:r>
      <w:r w:rsidR="00905BC6" w:rsidRPr="00905BC6">
        <w:t>SA2</w:t>
      </w:r>
    </w:p>
    <w:p w14:paraId="5F446AC9" w14:textId="13D81762" w:rsidR="00080512" w:rsidRDefault="002F7FCD" w:rsidP="002F7FCD">
      <w:pPr>
        <w:numPr>
          <w:ilvl w:val="0"/>
          <w:numId w:val="4"/>
        </w:numPr>
        <w:overflowPunct w:val="0"/>
        <w:autoSpaceDE w:val="0"/>
        <w:autoSpaceDN w:val="0"/>
        <w:adjustRightInd w:val="0"/>
        <w:textAlignment w:val="baseline"/>
      </w:pPr>
      <w:r w:rsidRPr="002F7FCD">
        <w:t xml:space="preserve">R2-164621 </w:t>
      </w:r>
      <w:r>
        <w:t>(</w:t>
      </w:r>
      <w:r w:rsidR="00905BC6" w:rsidRPr="00905BC6">
        <w:t>S2-164141</w:t>
      </w:r>
      <w:r>
        <w:t>)</w:t>
      </w:r>
      <w:r w:rsidR="0024319F">
        <w:t xml:space="preserve">, </w:t>
      </w:r>
      <w:bookmarkEnd w:id="2"/>
      <w:r w:rsidR="00905BC6" w:rsidRPr="00905BC6">
        <w:rPr>
          <w:i/>
        </w:rPr>
        <w:t>LS on RAN impacts from Receive Only Mode UE</w:t>
      </w:r>
      <w:r w:rsidR="00905BC6">
        <w:rPr>
          <w:i/>
        </w:rPr>
        <w:t xml:space="preserve">, </w:t>
      </w:r>
      <w:r w:rsidR="00905BC6">
        <w:t>SA2</w:t>
      </w:r>
    </w:p>
    <w:p w14:paraId="7E94EDA1" w14:textId="4A452C95" w:rsidR="001306FF" w:rsidRDefault="001306FF" w:rsidP="001306FF">
      <w:pPr>
        <w:numPr>
          <w:ilvl w:val="0"/>
          <w:numId w:val="4"/>
        </w:numPr>
        <w:overflowPunct w:val="0"/>
        <w:autoSpaceDE w:val="0"/>
        <w:autoSpaceDN w:val="0"/>
        <w:adjustRightInd w:val="0"/>
        <w:textAlignment w:val="baseline"/>
      </w:pPr>
      <w:r w:rsidRPr="001306FF">
        <w:t>S2-162944</w:t>
      </w:r>
      <w:r>
        <w:t xml:space="preserve">, </w:t>
      </w:r>
      <w:r w:rsidRPr="001306FF">
        <w:rPr>
          <w:i/>
        </w:rPr>
        <w:t>Correction/update to Solution 1, Shared MBMS</w:t>
      </w:r>
      <w:r>
        <w:t xml:space="preserve">, </w:t>
      </w:r>
      <w:r w:rsidRPr="001306FF">
        <w:t>Ericsson, Qualcomm</w:t>
      </w:r>
    </w:p>
    <w:p w14:paraId="1CC51C31" w14:textId="77777777" w:rsidR="00772130" w:rsidRDefault="00772130" w:rsidP="00772130">
      <w:pPr>
        <w:numPr>
          <w:ilvl w:val="0"/>
          <w:numId w:val="4"/>
        </w:numPr>
        <w:overflowPunct w:val="0"/>
        <w:autoSpaceDE w:val="0"/>
        <w:autoSpaceDN w:val="0"/>
        <w:adjustRightInd w:val="0"/>
        <w:textAlignment w:val="baseline"/>
      </w:pPr>
      <w:r w:rsidRPr="00772130">
        <w:t>R3-161657</w:t>
      </w:r>
      <w:r>
        <w:t xml:space="preserve">, </w:t>
      </w:r>
      <w:r w:rsidRPr="00772130">
        <w:rPr>
          <w:i/>
        </w:rPr>
        <w:t>Discussion on RAN3 impacts from enTV study of SA WG2</w:t>
      </w:r>
      <w:r>
        <w:t xml:space="preserve">, </w:t>
      </w:r>
      <w:r w:rsidRPr="00400BEA">
        <w:t>Nokia, Alcatel-Lucent Shanghai Bell</w:t>
      </w:r>
    </w:p>
    <w:p w14:paraId="3E3A9EA6" w14:textId="524214AD" w:rsidR="00772130" w:rsidRDefault="00772130" w:rsidP="001C2A74">
      <w:pPr>
        <w:numPr>
          <w:ilvl w:val="0"/>
          <w:numId w:val="4"/>
        </w:numPr>
        <w:overflowPunct w:val="0"/>
        <w:autoSpaceDE w:val="0"/>
        <w:autoSpaceDN w:val="0"/>
        <w:adjustRightInd w:val="0"/>
        <w:textAlignment w:val="baseline"/>
      </w:pPr>
      <w:r>
        <w:t xml:space="preserve">3GPP TS 36.300, </w:t>
      </w:r>
      <w:r w:rsidRPr="00065637">
        <w:rPr>
          <w:i/>
        </w:rPr>
        <w:t>Evolved Universal Terrestrial Radio Access (E-UTRA) and Evolved Universal Terrestrial Radio Access Network</w:t>
      </w:r>
      <w:r w:rsidR="00065637">
        <w:rPr>
          <w:i/>
        </w:rPr>
        <w:t>;</w:t>
      </w:r>
      <w:r w:rsidR="00065637" w:rsidRPr="00065637">
        <w:t xml:space="preserve"> </w:t>
      </w:r>
      <w:r w:rsidR="00065637" w:rsidRPr="00065637">
        <w:rPr>
          <w:i/>
        </w:rPr>
        <w:t>Overall description;</w:t>
      </w:r>
      <w:r w:rsidR="00065637">
        <w:rPr>
          <w:i/>
        </w:rPr>
        <w:t xml:space="preserve"> </w:t>
      </w:r>
      <w:r w:rsidR="00065637" w:rsidRPr="00065637">
        <w:rPr>
          <w:i/>
        </w:rPr>
        <w:t>Stage 2</w:t>
      </w:r>
    </w:p>
    <w:p w14:paraId="71AD4EE7" w14:textId="6BC09A71" w:rsidR="00400BEA" w:rsidRDefault="00400BEA" w:rsidP="00400BEA">
      <w:pPr>
        <w:numPr>
          <w:ilvl w:val="0"/>
          <w:numId w:val="4"/>
        </w:numPr>
        <w:overflowPunct w:val="0"/>
        <w:autoSpaceDE w:val="0"/>
        <w:autoSpaceDN w:val="0"/>
        <w:adjustRightInd w:val="0"/>
        <w:textAlignment w:val="baseline"/>
      </w:pPr>
      <w:r w:rsidRPr="00400BEA">
        <w:t>R2-163534</w:t>
      </w:r>
      <w:r>
        <w:t xml:space="preserve">, </w:t>
      </w:r>
      <w:r w:rsidRPr="00400BEA">
        <w:rPr>
          <w:i/>
        </w:rPr>
        <w:t>Non-authenticated UEs support</w:t>
      </w:r>
      <w:r>
        <w:t xml:space="preserve">, </w:t>
      </w:r>
      <w:r w:rsidRPr="00400BEA">
        <w:t>Nokia, Alcatel-Lucent Shanghai Bell</w:t>
      </w:r>
    </w:p>
    <w:p w14:paraId="56E1EF6F" w14:textId="6345EE3F" w:rsidR="00031002" w:rsidRPr="003204C1" w:rsidRDefault="00031002" w:rsidP="00031002">
      <w:pPr>
        <w:numPr>
          <w:ilvl w:val="0"/>
          <w:numId w:val="4"/>
        </w:numPr>
        <w:overflowPunct w:val="0"/>
        <w:autoSpaceDE w:val="0"/>
        <w:autoSpaceDN w:val="0"/>
        <w:adjustRightInd w:val="0"/>
        <w:textAlignment w:val="baseline"/>
      </w:pPr>
      <w:r w:rsidRPr="00031002">
        <w:t>3GPP TR 23.746 V0.2.0</w:t>
      </w:r>
      <w:r>
        <w:t xml:space="preserve">, </w:t>
      </w:r>
      <w:r w:rsidRPr="00031002">
        <w:rPr>
          <w:i/>
        </w:rPr>
        <w:t>Study on System Architecture Enhancements to eMBMS for Television Video Service</w:t>
      </w:r>
    </w:p>
    <w:p w14:paraId="55776BF6" w14:textId="122C166F" w:rsidR="003204C1" w:rsidRDefault="00204EBE" w:rsidP="00204EBE">
      <w:pPr>
        <w:numPr>
          <w:ilvl w:val="0"/>
          <w:numId w:val="4"/>
        </w:numPr>
        <w:overflowPunct w:val="0"/>
        <w:autoSpaceDE w:val="0"/>
        <w:autoSpaceDN w:val="0"/>
        <w:adjustRightInd w:val="0"/>
        <w:textAlignment w:val="baseline"/>
      </w:pPr>
      <w:r w:rsidRPr="00204EBE">
        <w:t>R2-165463</w:t>
      </w:r>
      <w:r>
        <w:t xml:space="preserve">, </w:t>
      </w:r>
      <w:r w:rsidRPr="00204EBE">
        <w:rPr>
          <w:i/>
        </w:rPr>
        <w:t>Impact of additional MBSFN sub-frames support</w:t>
      </w:r>
      <w:r>
        <w:rPr>
          <w:i/>
        </w:rPr>
        <w:t xml:space="preserve">, </w:t>
      </w:r>
      <w:r w:rsidRPr="00204EBE">
        <w:t>Nokia, Alcatel-Lucent Shanghai Bell</w:t>
      </w:r>
    </w:p>
    <w:p w14:paraId="43408951" w14:textId="10E6C7DA" w:rsidR="00751108" w:rsidRPr="00CD4C7B" w:rsidRDefault="003B7929" w:rsidP="003B7929">
      <w:pPr>
        <w:numPr>
          <w:ilvl w:val="0"/>
          <w:numId w:val="4"/>
        </w:numPr>
        <w:overflowPunct w:val="0"/>
        <w:autoSpaceDE w:val="0"/>
        <w:autoSpaceDN w:val="0"/>
        <w:adjustRightInd w:val="0"/>
        <w:textAlignment w:val="baseline"/>
      </w:pPr>
      <w:r w:rsidRPr="003B7929">
        <w:t>R2-165469</w:t>
      </w:r>
      <w:r>
        <w:t xml:space="preserve">, </w:t>
      </w:r>
      <w:r w:rsidRPr="003B7929">
        <w:rPr>
          <w:i/>
        </w:rPr>
        <w:t>[DRAFT] Reply LS on RAN impacts of Shared MBMS Network and Receive Only Mode in eMBMS</w:t>
      </w:r>
      <w:r>
        <w:t xml:space="preserve">, </w:t>
      </w:r>
      <w:r w:rsidRPr="003B7929">
        <w:t>Nokia</w:t>
      </w:r>
    </w:p>
    <w:sectPr w:rsidR="00751108" w:rsidRPr="00CD4C7B" w:rsidSect="00FD000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13A9D" w14:textId="77777777" w:rsidR="00164710" w:rsidRDefault="00164710">
      <w:r>
        <w:separator/>
      </w:r>
    </w:p>
  </w:endnote>
  <w:endnote w:type="continuationSeparator" w:id="0">
    <w:p w14:paraId="0813DF8F" w14:textId="77777777" w:rsidR="00164710" w:rsidRDefault="0016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6C273" w14:textId="77777777" w:rsidR="00164710" w:rsidRDefault="00164710">
      <w:r>
        <w:separator/>
      </w:r>
    </w:p>
  </w:footnote>
  <w:footnote w:type="continuationSeparator" w:id="0">
    <w:p w14:paraId="05767442" w14:textId="77777777" w:rsidR="00164710" w:rsidRDefault="00164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A3730"/>
    <w:multiLevelType w:val="hybridMultilevel"/>
    <w:tmpl w:val="C1AA1DA0"/>
    <w:lvl w:ilvl="0" w:tplc="D8EED03C">
      <w:start w:val="1"/>
      <w:numFmt w:val="bullet"/>
      <w:lvlText w:val="•"/>
      <w:lvlJc w:val="left"/>
      <w:pPr>
        <w:tabs>
          <w:tab w:val="num" w:pos="720"/>
        </w:tabs>
        <w:ind w:left="720" w:hanging="360"/>
      </w:pPr>
      <w:rPr>
        <w:rFonts w:ascii="Arial" w:hAnsi="Arial" w:hint="default"/>
      </w:rPr>
    </w:lvl>
    <w:lvl w:ilvl="1" w:tplc="33A6EE2E">
      <w:start w:val="1"/>
      <w:numFmt w:val="bullet"/>
      <w:lvlText w:val="•"/>
      <w:lvlJc w:val="left"/>
      <w:pPr>
        <w:tabs>
          <w:tab w:val="num" w:pos="1440"/>
        </w:tabs>
        <w:ind w:left="1440" w:hanging="360"/>
      </w:pPr>
      <w:rPr>
        <w:rFonts w:ascii="Arial" w:hAnsi="Arial" w:hint="default"/>
      </w:rPr>
    </w:lvl>
    <w:lvl w:ilvl="2" w:tplc="FCE2EC3C" w:tentative="1">
      <w:start w:val="1"/>
      <w:numFmt w:val="bullet"/>
      <w:lvlText w:val="•"/>
      <w:lvlJc w:val="left"/>
      <w:pPr>
        <w:tabs>
          <w:tab w:val="num" w:pos="2160"/>
        </w:tabs>
        <w:ind w:left="2160" w:hanging="360"/>
      </w:pPr>
      <w:rPr>
        <w:rFonts w:ascii="Arial" w:hAnsi="Arial" w:hint="default"/>
      </w:rPr>
    </w:lvl>
    <w:lvl w:ilvl="3" w:tplc="4CB06316" w:tentative="1">
      <w:start w:val="1"/>
      <w:numFmt w:val="bullet"/>
      <w:lvlText w:val="•"/>
      <w:lvlJc w:val="left"/>
      <w:pPr>
        <w:tabs>
          <w:tab w:val="num" w:pos="2880"/>
        </w:tabs>
        <w:ind w:left="2880" w:hanging="360"/>
      </w:pPr>
      <w:rPr>
        <w:rFonts w:ascii="Arial" w:hAnsi="Arial" w:hint="default"/>
      </w:rPr>
    </w:lvl>
    <w:lvl w:ilvl="4" w:tplc="BB54FAD8" w:tentative="1">
      <w:start w:val="1"/>
      <w:numFmt w:val="bullet"/>
      <w:lvlText w:val="•"/>
      <w:lvlJc w:val="left"/>
      <w:pPr>
        <w:tabs>
          <w:tab w:val="num" w:pos="3600"/>
        </w:tabs>
        <w:ind w:left="3600" w:hanging="360"/>
      </w:pPr>
      <w:rPr>
        <w:rFonts w:ascii="Arial" w:hAnsi="Arial" w:hint="default"/>
      </w:rPr>
    </w:lvl>
    <w:lvl w:ilvl="5" w:tplc="CC625582" w:tentative="1">
      <w:start w:val="1"/>
      <w:numFmt w:val="bullet"/>
      <w:lvlText w:val="•"/>
      <w:lvlJc w:val="left"/>
      <w:pPr>
        <w:tabs>
          <w:tab w:val="num" w:pos="4320"/>
        </w:tabs>
        <w:ind w:left="4320" w:hanging="360"/>
      </w:pPr>
      <w:rPr>
        <w:rFonts w:ascii="Arial" w:hAnsi="Arial" w:hint="default"/>
      </w:rPr>
    </w:lvl>
    <w:lvl w:ilvl="6" w:tplc="B3705B6C" w:tentative="1">
      <w:start w:val="1"/>
      <w:numFmt w:val="bullet"/>
      <w:lvlText w:val="•"/>
      <w:lvlJc w:val="left"/>
      <w:pPr>
        <w:tabs>
          <w:tab w:val="num" w:pos="5040"/>
        </w:tabs>
        <w:ind w:left="5040" w:hanging="360"/>
      </w:pPr>
      <w:rPr>
        <w:rFonts w:ascii="Arial" w:hAnsi="Arial" w:hint="default"/>
      </w:rPr>
    </w:lvl>
    <w:lvl w:ilvl="7" w:tplc="9E047232" w:tentative="1">
      <w:start w:val="1"/>
      <w:numFmt w:val="bullet"/>
      <w:lvlText w:val="•"/>
      <w:lvlJc w:val="left"/>
      <w:pPr>
        <w:tabs>
          <w:tab w:val="num" w:pos="5760"/>
        </w:tabs>
        <w:ind w:left="5760" w:hanging="360"/>
      </w:pPr>
      <w:rPr>
        <w:rFonts w:ascii="Arial" w:hAnsi="Arial" w:hint="default"/>
      </w:rPr>
    </w:lvl>
    <w:lvl w:ilvl="8" w:tplc="8CA07B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60B5B"/>
    <w:multiLevelType w:val="hybridMultilevel"/>
    <w:tmpl w:val="CC86E426"/>
    <w:lvl w:ilvl="0" w:tplc="202C85E6">
      <w:start w:val="1"/>
      <w:numFmt w:val="bullet"/>
      <w:lvlText w:val="-"/>
      <w:lvlJc w:val="left"/>
      <w:pPr>
        <w:tabs>
          <w:tab w:val="num" w:pos="720"/>
        </w:tabs>
        <w:ind w:left="720" w:hanging="360"/>
      </w:pPr>
      <w:rPr>
        <w:rFonts w:ascii="Lucida Grande" w:hAnsi="Lucida Grande" w:hint="default"/>
      </w:rPr>
    </w:lvl>
    <w:lvl w:ilvl="1" w:tplc="60C27AD6">
      <w:start w:val="1"/>
      <w:numFmt w:val="bullet"/>
      <w:lvlText w:val="-"/>
      <w:lvlJc w:val="left"/>
      <w:pPr>
        <w:tabs>
          <w:tab w:val="num" w:pos="1440"/>
        </w:tabs>
        <w:ind w:left="1440" w:hanging="360"/>
      </w:pPr>
      <w:rPr>
        <w:rFonts w:ascii="Lucida Grande" w:hAnsi="Lucida Grande" w:hint="default"/>
      </w:rPr>
    </w:lvl>
    <w:lvl w:ilvl="2" w:tplc="C520D694" w:tentative="1">
      <w:start w:val="1"/>
      <w:numFmt w:val="bullet"/>
      <w:lvlText w:val="-"/>
      <w:lvlJc w:val="left"/>
      <w:pPr>
        <w:tabs>
          <w:tab w:val="num" w:pos="2160"/>
        </w:tabs>
        <w:ind w:left="2160" w:hanging="360"/>
      </w:pPr>
      <w:rPr>
        <w:rFonts w:ascii="Lucida Grande" w:hAnsi="Lucida Grande" w:hint="default"/>
      </w:rPr>
    </w:lvl>
    <w:lvl w:ilvl="3" w:tplc="6A8CE950" w:tentative="1">
      <w:start w:val="1"/>
      <w:numFmt w:val="bullet"/>
      <w:lvlText w:val="-"/>
      <w:lvlJc w:val="left"/>
      <w:pPr>
        <w:tabs>
          <w:tab w:val="num" w:pos="2880"/>
        </w:tabs>
        <w:ind w:left="2880" w:hanging="360"/>
      </w:pPr>
      <w:rPr>
        <w:rFonts w:ascii="Lucida Grande" w:hAnsi="Lucida Grande" w:hint="default"/>
      </w:rPr>
    </w:lvl>
    <w:lvl w:ilvl="4" w:tplc="2B1E7A26" w:tentative="1">
      <w:start w:val="1"/>
      <w:numFmt w:val="bullet"/>
      <w:lvlText w:val="-"/>
      <w:lvlJc w:val="left"/>
      <w:pPr>
        <w:tabs>
          <w:tab w:val="num" w:pos="3600"/>
        </w:tabs>
        <w:ind w:left="3600" w:hanging="360"/>
      </w:pPr>
      <w:rPr>
        <w:rFonts w:ascii="Lucida Grande" w:hAnsi="Lucida Grande" w:hint="default"/>
      </w:rPr>
    </w:lvl>
    <w:lvl w:ilvl="5" w:tplc="9AB6D99E" w:tentative="1">
      <w:start w:val="1"/>
      <w:numFmt w:val="bullet"/>
      <w:lvlText w:val="-"/>
      <w:lvlJc w:val="left"/>
      <w:pPr>
        <w:tabs>
          <w:tab w:val="num" w:pos="4320"/>
        </w:tabs>
        <w:ind w:left="4320" w:hanging="360"/>
      </w:pPr>
      <w:rPr>
        <w:rFonts w:ascii="Lucida Grande" w:hAnsi="Lucida Grande" w:hint="default"/>
      </w:rPr>
    </w:lvl>
    <w:lvl w:ilvl="6" w:tplc="06484988" w:tentative="1">
      <w:start w:val="1"/>
      <w:numFmt w:val="bullet"/>
      <w:lvlText w:val="-"/>
      <w:lvlJc w:val="left"/>
      <w:pPr>
        <w:tabs>
          <w:tab w:val="num" w:pos="5040"/>
        </w:tabs>
        <w:ind w:left="5040" w:hanging="360"/>
      </w:pPr>
      <w:rPr>
        <w:rFonts w:ascii="Lucida Grande" w:hAnsi="Lucida Grande" w:hint="default"/>
      </w:rPr>
    </w:lvl>
    <w:lvl w:ilvl="7" w:tplc="38800BE2" w:tentative="1">
      <w:start w:val="1"/>
      <w:numFmt w:val="bullet"/>
      <w:lvlText w:val="-"/>
      <w:lvlJc w:val="left"/>
      <w:pPr>
        <w:tabs>
          <w:tab w:val="num" w:pos="5760"/>
        </w:tabs>
        <w:ind w:left="5760" w:hanging="360"/>
      </w:pPr>
      <w:rPr>
        <w:rFonts w:ascii="Lucida Grande" w:hAnsi="Lucida Grande" w:hint="default"/>
      </w:rPr>
    </w:lvl>
    <w:lvl w:ilvl="8" w:tplc="50CE5AC2"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5494D7E"/>
    <w:multiLevelType w:val="hybridMultilevel"/>
    <w:tmpl w:val="72E67AF0"/>
    <w:lvl w:ilvl="0" w:tplc="41F81DBE">
      <w:start w:val="6"/>
      <w:numFmt w:val="bullet"/>
      <w:lvlText w:val=""/>
      <w:lvlJc w:val="left"/>
      <w:pPr>
        <w:ind w:left="720" w:hanging="360"/>
      </w:pPr>
      <w:rPr>
        <w:rFonts w:ascii="Symbol" w:eastAsia="Times New Roman"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414D9"/>
    <w:multiLevelType w:val="hybridMultilevel"/>
    <w:tmpl w:val="2EBC6E88"/>
    <w:lvl w:ilvl="0" w:tplc="A7DADF9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75FD3"/>
    <w:multiLevelType w:val="hybridMultilevel"/>
    <w:tmpl w:val="3E28F63A"/>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38332B"/>
    <w:multiLevelType w:val="hybridMultilevel"/>
    <w:tmpl w:val="93D864B0"/>
    <w:lvl w:ilvl="0" w:tplc="BE7AD9D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6D40E8"/>
    <w:multiLevelType w:val="hybridMultilevel"/>
    <w:tmpl w:val="86D07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254EF"/>
    <w:multiLevelType w:val="hybridMultilevel"/>
    <w:tmpl w:val="5524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9868B7"/>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921552"/>
    <w:multiLevelType w:val="hybridMultilevel"/>
    <w:tmpl w:val="354891B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9E1E0F"/>
    <w:multiLevelType w:val="hybridMultilevel"/>
    <w:tmpl w:val="F8D49E90"/>
    <w:lvl w:ilvl="0" w:tplc="04090001">
      <w:start w:val="1"/>
      <w:numFmt w:val="bullet"/>
      <w:lvlText w:val=""/>
      <w:lvlJc w:val="left"/>
      <w:pPr>
        <w:ind w:left="720" w:hanging="360"/>
      </w:pPr>
      <w:rPr>
        <w:rFonts w:ascii="Symbol" w:eastAsia="Times New Roman"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9779C8"/>
    <w:multiLevelType w:val="hybridMultilevel"/>
    <w:tmpl w:val="39422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3E6EB4"/>
    <w:multiLevelType w:val="hybridMultilevel"/>
    <w:tmpl w:val="7B6088AA"/>
    <w:lvl w:ilvl="0" w:tplc="44001A54">
      <w:start w:val="1"/>
      <w:numFmt w:val="bullet"/>
      <w:lvlText w:val="•"/>
      <w:lvlJc w:val="left"/>
      <w:pPr>
        <w:tabs>
          <w:tab w:val="num" w:pos="720"/>
        </w:tabs>
        <w:ind w:left="720" w:hanging="360"/>
      </w:pPr>
      <w:rPr>
        <w:rFonts w:ascii="Arial" w:hAnsi="Arial" w:hint="default"/>
      </w:rPr>
    </w:lvl>
    <w:lvl w:ilvl="1" w:tplc="673AA8DE">
      <w:start w:val="1"/>
      <w:numFmt w:val="bullet"/>
      <w:lvlText w:val="•"/>
      <w:lvlJc w:val="left"/>
      <w:pPr>
        <w:tabs>
          <w:tab w:val="num" w:pos="1440"/>
        </w:tabs>
        <w:ind w:left="1440" w:hanging="360"/>
      </w:pPr>
      <w:rPr>
        <w:rFonts w:ascii="Arial" w:hAnsi="Arial" w:hint="default"/>
      </w:rPr>
    </w:lvl>
    <w:lvl w:ilvl="2" w:tplc="FAB8FE36" w:tentative="1">
      <w:start w:val="1"/>
      <w:numFmt w:val="bullet"/>
      <w:lvlText w:val="•"/>
      <w:lvlJc w:val="left"/>
      <w:pPr>
        <w:tabs>
          <w:tab w:val="num" w:pos="2160"/>
        </w:tabs>
        <w:ind w:left="2160" w:hanging="360"/>
      </w:pPr>
      <w:rPr>
        <w:rFonts w:ascii="Arial" w:hAnsi="Arial" w:hint="default"/>
      </w:rPr>
    </w:lvl>
    <w:lvl w:ilvl="3" w:tplc="FCDE66BC" w:tentative="1">
      <w:start w:val="1"/>
      <w:numFmt w:val="bullet"/>
      <w:lvlText w:val="•"/>
      <w:lvlJc w:val="left"/>
      <w:pPr>
        <w:tabs>
          <w:tab w:val="num" w:pos="2880"/>
        </w:tabs>
        <w:ind w:left="2880" w:hanging="360"/>
      </w:pPr>
      <w:rPr>
        <w:rFonts w:ascii="Arial" w:hAnsi="Arial" w:hint="default"/>
      </w:rPr>
    </w:lvl>
    <w:lvl w:ilvl="4" w:tplc="D2D010FC" w:tentative="1">
      <w:start w:val="1"/>
      <w:numFmt w:val="bullet"/>
      <w:lvlText w:val="•"/>
      <w:lvlJc w:val="left"/>
      <w:pPr>
        <w:tabs>
          <w:tab w:val="num" w:pos="3600"/>
        </w:tabs>
        <w:ind w:left="3600" w:hanging="360"/>
      </w:pPr>
      <w:rPr>
        <w:rFonts w:ascii="Arial" w:hAnsi="Arial" w:hint="default"/>
      </w:rPr>
    </w:lvl>
    <w:lvl w:ilvl="5" w:tplc="141CB634" w:tentative="1">
      <w:start w:val="1"/>
      <w:numFmt w:val="bullet"/>
      <w:lvlText w:val="•"/>
      <w:lvlJc w:val="left"/>
      <w:pPr>
        <w:tabs>
          <w:tab w:val="num" w:pos="4320"/>
        </w:tabs>
        <w:ind w:left="4320" w:hanging="360"/>
      </w:pPr>
      <w:rPr>
        <w:rFonts w:ascii="Arial" w:hAnsi="Arial" w:hint="default"/>
      </w:rPr>
    </w:lvl>
    <w:lvl w:ilvl="6" w:tplc="9FB8F3A8" w:tentative="1">
      <w:start w:val="1"/>
      <w:numFmt w:val="bullet"/>
      <w:lvlText w:val="•"/>
      <w:lvlJc w:val="left"/>
      <w:pPr>
        <w:tabs>
          <w:tab w:val="num" w:pos="5040"/>
        </w:tabs>
        <w:ind w:left="5040" w:hanging="360"/>
      </w:pPr>
      <w:rPr>
        <w:rFonts w:ascii="Arial" w:hAnsi="Arial" w:hint="default"/>
      </w:rPr>
    </w:lvl>
    <w:lvl w:ilvl="7" w:tplc="216C8620" w:tentative="1">
      <w:start w:val="1"/>
      <w:numFmt w:val="bullet"/>
      <w:lvlText w:val="•"/>
      <w:lvlJc w:val="left"/>
      <w:pPr>
        <w:tabs>
          <w:tab w:val="num" w:pos="5760"/>
        </w:tabs>
        <w:ind w:left="5760" w:hanging="360"/>
      </w:pPr>
      <w:rPr>
        <w:rFonts w:ascii="Arial" w:hAnsi="Arial" w:hint="default"/>
      </w:rPr>
    </w:lvl>
    <w:lvl w:ilvl="8" w:tplc="EFD2D8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7B12F7"/>
    <w:multiLevelType w:val="hybridMultilevel"/>
    <w:tmpl w:val="9AB6BB24"/>
    <w:lvl w:ilvl="0" w:tplc="CE52A6D4">
      <w:start w:val="1"/>
      <w:numFmt w:val="bullet"/>
      <w:lvlText w:val="•"/>
      <w:lvlJc w:val="left"/>
      <w:pPr>
        <w:tabs>
          <w:tab w:val="num" w:pos="720"/>
        </w:tabs>
        <w:ind w:left="720" w:hanging="360"/>
      </w:pPr>
      <w:rPr>
        <w:rFonts w:ascii="Arial" w:hAnsi="Arial" w:hint="default"/>
      </w:rPr>
    </w:lvl>
    <w:lvl w:ilvl="1" w:tplc="8F005776" w:tentative="1">
      <w:start w:val="1"/>
      <w:numFmt w:val="bullet"/>
      <w:lvlText w:val="•"/>
      <w:lvlJc w:val="left"/>
      <w:pPr>
        <w:tabs>
          <w:tab w:val="num" w:pos="1440"/>
        </w:tabs>
        <w:ind w:left="1440" w:hanging="360"/>
      </w:pPr>
      <w:rPr>
        <w:rFonts w:ascii="Arial" w:hAnsi="Arial" w:hint="default"/>
      </w:rPr>
    </w:lvl>
    <w:lvl w:ilvl="2" w:tplc="A9885C24">
      <w:start w:val="1"/>
      <w:numFmt w:val="bullet"/>
      <w:lvlText w:val="•"/>
      <w:lvlJc w:val="left"/>
      <w:pPr>
        <w:tabs>
          <w:tab w:val="num" w:pos="2160"/>
        </w:tabs>
        <w:ind w:left="2160" w:hanging="360"/>
      </w:pPr>
      <w:rPr>
        <w:rFonts w:ascii="Arial" w:hAnsi="Arial" w:hint="default"/>
      </w:rPr>
    </w:lvl>
    <w:lvl w:ilvl="3" w:tplc="4D7CEA52" w:tentative="1">
      <w:start w:val="1"/>
      <w:numFmt w:val="bullet"/>
      <w:lvlText w:val="•"/>
      <w:lvlJc w:val="left"/>
      <w:pPr>
        <w:tabs>
          <w:tab w:val="num" w:pos="2880"/>
        </w:tabs>
        <w:ind w:left="2880" w:hanging="360"/>
      </w:pPr>
      <w:rPr>
        <w:rFonts w:ascii="Arial" w:hAnsi="Arial" w:hint="default"/>
      </w:rPr>
    </w:lvl>
    <w:lvl w:ilvl="4" w:tplc="D04EFD82" w:tentative="1">
      <w:start w:val="1"/>
      <w:numFmt w:val="bullet"/>
      <w:lvlText w:val="•"/>
      <w:lvlJc w:val="left"/>
      <w:pPr>
        <w:tabs>
          <w:tab w:val="num" w:pos="3600"/>
        </w:tabs>
        <w:ind w:left="3600" w:hanging="360"/>
      </w:pPr>
      <w:rPr>
        <w:rFonts w:ascii="Arial" w:hAnsi="Arial" w:hint="default"/>
      </w:rPr>
    </w:lvl>
    <w:lvl w:ilvl="5" w:tplc="E7C65DD6" w:tentative="1">
      <w:start w:val="1"/>
      <w:numFmt w:val="bullet"/>
      <w:lvlText w:val="•"/>
      <w:lvlJc w:val="left"/>
      <w:pPr>
        <w:tabs>
          <w:tab w:val="num" w:pos="4320"/>
        </w:tabs>
        <w:ind w:left="4320" w:hanging="360"/>
      </w:pPr>
      <w:rPr>
        <w:rFonts w:ascii="Arial" w:hAnsi="Arial" w:hint="default"/>
      </w:rPr>
    </w:lvl>
    <w:lvl w:ilvl="6" w:tplc="58DC7FC4" w:tentative="1">
      <w:start w:val="1"/>
      <w:numFmt w:val="bullet"/>
      <w:lvlText w:val="•"/>
      <w:lvlJc w:val="left"/>
      <w:pPr>
        <w:tabs>
          <w:tab w:val="num" w:pos="5040"/>
        </w:tabs>
        <w:ind w:left="5040" w:hanging="360"/>
      </w:pPr>
      <w:rPr>
        <w:rFonts w:ascii="Arial" w:hAnsi="Arial" w:hint="default"/>
      </w:rPr>
    </w:lvl>
    <w:lvl w:ilvl="7" w:tplc="21587F34" w:tentative="1">
      <w:start w:val="1"/>
      <w:numFmt w:val="bullet"/>
      <w:lvlText w:val="•"/>
      <w:lvlJc w:val="left"/>
      <w:pPr>
        <w:tabs>
          <w:tab w:val="num" w:pos="5760"/>
        </w:tabs>
        <w:ind w:left="5760" w:hanging="360"/>
      </w:pPr>
      <w:rPr>
        <w:rFonts w:ascii="Arial" w:hAnsi="Arial" w:hint="default"/>
      </w:rPr>
    </w:lvl>
    <w:lvl w:ilvl="8" w:tplc="5B74C8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367FC0"/>
    <w:multiLevelType w:val="hybridMultilevel"/>
    <w:tmpl w:val="708C4F0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1"/>
  </w:num>
  <w:num w:numId="6">
    <w:abstractNumId w:val="12"/>
  </w:num>
  <w:num w:numId="7">
    <w:abstractNumId w:val="16"/>
  </w:num>
  <w:num w:numId="8">
    <w:abstractNumId w:val="6"/>
  </w:num>
  <w:num w:numId="9">
    <w:abstractNumId w:val="18"/>
  </w:num>
  <w:num w:numId="10">
    <w:abstractNumId w:val="4"/>
  </w:num>
  <w:num w:numId="11">
    <w:abstractNumId w:val="5"/>
  </w:num>
  <w:num w:numId="12">
    <w:abstractNumId w:val="3"/>
  </w:num>
  <w:num w:numId="13">
    <w:abstractNumId w:val="17"/>
  </w:num>
  <w:num w:numId="14">
    <w:abstractNumId w:val="2"/>
  </w:num>
  <w:num w:numId="15">
    <w:abstractNumId w:val="8"/>
  </w:num>
  <w:num w:numId="16">
    <w:abstractNumId w:val="10"/>
  </w:num>
  <w:num w:numId="17">
    <w:abstractNumId w:val="13"/>
  </w:num>
  <w:num w:numId="18">
    <w:abstractNumId w:val="14"/>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D99"/>
    <w:rsid w:val="00031002"/>
    <w:rsid w:val="00033397"/>
    <w:rsid w:val="000333A7"/>
    <w:rsid w:val="00040095"/>
    <w:rsid w:val="000604EF"/>
    <w:rsid w:val="00065637"/>
    <w:rsid w:val="00066924"/>
    <w:rsid w:val="00070E19"/>
    <w:rsid w:val="00080512"/>
    <w:rsid w:val="000849C3"/>
    <w:rsid w:val="00086EF0"/>
    <w:rsid w:val="00090468"/>
    <w:rsid w:val="00094E6C"/>
    <w:rsid w:val="000B5BAD"/>
    <w:rsid w:val="000B7BCF"/>
    <w:rsid w:val="000C0821"/>
    <w:rsid w:val="000C522B"/>
    <w:rsid w:val="000D58AB"/>
    <w:rsid w:val="000E4028"/>
    <w:rsid w:val="000E5776"/>
    <w:rsid w:val="000F35ED"/>
    <w:rsid w:val="001306FF"/>
    <w:rsid w:val="001365F9"/>
    <w:rsid w:val="0014726F"/>
    <w:rsid w:val="00164710"/>
    <w:rsid w:val="001741A0"/>
    <w:rsid w:val="00185EBF"/>
    <w:rsid w:val="001874C0"/>
    <w:rsid w:val="00194CD0"/>
    <w:rsid w:val="001A48A8"/>
    <w:rsid w:val="001A7CC2"/>
    <w:rsid w:val="001B49C9"/>
    <w:rsid w:val="001C2630"/>
    <w:rsid w:val="001C3055"/>
    <w:rsid w:val="001D2394"/>
    <w:rsid w:val="001E455D"/>
    <w:rsid w:val="001F168B"/>
    <w:rsid w:val="001F7831"/>
    <w:rsid w:val="0020254F"/>
    <w:rsid w:val="002034A9"/>
    <w:rsid w:val="00204045"/>
    <w:rsid w:val="00204EBE"/>
    <w:rsid w:val="0022606D"/>
    <w:rsid w:val="00240F7B"/>
    <w:rsid w:val="0024319F"/>
    <w:rsid w:val="0024352E"/>
    <w:rsid w:val="0024791C"/>
    <w:rsid w:val="002479E5"/>
    <w:rsid w:val="00251C60"/>
    <w:rsid w:val="002545C7"/>
    <w:rsid w:val="00263486"/>
    <w:rsid w:val="00266529"/>
    <w:rsid w:val="002747EC"/>
    <w:rsid w:val="002855BF"/>
    <w:rsid w:val="00287C63"/>
    <w:rsid w:val="00292A8A"/>
    <w:rsid w:val="002A3D45"/>
    <w:rsid w:val="002A4C3F"/>
    <w:rsid w:val="002A4D96"/>
    <w:rsid w:val="002C094A"/>
    <w:rsid w:val="002C1BD3"/>
    <w:rsid w:val="002C31B7"/>
    <w:rsid w:val="002F0D22"/>
    <w:rsid w:val="002F6CDB"/>
    <w:rsid w:val="002F7FCD"/>
    <w:rsid w:val="00310A8C"/>
    <w:rsid w:val="00310BEF"/>
    <w:rsid w:val="003172DC"/>
    <w:rsid w:val="003204C1"/>
    <w:rsid w:val="00326069"/>
    <w:rsid w:val="003317A0"/>
    <w:rsid w:val="003447CD"/>
    <w:rsid w:val="0035332B"/>
    <w:rsid w:val="0035462D"/>
    <w:rsid w:val="00364188"/>
    <w:rsid w:val="00375FED"/>
    <w:rsid w:val="00376B8A"/>
    <w:rsid w:val="00381AAB"/>
    <w:rsid w:val="003B45D0"/>
    <w:rsid w:val="003B7929"/>
    <w:rsid w:val="003C4E37"/>
    <w:rsid w:val="003C74F0"/>
    <w:rsid w:val="003D0FD1"/>
    <w:rsid w:val="003E16BE"/>
    <w:rsid w:val="00400BEA"/>
    <w:rsid w:val="00401855"/>
    <w:rsid w:val="00407777"/>
    <w:rsid w:val="00455824"/>
    <w:rsid w:val="00456094"/>
    <w:rsid w:val="0046687A"/>
    <w:rsid w:val="00475702"/>
    <w:rsid w:val="00477455"/>
    <w:rsid w:val="00491859"/>
    <w:rsid w:val="004C180F"/>
    <w:rsid w:val="004C5BFF"/>
    <w:rsid w:val="004D3578"/>
    <w:rsid w:val="004D380D"/>
    <w:rsid w:val="004D7605"/>
    <w:rsid w:val="004E213A"/>
    <w:rsid w:val="004F4507"/>
    <w:rsid w:val="00503171"/>
    <w:rsid w:val="00525118"/>
    <w:rsid w:val="00534DA0"/>
    <w:rsid w:val="00536257"/>
    <w:rsid w:val="00543E6C"/>
    <w:rsid w:val="00565087"/>
    <w:rsid w:val="0056573F"/>
    <w:rsid w:val="00575B92"/>
    <w:rsid w:val="00580E13"/>
    <w:rsid w:val="00594B43"/>
    <w:rsid w:val="005A3F60"/>
    <w:rsid w:val="005B714C"/>
    <w:rsid w:val="005D05FA"/>
    <w:rsid w:val="00611566"/>
    <w:rsid w:val="00636A45"/>
    <w:rsid w:val="00640A55"/>
    <w:rsid w:val="00642D40"/>
    <w:rsid w:val="00643899"/>
    <w:rsid w:val="00646D99"/>
    <w:rsid w:val="00656910"/>
    <w:rsid w:val="00664778"/>
    <w:rsid w:val="00680D91"/>
    <w:rsid w:val="006A4DF6"/>
    <w:rsid w:val="006C2D97"/>
    <w:rsid w:val="006C66D8"/>
    <w:rsid w:val="006D0FF3"/>
    <w:rsid w:val="006D1E24"/>
    <w:rsid w:val="006D36D0"/>
    <w:rsid w:val="006E55F1"/>
    <w:rsid w:val="006F6A2C"/>
    <w:rsid w:val="00702DDA"/>
    <w:rsid w:val="007030FA"/>
    <w:rsid w:val="00715E16"/>
    <w:rsid w:val="00726266"/>
    <w:rsid w:val="00732129"/>
    <w:rsid w:val="00734A5B"/>
    <w:rsid w:val="0074063A"/>
    <w:rsid w:val="00744E76"/>
    <w:rsid w:val="00747D3F"/>
    <w:rsid w:val="00751108"/>
    <w:rsid w:val="0075175E"/>
    <w:rsid w:val="00757D40"/>
    <w:rsid w:val="0076592E"/>
    <w:rsid w:val="00772130"/>
    <w:rsid w:val="00781E55"/>
    <w:rsid w:val="00781F0F"/>
    <w:rsid w:val="00783C61"/>
    <w:rsid w:val="0078727C"/>
    <w:rsid w:val="007939C6"/>
    <w:rsid w:val="007B18D8"/>
    <w:rsid w:val="007B4803"/>
    <w:rsid w:val="007C095F"/>
    <w:rsid w:val="007C69BA"/>
    <w:rsid w:val="007F618C"/>
    <w:rsid w:val="008028A4"/>
    <w:rsid w:val="00817ACF"/>
    <w:rsid w:val="00826567"/>
    <w:rsid w:val="0082660F"/>
    <w:rsid w:val="00836008"/>
    <w:rsid w:val="00873298"/>
    <w:rsid w:val="008768CA"/>
    <w:rsid w:val="00880559"/>
    <w:rsid w:val="00896318"/>
    <w:rsid w:val="008C7739"/>
    <w:rsid w:val="008D30EF"/>
    <w:rsid w:val="00900692"/>
    <w:rsid w:val="0090271F"/>
    <w:rsid w:val="00905BC6"/>
    <w:rsid w:val="009254A9"/>
    <w:rsid w:val="0093336A"/>
    <w:rsid w:val="00936790"/>
    <w:rsid w:val="00942EC2"/>
    <w:rsid w:val="00943B16"/>
    <w:rsid w:val="00947019"/>
    <w:rsid w:val="00961B32"/>
    <w:rsid w:val="00971CBF"/>
    <w:rsid w:val="00973158"/>
    <w:rsid w:val="00974BB0"/>
    <w:rsid w:val="00984445"/>
    <w:rsid w:val="00985582"/>
    <w:rsid w:val="0099460A"/>
    <w:rsid w:val="009B0503"/>
    <w:rsid w:val="009B07CD"/>
    <w:rsid w:val="009C066B"/>
    <w:rsid w:val="009C638E"/>
    <w:rsid w:val="009C6C4C"/>
    <w:rsid w:val="009E07C1"/>
    <w:rsid w:val="009F6A53"/>
    <w:rsid w:val="00A046B2"/>
    <w:rsid w:val="00A05C56"/>
    <w:rsid w:val="00A10F02"/>
    <w:rsid w:val="00A26CD6"/>
    <w:rsid w:val="00A53724"/>
    <w:rsid w:val="00A808E0"/>
    <w:rsid w:val="00A80F0B"/>
    <w:rsid w:val="00A82346"/>
    <w:rsid w:val="00A87BCA"/>
    <w:rsid w:val="00A95616"/>
    <w:rsid w:val="00A9671C"/>
    <w:rsid w:val="00AB0509"/>
    <w:rsid w:val="00AC3DC8"/>
    <w:rsid w:val="00AC5FB1"/>
    <w:rsid w:val="00AE6DC0"/>
    <w:rsid w:val="00AF316A"/>
    <w:rsid w:val="00B15449"/>
    <w:rsid w:val="00B219A5"/>
    <w:rsid w:val="00B43DDD"/>
    <w:rsid w:val="00B43EF0"/>
    <w:rsid w:val="00B47FD1"/>
    <w:rsid w:val="00B6177A"/>
    <w:rsid w:val="00B6302D"/>
    <w:rsid w:val="00B72434"/>
    <w:rsid w:val="00B973FF"/>
    <w:rsid w:val="00BA0278"/>
    <w:rsid w:val="00BA114D"/>
    <w:rsid w:val="00BD6A77"/>
    <w:rsid w:val="00BE28AA"/>
    <w:rsid w:val="00BF0509"/>
    <w:rsid w:val="00C12849"/>
    <w:rsid w:val="00C12B51"/>
    <w:rsid w:val="00C233D0"/>
    <w:rsid w:val="00C33079"/>
    <w:rsid w:val="00C71F1E"/>
    <w:rsid w:val="00C83A13"/>
    <w:rsid w:val="00CA3D0C"/>
    <w:rsid w:val="00CB76AD"/>
    <w:rsid w:val="00CC452D"/>
    <w:rsid w:val="00CD4C7B"/>
    <w:rsid w:val="00CF3024"/>
    <w:rsid w:val="00D1658E"/>
    <w:rsid w:val="00D33FD9"/>
    <w:rsid w:val="00D43568"/>
    <w:rsid w:val="00D457C0"/>
    <w:rsid w:val="00D738D6"/>
    <w:rsid w:val="00D80795"/>
    <w:rsid w:val="00D87E00"/>
    <w:rsid w:val="00D9134D"/>
    <w:rsid w:val="00D96D11"/>
    <w:rsid w:val="00DA7A03"/>
    <w:rsid w:val="00DB1818"/>
    <w:rsid w:val="00DC2A5C"/>
    <w:rsid w:val="00DC309B"/>
    <w:rsid w:val="00DC4DA2"/>
    <w:rsid w:val="00DD0EA5"/>
    <w:rsid w:val="00DD1A4C"/>
    <w:rsid w:val="00DD7DFB"/>
    <w:rsid w:val="00E05DCB"/>
    <w:rsid w:val="00E218CE"/>
    <w:rsid w:val="00E302DD"/>
    <w:rsid w:val="00E61BD0"/>
    <w:rsid w:val="00E62835"/>
    <w:rsid w:val="00E731A4"/>
    <w:rsid w:val="00E77645"/>
    <w:rsid w:val="00E91076"/>
    <w:rsid w:val="00E92FB3"/>
    <w:rsid w:val="00EA6802"/>
    <w:rsid w:val="00EC4A25"/>
    <w:rsid w:val="00EC6BE9"/>
    <w:rsid w:val="00EC73DB"/>
    <w:rsid w:val="00ED4520"/>
    <w:rsid w:val="00EE1C73"/>
    <w:rsid w:val="00EE70C1"/>
    <w:rsid w:val="00F0235E"/>
    <w:rsid w:val="00F025A2"/>
    <w:rsid w:val="00F02ADC"/>
    <w:rsid w:val="00F060B4"/>
    <w:rsid w:val="00F07388"/>
    <w:rsid w:val="00F10F70"/>
    <w:rsid w:val="00F2026E"/>
    <w:rsid w:val="00F2210A"/>
    <w:rsid w:val="00F32EFA"/>
    <w:rsid w:val="00F34F5B"/>
    <w:rsid w:val="00F37743"/>
    <w:rsid w:val="00F47D1F"/>
    <w:rsid w:val="00F54A3D"/>
    <w:rsid w:val="00F64713"/>
    <w:rsid w:val="00F653B8"/>
    <w:rsid w:val="00F76F8F"/>
    <w:rsid w:val="00F81B95"/>
    <w:rsid w:val="00FA1266"/>
    <w:rsid w:val="00FA3749"/>
    <w:rsid w:val="00FA78A4"/>
    <w:rsid w:val="00FC1192"/>
    <w:rsid w:val="00FC270B"/>
    <w:rsid w:val="00FC55A2"/>
    <w:rsid w:val="00FD0004"/>
    <w:rsid w:val="00FD789C"/>
    <w:rsid w:val="00FE25D5"/>
    <w:rsid w:val="00FF3B77"/>
    <w:rsid w:val="00FF7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D3CF6"/>
  <w15:docId w15:val="{161DBE44-401A-4381-849B-53EF29566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004"/>
    <w:pPr>
      <w:spacing w:after="180"/>
    </w:pPr>
    <w:rPr>
      <w:lang w:eastAsia="en-US"/>
    </w:rPr>
  </w:style>
  <w:style w:type="paragraph" w:styleId="Heading1">
    <w:name w:val="heading 1"/>
    <w:next w:val="Normal"/>
    <w:qFormat/>
    <w:rsid w:val="00FD000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D0004"/>
    <w:pPr>
      <w:pBdr>
        <w:top w:val="none" w:sz="0" w:space="0" w:color="auto"/>
      </w:pBdr>
      <w:spacing w:before="180"/>
      <w:outlineLvl w:val="1"/>
    </w:pPr>
    <w:rPr>
      <w:sz w:val="32"/>
    </w:rPr>
  </w:style>
  <w:style w:type="paragraph" w:styleId="Heading3">
    <w:name w:val="heading 3"/>
    <w:basedOn w:val="Heading2"/>
    <w:next w:val="Normal"/>
    <w:qFormat/>
    <w:rsid w:val="00FD0004"/>
    <w:pPr>
      <w:spacing w:before="120"/>
      <w:outlineLvl w:val="2"/>
    </w:pPr>
    <w:rPr>
      <w:sz w:val="28"/>
    </w:rPr>
  </w:style>
  <w:style w:type="paragraph" w:styleId="Heading4">
    <w:name w:val="heading 4"/>
    <w:basedOn w:val="Heading3"/>
    <w:next w:val="Normal"/>
    <w:qFormat/>
    <w:rsid w:val="00FD0004"/>
    <w:pPr>
      <w:ind w:left="1418" w:hanging="1418"/>
      <w:outlineLvl w:val="3"/>
    </w:pPr>
    <w:rPr>
      <w:sz w:val="24"/>
    </w:rPr>
  </w:style>
  <w:style w:type="paragraph" w:styleId="Heading5">
    <w:name w:val="heading 5"/>
    <w:basedOn w:val="Heading4"/>
    <w:next w:val="Normal"/>
    <w:qFormat/>
    <w:rsid w:val="00FD0004"/>
    <w:pPr>
      <w:ind w:left="1701" w:hanging="1701"/>
      <w:outlineLvl w:val="4"/>
    </w:pPr>
    <w:rPr>
      <w:sz w:val="22"/>
    </w:rPr>
  </w:style>
  <w:style w:type="paragraph" w:styleId="Heading6">
    <w:name w:val="heading 6"/>
    <w:basedOn w:val="H6"/>
    <w:next w:val="Normal"/>
    <w:qFormat/>
    <w:rsid w:val="00FD0004"/>
    <w:pPr>
      <w:outlineLvl w:val="5"/>
    </w:pPr>
  </w:style>
  <w:style w:type="paragraph" w:styleId="Heading7">
    <w:name w:val="heading 7"/>
    <w:basedOn w:val="H6"/>
    <w:next w:val="Normal"/>
    <w:qFormat/>
    <w:rsid w:val="00FD0004"/>
    <w:pPr>
      <w:outlineLvl w:val="6"/>
    </w:pPr>
  </w:style>
  <w:style w:type="paragraph" w:styleId="Heading8">
    <w:name w:val="heading 8"/>
    <w:basedOn w:val="Heading1"/>
    <w:next w:val="Normal"/>
    <w:qFormat/>
    <w:rsid w:val="00FD0004"/>
    <w:pPr>
      <w:ind w:left="0" w:firstLine="0"/>
      <w:outlineLvl w:val="7"/>
    </w:pPr>
  </w:style>
  <w:style w:type="paragraph" w:styleId="Heading9">
    <w:name w:val="heading 9"/>
    <w:basedOn w:val="Heading8"/>
    <w:next w:val="Normal"/>
    <w:qFormat/>
    <w:rsid w:val="00FD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0004"/>
    <w:pPr>
      <w:ind w:left="1985" w:hanging="1985"/>
      <w:outlineLvl w:val="9"/>
    </w:pPr>
    <w:rPr>
      <w:sz w:val="20"/>
    </w:rPr>
  </w:style>
  <w:style w:type="paragraph" w:styleId="TOC9">
    <w:name w:val="toc 9"/>
    <w:basedOn w:val="TOC8"/>
    <w:semiHidden/>
    <w:rsid w:val="00FD0004"/>
    <w:pPr>
      <w:ind w:left="1418" w:hanging="1418"/>
    </w:pPr>
  </w:style>
  <w:style w:type="paragraph" w:styleId="TOC8">
    <w:name w:val="toc 8"/>
    <w:basedOn w:val="TOC1"/>
    <w:semiHidden/>
    <w:rsid w:val="00FD0004"/>
    <w:pPr>
      <w:spacing w:before="180"/>
      <w:ind w:left="2693" w:hanging="2693"/>
    </w:pPr>
    <w:rPr>
      <w:b/>
    </w:rPr>
  </w:style>
  <w:style w:type="paragraph" w:styleId="TOC1">
    <w:name w:val="toc 1"/>
    <w:semiHidden/>
    <w:rsid w:val="00FD000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D0004"/>
    <w:pPr>
      <w:keepLines/>
      <w:tabs>
        <w:tab w:val="center" w:pos="4536"/>
        <w:tab w:val="right" w:pos="9072"/>
      </w:tabs>
    </w:pPr>
    <w:rPr>
      <w:noProof/>
    </w:rPr>
  </w:style>
  <w:style w:type="character" w:customStyle="1" w:styleId="ZGSM">
    <w:name w:val="ZGSM"/>
    <w:rsid w:val="00FD0004"/>
  </w:style>
  <w:style w:type="paragraph" w:styleId="Header">
    <w:name w:val="header"/>
    <w:aliases w:val="header odd"/>
    <w:link w:val="HeaderChar"/>
    <w:rsid w:val="00FD000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D0004"/>
    <w:pPr>
      <w:framePr w:wrap="notBeside" w:vAnchor="page" w:hAnchor="margin" w:y="15764"/>
      <w:widowControl w:val="0"/>
    </w:pPr>
    <w:rPr>
      <w:rFonts w:ascii="Arial" w:hAnsi="Arial"/>
      <w:noProof/>
      <w:sz w:val="32"/>
      <w:lang w:eastAsia="en-US"/>
    </w:rPr>
  </w:style>
  <w:style w:type="paragraph" w:styleId="TOC5">
    <w:name w:val="toc 5"/>
    <w:basedOn w:val="TOC4"/>
    <w:semiHidden/>
    <w:rsid w:val="00FD0004"/>
    <w:pPr>
      <w:ind w:left="1701" w:hanging="1701"/>
    </w:pPr>
  </w:style>
  <w:style w:type="paragraph" w:styleId="TOC4">
    <w:name w:val="toc 4"/>
    <w:basedOn w:val="TOC3"/>
    <w:semiHidden/>
    <w:rsid w:val="00FD0004"/>
    <w:pPr>
      <w:ind w:left="1418" w:hanging="1418"/>
    </w:pPr>
  </w:style>
  <w:style w:type="paragraph" w:styleId="TOC3">
    <w:name w:val="toc 3"/>
    <w:basedOn w:val="TOC2"/>
    <w:semiHidden/>
    <w:rsid w:val="00FD0004"/>
    <w:pPr>
      <w:ind w:left="1134" w:hanging="1134"/>
    </w:pPr>
  </w:style>
  <w:style w:type="paragraph" w:styleId="TOC2">
    <w:name w:val="toc 2"/>
    <w:basedOn w:val="TOC1"/>
    <w:semiHidden/>
    <w:rsid w:val="00FD0004"/>
    <w:pPr>
      <w:keepNext w:val="0"/>
      <w:spacing w:before="0"/>
      <w:ind w:left="851" w:hanging="851"/>
    </w:pPr>
    <w:rPr>
      <w:sz w:val="20"/>
    </w:rPr>
  </w:style>
  <w:style w:type="paragraph" w:styleId="Footer">
    <w:name w:val="footer"/>
    <w:basedOn w:val="Header"/>
    <w:rsid w:val="00FD0004"/>
    <w:pPr>
      <w:jc w:val="center"/>
    </w:pPr>
    <w:rPr>
      <w:i/>
    </w:rPr>
  </w:style>
  <w:style w:type="paragraph" w:customStyle="1" w:styleId="TT">
    <w:name w:val="TT"/>
    <w:basedOn w:val="Heading1"/>
    <w:next w:val="Normal"/>
    <w:rsid w:val="00FD0004"/>
    <w:pPr>
      <w:outlineLvl w:val="9"/>
    </w:pPr>
  </w:style>
  <w:style w:type="paragraph" w:customStyle="1" w:styleId="NF">
    <w:name w:val="NF"/>
    <w:basedOn w:val="NO"/>
    <w:rsid w:val="00FD0004"/>
    <w:pPr>
      <w:keepNext/>
      <w:spacing w:after="0"/>
    </w:pPr>
    <w:rPr>
      <w:rFonts w:ascii="Arial" w:hAnsi="Arial"/>
      <w:sz w:val="18"/>
    </w:rPr>
  </w:style>
  <w:style w:type="paragraph" w:customStyle="1" w:styleId="NO">
    <w:name w:val="NO"/>
    <w:basedOn w:val="Normal"/>
    <w:rsid w:val="00FD0004"/>
    <w:pPr>
      <w:keepLines/>
      <w:ind w:left="1135" w:hanging="851"/>
    </w:pPr>
  </w:style>
  <w:style w:type="paragraph" w:customStyle="1" w:styleId="PL">
    <w:name w:val="PL"/>
    <w:link w:val="PLChar"/>
    <w:rsid w:val="00FD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D0004"/>
    <w:pPr>
      <w:jc w:val="right"/>
    </w:pPr>
  </w:style>
  <w:style w:type="paragraph" w:customStyle="1" w:styleId="TAL">
    <w:name w:val="TAL"/>
    <w:basedOn w:val="Normal"/>
    <w:rsid w:val="00FD0004"/>
    <w:pPr>
      <w:keepNext/>
      <w:keepLines/>
      <w:spacing w:after="0"/>
    </w:pPr>
    <w:rPr>
      <w:rFonts w:ascii="Arial" w:hAnsi="Arial"/>
      <w:sz w:val="18"/>
    </w:rPr>
  </w:style>
  <w:style w:type="paragraph" w:customStyle="1" w:styleId="TAH">
    <w:name w:val="TAH"/>
    <w:basedOn w:val="TAC"/>
    <w:rsid w:val="00FD0004"/>
    <w:rPr>
      <w:b/>
    </w:rPr>
  </w:style>
  <w:style w:type="paragraph" w:customStyle="1" w:styleId="TAC">
    <w:name w:val="TAC"/>
    <w:basedOn w:val="TAL"/>
    <w:rsid w:val="00FD0004"/>
    <w:pPr>
      <w:jc w:val="center"/>
    </w:pPr>
  </w:style>
  <w:style w:type="paragraph" w:customStyle="1" w:styleId="LD">
    <w:name w:val="LD"/>
    <w:rsid w:val="00FD0004"/>
    <w:pPr>
      <w:keepNext/>
      <w:keepLines/>
      <w:spacing w:line="180" w:lineRule="exact"/>
    </w:pPr>
    <w:rPr>
      <w:rFonts w:ascii="Courier New" w:hAnsi="Courier New"/>
      <w:noProof/>
      <w:lang w:eastAsia="en-US"/>
    </w:rPr>
  </w:style>
  <w:style w:type="paragraph" w:customStyle="1" w:styleId="EX">
    <w:name w:val="EX"/>
    <w:basedOn w:val="Normal"/>
    <w:rsid w:val="00FD0004"/>
    <w:pPr>
      <w:keepLines/>
      <w:ind w:left="1702" w:hanging="1418"/>
    </w:pPr>
  </w:style>
  <w:style w:type="paragraph" w:customStyle="1" w:styleId="FP">
    <w:name w:val="FP"/>
    <w:basedOn w:val="Normal"/>
    <w:rsid w:val="00FD0004"/>
    <w:pPr>
      <w:spacing w:after="0"/>
    </w:pPr>
  </w:style>
  <w:style w:type="paragraph" w:customStyle="1" w:styleId="NW">
    <w:name w:val="NW"/>
    <w:basedOn w:val="NO"/>
    <w:rsid w:val="00FD0004"/>
    <w:pPr>
      <w:spacing w:after="0"/>
    </w:pPr>
  </w:style>
  <w:style w:type="paragraph" w:customStyle="1" w:styleId="EW">
    <w:name w:val="EW"/>
    <w:basedOn w:val="EX"/>
    <w:rsid w:val="00FD0004"/>
    <w:pPr>
      <w:spacing w:after="0"/>
    </w:pPr>
  </w:style>
  <w:style w:type="paragraph" w:customStyle="1" w:styleId="B1">
    <w:name w:val="B1"/>
    <w:basedOn w:val="Normal"/>
    <w:link w:val="B1Char"/>
    <w:rsid w:val="00FD0004"/>
    <w:pPr>
      <w:ind w:left="568" w:hanging="284"/>
    </w:pPr>
  </w:style>
  <w:style w:type="paragraph" w:styleId="TOC6">
    <w:name w:val="toc 6"/>
    <w:basedOn w:val="TOC5"/>
    <w:next w:val="Normal"/>
    <w:semiHidden/>
    <w:rsid w:val="00FD0004"/>
    <w:pPr>
      <w:ind w:left="1985" w:hanging="1985"/>
    </w:pPr>
  </w:style>
  <w:style w:type="paragraph" w:styleId="TOC7">
    <w:name w:val="toc 7"/>
    <w:basedOn w:val="TOC6"/>
    <w:next w:val="Normal"/>
    <w:semiHidden/>
    <w:rsid w:val="00FD0004"/>
    <w:pPr>
      <w:ind w:left="2268" w:hanging="2268"/>
    </w:pPr>
  </w:style>
  <w:style w:type="paragraph" w:customStyle="1" w:styleId="EditorsNote">
    <w:name w:val="Editor's Note"/>
    <w:basedOn w:val="NO"/>
    <w:rsid w:val="00FD0004"/>
    <w:rPr>
      <w:color w:val="FF0000"/>
    </w:rPr>
  </w:style>
  <w:style w:type="paragraph" w:customStyle="1" w:styleId="TH">
    <w:name w:val="TH"/>
    <w:basedOn w:val="Normal"/>
    <w:rsid w:val="00FD0004"/>
    <w:pPr>
      <w:keepNext/>
      <w:keepLines/>
      <w:spacing w:before="60"/>
      <w:jc w:val="center"/>
    </w:pPr>
    <w:rPr>
      <w:rFonts w:ascii="Arial" w:hAnsi="Arial"/>
      <w:b/>
    </w:rPr>
  </w:style>
  <w:style w:type="paragraph" w:customStyle="1" w:styleId="ZA">
    <w:name w:val="ZA"/>
    <w:rsid w:val="00FD000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D000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D000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D000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D0004"/>
    <w:pPr>
      <w:ind w:left="851" w:hanging="851"/>
    </w:pPr>
  </w:style>
  <w:style w:type="paragraph" w:customStyle="1" w:styleId="ZH">
    <w:name w:val="ZH"/>
    <w:rsid w:val="00FD0004"/>
    <w:pPr>
      <w:framePr w:wrap="notBeside" w:vAnchor="page" w:hAnchor="margin" w:xAlign="center" w:y="6805"/>
      <w:widowControl w:val="0"/>
    </w:pPr>
    <w:rPr>
      <w:rFonts w:ascii="Arial" w:hAnsi="Arial"/>
      <w:noProof/>
      <w:lang w:eastAsia="en-US"/>
    </w:rPr>
  </w:style>
  <w:style w:type="paragraph" w:customStyle="1" w:styleId="TF">
    <w:name w:val="TF"/>
    <w:basedOn w:val="TH"/>
    <w:rsid w:val="00FD0004"/>
    <w:pPr>
      <w:keepNext w:val="0"/>
      <w:spacing w:before="0" w:after="240"/>
    </w:pPr>
  </w:style>
  <w:style w:type="paragraph" w:customStyle="1" w:styleId="ZG">
    <w:name w:val="ZG"/>
    <w:rsid w:val="00FD0004"/>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FD0004"/>
    <w:pPr>
      <w:ind w:left="851" w:hanging="284"/>
    </w:pPr>
  </w:style>
  <w:style w:type="paragraph" w:customStyle="1" w:styleId="B3">
    <w:name w:val="B3"/>
    <w:basedOn w:val="Normal"/>
    <w:rsid w:val="00FD0004"/>
    <w:pPr>
      <w:ind w:left="1135" w:hanging="284"/>
    </w:pPr>
  </w:style>
  <w:style w:type="paragraph" w:customStyle="1" w:styleId="B4">
    <w:name w:val="B4"/>
    <w:basedOn w:val="Normal"/>
    <w:rsid w:val="00FD0004"/>
    <w:pPr>
      <w:ind w:left="1418" w:hanging="284"/>
    </w:pPr>
  </w:style>
  <w:style w:type="paragraph" w:customStyle="1" w:styleId="B5">
    <w:name w:val="B5"/>
    <w:basedOn w:val="Normal"/>
    <w:rsid w:val="00FD0004"/>
    <w:pPr>
      <w:ind w:left="1702" w:hanging="284"/>
    </w:pPr>
  </w:style>
  <w:style w:type="paragraph" w:customStyle="1" w:styleId="ZTD">
    <w:name w:val="ZTD"/>
    <w:basedOn w:val="ZB"/>
    <w:rsid w:val="00FD0004"/>
    <w:pPr>
      <w:framePr w:hRule="auto" w:wrap="notBeside" w:y="852"/>
    </w:pPr>
    <w:rPr>
      <w:i w:val="0"/>
      <w:sz w:val="40"/>
    </w:rPr>
  </w:style>
  <w:style w:type="paragraph" w:customStyle="1" w:styleId="ZV">
    <w:name w:val="ZV"/>
    <w:basedOn w:val="ZU"/>
    <w:rsid w:val="00FD0004"/>
    <w:pPr>
      <w:framePr w:wrap="notBeside" w:y="16161"/>
    </w:pPr>
  </w:style>
  <w:style w:type="paragraph" w:customStyle="1" w:styleId="TAJ">
    <w:name w:val="TAJ"/>
    <w:basedOn w:val="TH"/>
    <w:rsid w:val="00FD0004"/>
  </w:style>
  <w:style w:type="paragraph" w:customStyle="1" w:styleId="Guidance">
    <w:name w:val="Guidance"/>
    <w:basedOn w:val="Normal"/>
    <w:rsid w:val="00FD0004"/>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2A4D96"/>
    <w:pPr>
      <w:ind w:left="720"/>
      <w:contextualSpacing/>
    </w:pPr>
  </w:style>
  <w:style w:type="character" w:styleId="CommentReference">
    <w:name w:val="annotation reference"/>
    <w:basedOn w:val="DefaultParagraphFont"/>
    <w:rsid w:val="006D36D0"/>
    <w:rPr>
      <w:sz w:val="16"/>
      <w:szCs w:val="16"/>
    </w:rPr>
  </w:style>
  <w:style w:type="paragraph" w:styleId="CommentText">
    <w:name w:val="annotation text"/>
    <w:basedOn w:val="Normal"/>
    <w:link w:val="CommentTextChar"/>
    <w:rsid w:val="006D36D0"/>
  </w:style>
  <w:style w:type="character" w:customStyle="1" w:styleId="CommentTextChar">
    <w:name w:val="Comment Text Char"/>
    <w:basedOn w:val="DefaultParagraphFont"/>
    <w:link w:val="CommentText"/>
    <w:rsid w:val="006D36D0"/>
    <w:rPr>
      <w:lang w:eastAsia="en-US"/>
    </w:rPr>
  </w:style>
  <w:style w:type="paragraph" w:styleId="CommentSubject">
    <w:name w:val="annotation subject"/>
    <w:basedOn w:val="CommentText"/>
    <w:next w:val="CommentText"/>
    <w:link w:val="CommentSubjectChar"/>
    <w:rsid w:val="006D36D0"/>
    <w:rPr>
      <w:b/>
      <w:bCs/>
    </w:rPr>
  </w:style>
  <w:style w:type="character" w:customStyle="1" w:styleId="CommentSubjectChar">
    <w:name w:val="Comment Subject Char"/>
    <w:basedOn w:val="CommentTextChar"/>
    <w:link w:val="CommentSubject"/>
    <w:rsid w:val="006D36D0"/>
    <w:rPr>
      <w:b/>
      <w:bCs/>
      <w:lang w:eastAsia="en-US"/>
    </w:rPr>
  </w:style>
  <w:style w:type="paragraph" w:styleId="BalloonText">
    <w:name w:val="Balloon Text"/>
    <w:basedOn w:val="Normal"/>
    <w:link w:val="BalloonTextChar"/>
    <w:rsid w:val="006D36D0"/>
    <w:pPr>
      <w:spacing w:after="0"/>
    </w:pPr>
    <w:rPr>
      <w:rFonts w:ascii="Segoe UI" w:hAnsi="Segoe UI" w:cs="Segoe UI"/>
      <w:sz w:val="18"/>
      <w:szCs w:val="18"/>
    </w:rPr>
  </w:style>
  <w:style w:type="character" w:customStyle="1" w:styleId="BalloonTextChar">
    <w:name w:val="Balloon Text Char"/>
    <w:basedOn w:val="DefaultParagraphFont"/>
    <w:link w:val="BalloonText"/>
    <w:rsid w:val="006D36D0"/>
    <w:rPr>
      <w:rFonts w:ascii="Segoe UI" w:hAnsi="Segoe UI" w:cs="Segoe UI"/>
      <w:sz w:val="18"/>
      <w:szCs w:val="18"/>
      <w:lang w:eastAsia="en-US"/>
    </w:rPr>
  </w:style>
  <w:style w:type="character" w:customStyle="1" w:styleId="PLChar">
    <w:name w:val="PL Char"/>
    <w:link w:val="PL"/>
    <w:rsid w:val="006C2D97"/>
    <w:rPr>
      <w:rFonts w:ascii="Courier New" w:hAnsi="Courier New"/>
      <w:noProof/>
      <w:sz w:val="16"/>
      <w:lang w:eastAsia="en-US"/>
    </w:rPr>
  </w:style>
  <w:style w:type="character" w:customStyle="1" w:styleId="B1Char">
    <w:name w:val="B1 Char"/>
    <w:link w:val="B1"/>
    <w:rsid w:val="007C69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82237">
      <w:bodyDiv w:val="1"/>
      <w:marLeft w:val="0"/>
      <w:marRight w:val="0"/>
      <w:marTop w:val="0"/>
      <w:marBottom w:val="0"/>
      <w:divBdr>
        <w:top w:val="none" w:sz="0" w:space="0" w:color="auto"/>
        <w:left w:val="none" w:sz="0" w:space="0" w:color="auto"/>
        <w:bottom w:val="none" w:sz="0" w:space="0" w:color="auto"/>
        <w:right w:val="none" w:sz="0" w:space="0" w:color="auto"/>
      </w:divBdr>
    </w:div>
    <w:div w:id="445278405">
      <w:bodyDiv w:val="1"/>
      <w:marLeft w:val="0"/>
      <w:marRight w:val="0"/>
      <w:marTop w:val="0"/>
      <w:marBottom w:val="0"/>
      <w:divBdr>
        <w:top w:val="none" w:sz="0" w:space="0" w:color="auto"/>
        <w:left w:val="none" w:sz="0" w:space="0" w:color="auto"/>
        <w:bottom w:val="none" w:sz="0" w:space="0" w:color="auto"/>
        <w:right w:val="none" w:sz="0" w:space="0" w:color="auto"/>
      </w:divBdr>
    </w:div>
    <w:div w:id="515924494">
      <w:bodyDiv w:val="1"/>
      <w:marLeft w:val="0"/>
      <w:marRight w:val="0"/>
      <w:marTop w:val="0"/>
      <w:marBottom w:val="0"/>
      <w:divBdr>
        <w:top w:val="none" w:sz="0" w:space="0" w:color="auto"/>
        <w:left w:val="none" w:sz="0" w:space="0" w:color="auto"/>
        <w:bottom w:val="none" w:sz="0" w:space="0" w:color="auto"/>
        <w:right w:val="none" w:sz="0" w:space="0" w:color="auto"/>
      </w:divBdr>
      <w:divsChild>
        <w:div w:id="322052259">
          <w:marLeft w:val="360"/>
          <w:marRight w:val="0"/>
          <w:marTop w:val="0"/>
          <w:marBottom w:val="0"/>
          <w:divBdr>
            <w:top w:val="none" w:sz="0" w:space="0" w:color="auto"/>
            <w:left w:val="none" w:sz="0" w:space="0" w:color="auto"/>
            <w:bottom w:val="none" w:sz="0" w:space="0" w:color="auto"/>
            <w:right w:val="none" w:sz="0" w:space="0" w:color="auto"/>
          </w:divBdr>
        </w:div>
        <w:div w:id="1825656359">
          <w:marLeft w:val="360"/>
          <w:marRight w:val="0"/>
          <w:marTop w:val="0"/>
          <w:marBottom w:val="0"/>
          <w:divBdr>
            <w:top w:val="none" w:sz="0" w:space="0" w:color="auto"/>
            <w:left w:val="none" w:sz="0" w:space="0" w:color="auto"/>
            <w:bottom w:val="none" w:sz="0" w:space="0" w:color="auto"/>
            <w:right w:val="none" w:sz="0" w:space="0" w:color="auto"/>
          </w:divBdr>
        </w:div>
        <w:div w:id="132986819">
          <w:marLeft w:val="360"/>
          <w:marRight w:val="0"/>
          <w:marTop w:val="0"/>
          <w:marBottom w:val="0"/>
          <w:divBdr>
            <w:top w:val="none" w:sz="0" w:space="0" w:color="auto"/>
            <w:left w:val="none" w:sz="0" w:space="0" w:color="auto"/>
            <w:bottom w:val="none" w:sz="0" w:space="0" w:color="auto"/>
            <w:right w:val="none" w:sz="0" w:space="0" w:color="auto"/>
          </w:divBdr>
        </w:div>
        <w:div w:id="620310202">
          <w:marLeft w:val="360"/>
          <w:marRight w:val="0"/>
          <w:marTop w:val="0"/>
          <w:marBottom w:val="120"/>
          <w:divBdr>
            <w:top w:val="none" w:sz="0" w:space="0" w:color="auto"/>
            <w:left w:val="none" w:sz="0" w:space="0" w:color="auto"/>
            <w:bottom w:val="none" w:sz="0" w:space="0" w:color="auto"/>
            <w:right w:val="none" w:sz="0" w:space="0" w:color="auto"/>
          </w:divBdr>
        </w:div>
      </w:divsChild>
    </w:div>
    <w:div w:id="1187792164">
      <w:bodyDiv w:val="1"/>
      <w:marLeft w:val="0"/>
      <w:marRight w:val="0"/>
      <w:marTop w:val="0"/>
      <w:marBottom w:val="0"/>
      <w:divBdr>
        <w:top w:val="none" w:sz="0" w:space="0" w:color="auto"/>
        <w:left w:val="none" w:sz="0" w:space="0" w:color="auto"/>
        <w:bottom w:val="none" w:sz="0" w:space="0" w:color="auto"/>
        <w:right w:val="none" w:sz="0" w:space="0" w:color="auto"/>
      </w:divBdr>
      <w:divsChild>
        <w:div w:id="1148980940">
          <w:marLeft w:val="720"/>
          <w:marRight w:val="0"/>
          <w:marTop w:val="0"/>
          <w:marBottom w:val="0"/>
          <w:divBdr>
            <w:top w:val="none" w:sz="0" w:space="0" w:color="auto"/>
            <w:left w:val="none" w:sz="0" w:space="0" w:color="auto"/>
            <w:bottom w:val="none" w:sz="0" w:space="0" w:color="auto"/>
            <w:right w:val="none" w:sz="0" w:space="0" w:color="auto"/>
          </w:divBdr>
        </w:div>
      </w:divsChild>
    </w:div>
    <w:div w:id="1305043915">
      <w:bodyDiv w:val="1"/>
      <w:marLeft w:val="0"/>
      <w:marRight w:val="0"/>
      <w:marTop w:val="0"/>
      <w:marBottom w:val="0"/>
      <w:divBdr>
        <w:top w:val="none" w:sz="0" w:space="0" w:color="auto"/>
        <w:left w:val="none" w:sz="0" w:space="0" w:color="auto"/>
        <w:bottom w:val="none" w:sz="0" w:space="0" w:color="auto"/>
        <w:right w:val="none" w:sz="0" w:space="0" w:color="auto"/>
      </w:divBdr>
    </w:div>
    <w:div w:id="1355688571">
      <w:bodyDiv w:val="1"/>
      <w:marLeft w:val="0"/>
      <w:marRight w:val="0"/>
      <w:marTop w:val="0"/>
      <w:marBottom w:val="0"/>
      <w:divBdr>
        <w:top w:val="none" w:sz="0" w:space="0" w:color="auto"/>
        <w:left w:val="none" w:sz="0" w:space="0" w:color="auto"/>
        <w:bottom w:val="none" w:sz="0" w:space="0" w:color="auto"/>
        <w:right w:val="none" w:sz="0" w:space="0" w:color="auto"/>
      </w:divBdr>
      <w:divsChild>
        <w:div w:id="2129199396">
          <w:marLeft w:val="677"/>
          <w:marRight w:val="0"/>
          <w:marTop w:val="0"/>
          <w:marBottom w:val="0"/>
          <w:divBdr>
            <w:top w:val="none" w:sz="0" w:space="0" w:color="auto"/>
            <w:left w:val="none" w:sz="0" w:space="0" w:color="auto"/>
            <w:bottom w:val="none" w:sz="0" w:space="0" w:color="auto"/>
            <w:right w:val="none" w:sz="0" w:space="0" w:color="auto"/>
          </w:divBdr>
        </w:div>
      </w:divsChild>
    </w:div>
    <w:div w:id="1395203666">
      <w:bodyDiv w:val="1"/>
      <w:marLeft w:val="0"/>
      <w:marRight w:val="0"/>
      <w:marTop w:val="0"/>
      <w:marBottom w:val="0"/>
      <w:divBdr>
        <w:top w:val="none" w:sz="0" w:space="0" w:color="auto"/>
        <w:left w:val="none" w:sz="0" w:space="0" w:color="auto"/>
        <w:bottom w:val="none" w:sz="0" w:space="0" w:color="auto"/>
        <w:right w:val="none" w:sz="0" w:space="0" w:color="auto"/>
      </w:divBdr>
      <w:divsChild>
        <w:div w:id="66809159">
          <w:marLeft w:val="720"/>
          <w:marRight w:val="0"/>
          <w:marTop w:val="0"/>
          <w:marBottom w:val="120"/>
          <w:divBdr>
            <w:top w:val="none" w:sz="0" w:space="0" w:color="auto"/>
            <w:left w:val="none" w:sz="0" w:space="0" w:color="auto"/>
            <w:bottom w:val="none" w:sz="0" w:space="0" w:color="auto"/>
            <w:right w:val="none" w:sz="0" w:space="0" w:color="auto"/>
          </w:divBdr>
        </w:div>
      </w:divsChild>
    </w:div>
    <w:div w:id="1402022332">
      <w:bodyDiv w:val="1"/>
      <w:marLeft w:val="0"/>
      <w:marRight w:val="0"/>
      <w:marTop w:val="0"/>
      <w:marBottom w:val="0"/>
      <w:divBdr>
        <w:top w:val="none" w:sz="0" w:space="0" w:color="auto"/>
        <w:left w:val="none" w:sz="0" w:space="0" w:color="auto"/>
        <w:bottom w:val="none" w:sz="0" w:space="0" w:color="auto"/>
        <w:right w:val="none" w:sz="0" w:space="0" w:color="auto"/>
      </w:divBdr>
      <w:divsChild>
        <w:div w:id="261648694">
          <w:marLeft w:val="1080"/>
          <w:marRight w:val="0"/>
          <w:marTop w:val="0"/>
          <w:marBottom w:val="120"/>
          <w:divBdr>
            <w:top w:val="none" w:sz="0" w:space="0" w:color="auto"/>
            <w:left w:val="none" w:sz="0" w:space="0" w:color="auto"/>
            <w:bottom w:val="none" w:sz="0" w:space="0" w:color="auto"/>
            <w:right w:val="none" w:sz="0" w:space="0" w:color="auto"/>
          </w:divBdr>
        </w:div>
        <w:div w:id="588125541">
          <w:marLeft w:val="1080"/>
          <w:marRight w:val="0"/>
          <w:marTop w:val="0"/>
          <w:marBottom w:val="120"/>
          <w:divBdr>
            <w:top w:val="none" w:sz="0" w:space="0" w:color="auto"/>
            <w:left w:val="none" w:sz="0" w:space="0" w:color="auto"/>
            <w:bottom w:val="none" w:sz="0" w:space="0" w:color="auto"/>
            <w:right w:val="none" w:sz="0" w:space="0" w:color="auto"/>
          </w:divBdr>
        </w:div>
      </w:divsChild>
    </w:div>
    <w:div w:id="1563953502">
      <w:bodyDiv w:val="1"/>
      <w:marLeft w:val="0"/>
      <w:marRight w:val="0"/>
      <w:marTop w:val="0"/>
      <w:marBottom w:val="0"/>
      <w:divBdr>
        <w:top w:val="none" w:sz="0" w:space="0" w:color="auto"/>
        <w:left w:val="none" w:sz="0" w:space="0" w:color="auto"/>
        <w:bottom w:val="none" w:sz="0" w:space="0" w:color="auto"/>
        <w:right w:val="none" w:sz="0" w:space="0" w:color="auto"/>
      </w:divBdr>
    </w:div>
    <w:div w:id="1636252714">
      <w:bodyDiv w:val="1"/>
      <w:marLeft w:val="0"/>
      <w:marRight w:val="0"/>
      <w:marTop w:val="0"/>
      <w:marBottom w:val="0"/>
      <w:divBdr>
        <w:top w:val="none" w:sz="0" w:space="0" w:color="auto"/>
        <w:left w:val="none" w:sz="0" w:space="0" w:color="auto"/>
        <w:bottom w:val="none" w:sz="0" w:space="0" w:color="auto"/>
        <w:right w:val="none" w:sz="0" w:space="0" w:color="auto"/>
      </w:divBdr>
      <w:divsChild>
        <w:div w:id="724837428">
          <w:marLeft w:val="720"/>
          <w:marRight w:val="0"/>
          <w:marTop w:val="0"/>
          <w:marBottom w:val="120"/>
          <w:divBdr>
            <w:top w:val="none" w:sz="0" w:space="0" w:color="auto"/>
            <w:left w:val="none" w:sz="0" w:space="0" w:color="auto"/>
            <w:bottom w:val="none" w:sz="0" w:space="0" w:color="auto"/>
            <w:right w:val="none" w:sz="0" w:space="0" w:color="auto"/>
          </w:divBdr>
        </w:div>
      </w:divsChild>
    </w:div>
    <w:div w:id="1757899777">
      <w:bodyDiv w:val="1"/>
      <w:marLeft w:val="0"/>
      <w:marRight w:val="0"/>
      <w:marTop w:val="0"/>
      <w:marBottom w:val="0"/>
      <w:divBdr>
        <w:top w:val="none" w:sz="0" w:space="0" w:color="auto"/>
        <w:left w:val="none" w:sz="0" w:space="0" w:color="auto"/>
        <w:bottom w:val="none" w:sz="0" w:space="0" w:color="auto"/>
        <w:right w:val="none" w:sz="0" w:space="0" w:color="auto"/>
      </w:divBdr>
    </w:div>
    <w:div w:id="2001958684">
      <w:bodyDiv w:val="1"/>
      <w:marLeft w:val="0"/>
      <w:marRight w:val="0"/>
      <w:marTop w:val="0"/>
      <w:marBottom w:val="0"/>
      <w:divBdr>
        <w:top w:val="none" w:sz="0" w:space="0" w:color="auto"/>
        <w:left w:val="none" w:sz="0" w:space="0" w:color="auto"/>
        <w:bottom w:val="none" w:sz="0" w:space="0" w:color="auto"/>
        <w:right w:val="none" w:sz="0" w:space="0" w:color="auto"/>
      </w:divBdr>
      <w:divsChild>
        <w:div w:id="1925845290">
          <w:marLeft w:val="0"/>
          <w:marRight w:val="0"/>
          <w:marTop w:val="0"/>
          <w:marBottom w:val="0"/>
          <w:divBdr>
            <w:top w:val="none" w:sz="0" w:space="0" w:color="auto"/>
            <w:left w:val="none" w:sz="0" w:space="0" w:color="auto"/>
            <w:bottom w:val="none" w:sz="0" w:space="0" w:color="auto"/>
            <w:right w:val="none" w:sz="0" w:space="0" w:color="auto"/>
          </w:divBdr>
        </w:div>
      </w:divsChild>
    </w:div>
    <w:div w:id="2080471374">
      <w:bodyDiv w:val="1"/>
      <w:marLeft w:val="0"/>
      <w:marRight w:val="0"/>
      <w:marTop w:val="0"/>
      <w:marBottom w:val="0"/>
      <w:divBdr>
        <w:top w:val="none" w:sz="0" w:space="0" w:color="auto"/>
        <w:left w:val="none" w:sz="0" w:space="0" w:color="auto"/>
        <w:bottom w:val="none" w:sz="0" w:space="0" w:color="auto"/>
        <w:right w:val="none" w:sz="0" w:space="0" w:color="auto"/>
      </w:divBdr>
      <w:divsChild>
        <w:div w:id="1255821407">
          <w:marLeft w:val="720"/>
          <w:marRight w:val="0"/>
          <w:marTop w:val="0"/>
          <w:marBottom w:val="120"/>
          <w:divBdr>
            <w:top w:val="none" w:sz="0" w:space="0" w:color="auto"/>
            <w:left w:val="none" w:sz="0" w:space="0" w:color="auto"/>
            <w:bottom w:val="none" w:sz="0" w:space="0" w:color="auto"/>
            <w:right w:val="none" w:sz="0" w:space="0" w:color="auto"/>
          </w:divBdr>
        </w:div>
      </w:divsChild>
    </w:div>
    <w:div w:id="2118209740">
      <w:bodyDiv w:val="1"/>
      <w:marLeft w:val="0"/>
      <w:marRight w:val="0"/>
      <w:marTop w:val="0"/>
      <w:marBottom w:val="0"/>
      <w:divBdr>
        <w:top w:val="none" w:sz="0" w:space="0" w:color="auto"/>
        <w:left w:val="none" w:sz="0" w:space="0" w:color="auto"/>
        <w:bottom w:val="none" w:sz="0" w:space="0" w:color="auto"/>
        <w:right w:val="none" w:sz="0" w:space="0" w:color="auto"/>
      </w:divBdr>
      <w:divsChild>
        <w:div w:id="789592122">
          <w:marLeft w:val="360"/>
          <w:marRight w:val="0"/>
          <w:marTop w:val="0"/>
          <w:marBottom w:val="0"/>
          <w:divBdr>
            <w:top w:val="none" w:sz="0" w:space="0" w:color="auto"/>
            <w:left w:val="none" w:sz="0" w:space="0" w:color="auto"/>
            <w:bottom w:val="none" w:sz="0" w:space="0" w:color="auto"/>
            <w:right w:val="none" w:sz="0" w:space="0" w:color="auto"/>
          </w:divBdr>
        </w:div>
        <w:div w:id="1319068923">
          <w:marLeft w:val="360"/>
          <w:marRight w:val="0"/>
          <w:marTop w:val="0"/>
          <w:marBottom w:val="0"/>
          <w:divBdr>
            <w:top w:val="none" w:sz="0" w:space="0" w:color="auto"/>
            <w:left w:val="none" w:sz="0" w:space="0" w:color="auto"/>
            <w:bottom w:val="none" w:sz="0" w:space="0" w:color="auto"/>
            <w:right w:val="none" w:sz="0" w:space="0" w:color="auto"/>
          </w:divBdr>
        </w:div>
        <w:div w:id="95950053">
          <w:marLeft w:val="360"/>
          <w:marRight w:val="0"/>
          <w:marTop w:val="0"/>
          <w:marBottom w:val="0"/>
          <w:divBdr>
            <w:top w:val="none" w:sz="0" w:space="0" w:color="auto"/>
            <w:left w:val="none" w:sz="0" w:space="0" w:color="auto"/>
            <w:bottom w:val="none" w:sz="0" w:space="0" w:color="auto"/>
            <w:right w:val="none" w:sz="0" w:space="0" w:color="auto"/>
          </w:divBdr>
        </w:div>
        <w:div w:id="385033225">
          <w:marLeft w:val="360"/>
          <w:marRight w:val="0"/>
          <w:marTop w:val="0"/>
          <w:marBottom w:val="120"/>
          <w:divBdr>
            <w:top w:val="none" w:sz="0" w:space="0" w:color="auto"/>
            <w:left w:val="none" w:sz="0" w:space="0" w:color="auto"/>
            <w:bottom w:val="none" w:sz="0" w:space="0" w:color="auto"/>
            <w:right w:val="none" w:sz="0" w:space="0" w:color="auto"/>
          </w:divBdr>
        </w:div>
      </w:divsChild>
    </w:div>
    <w:div w:id="2137289456">
      <w:bodyDiv w:val="1"/>
      <w:marLeft w:val="0"/>
      <w:marRight w:val="0"/>
      <w:marTop w:val="0"/>
      <w:marBottom w:val="0"/>
      <w:divBdr>
        <w:top w:val="none" w:sz="0" w:space="0" w:color="auto"/>
        <w:left w:val="none" w:sz="0" w:space="0" w:color="auto"/>
        <w:bottom w:val="none" w:sz="0" w:space="0" w:color="auto"/>
        <w:right w:val="none" w:sz="0" w:space="0" w:color="auto"/>
      </w:divBdr>
      <w:divsChild>
        <w:div w:id="578370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0EC8A-471F-457F-BC6B-7AC1E9199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1240</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8292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2</cp:revision>
  <dcterms:created xsi:type="dcterms:W3CDTF">2016-08-12T15:32:00Z</dcterms:created>
  <dcterms:modified xsi:type="dcterms:W3CDTF">2016-08-12T15:32:00Z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