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FB707" w14:textId="61F72425" w:rsidR="00701CED" w:rsidRPr="00B266B0" w:rsidRDefault="00701CED" w:rsidP="00701CED">
      <w:pPr>
        <w:pStyle w:val="Header"/>
        <w:tabs>
          <w:tab w:val="right" w:pos="9639"/>
        </w:tabs>
        <w:rPr>
          <w:bCs/>
          <w:i/>
          <w:noProof w:val="0"/>
          <w:sz w:val="24"/>
          <w:szCs w:val="24"/>
        </w:rPr>
      </w:pPr>
      <w:bookmarkStart w:id="0" w:name="_Ref409427574"/>
      <w:bookmarkStart w:id="1" w:name="_Ref409427655"/>
      <w:r w:rsidRPr="00B266B0">
        <w:rPr>
          <w:bCs/>
          <w:noProof w:val="0"/>
          <w:sz w:val="24"/>
          <w:szCs w:val="24"/>
        </w:rPr>
        <w:t>3GPP T</w:t>
      </w:r>
      <w:bookmarkStart w:id="2" w:name="_Ref452454252"/>
      <w:bookmarkEnd w:id="2"/>
      <w:r w:rsidRPr="00B266B0">
        <w:rPr>
          <w:bCs/>
          <w:noProof w:val="0"/>
          <w:sz w:val="24"/>
          <w:szCs w:val="24"/>
        </w:rPr>
        <w:t xml:space="preserve">SG-RAN </w:t>
      </w:r>
      <w:r w:rsidR="00AA6EBE">
        <w:rPr>
          <w:noProof w:val="0"/>
          <w:sz w:val="24"/>
          <w:szCs w:val="24"/>
        </w:rPr>
        <w:t>WG2 Meeting #91</w:t>
      </w:r>
      <w:r w:rsidRPr="00B266B0">
        <w:rPr>
          <w:bCs/>
          <w:noProof w:val="0"/>
          <w:sz w:val="24"/>
          <w:szCs w:val="24"/>
        </w:rPr>
        <w:tab/>
      </w:r>
      <w:r w:rsidR="00207CC8" w:rsidRPr="00207CC8">
        <w:rPr>
          <w:bCs/>
          <w:noProof w:val="0"/>
          <w:sz w:val="24"/>
          <w:szCs w:val="24"/>
        </w:rPr>
        <w:t>R2-153800</w:t>
      </w:r>
    </w:p>
    <w:p w14:paraId="02DD4E34" w14:textId="77777777" w:rsidR="00701CED" w:rsidRPr="00B266B0" w:rsidRDefault="00FA07ED" w:rsidP="00701CED">
      <w:pPr>
        <w:pStyle w:val="Header"/>
        <w:tabs>
          <w:tab w:val="right" w:pos="9639"/>
        </w:tabs>
        <w:rPr>
          <w:bCs/>
          <w:noProof w:val="0"/>
          <w:sz w:val="24"/>
          <w:szCs w:val="24"/>
        </w:rPr>
      </w:pPr>
      <w:r>
        <w:rPr>
          <w:rFonts w:eastAsia="SimSun"/>
          <w:noProof w:val="0"/>
          <w:sz w:val="24"/>
          <w:szCs w:val="24"/>
          <w:lang w:eastAsia="zh-CN"/>
        </w:rPr>
        <w:t>B</w:t>
      </w:r>
      <w:r w:rsidR="00AA6EBE">
        <w:rPr>
          <w:rFonts w:eastAsia="SimSun"/>
          <w:noProof w:val="0"/>
          <w:sz w:val="24"/>
          <w:szCs w:val="24"/>
          <w:lang w:eastAsia="zh-CN"/>
        </w:rPr>
        <w:t>eijing</w:t>
      </w:r>
      <w:r w:rsidR="00701CED" w:rsidRPr="00095E9A">
        <w:rPr>
          <w:rFonts w:eastAsia="SimSun"/>
          <w:noProof w:val="0"/>
          <w:sz w:val="24"/>
          <w:szCs w:val="24"/>
          <w:lang w:eastAsia="zh-CN"/>
        </w:rPr>
        <w:t xml:space="preserve">, </w:t>
      </w:r>
      <w:r w:rsidR="00AA6EBE">
        <w:rPr>
          <w:rFonts w:eastAsia="SimSun"/>
          <w:noProof w:val="0"/>
          <w:sz w:val="24"/>
          <w:szCs w:val="24"/>
          <w:lang w:eastAsia="zh-CN"/>
        </w:rPr>
        <w:t>Chin</w:t>
      </w:r>
      <w:r>
        <w:rPr>
          <w:rFonts w:eastAsia="SimSun"/>
          <w:noProof w:val="0"/>
          <w:sz w:val="24"/>
          <w:szCs w:val="24"/>
          <w:lang w:eastAsia="zh-CN"/>
        </w:rPr>
        <w:t>a</w:t>
      </w:r>
      <w:r w:rsidR="00701CED" w:rsidRPr="00B266B0">
        <w:rPr>
          <w:rFonts w:eastAsia="SimSun"/>
          <w:noProof w:val="0"/>
          <w:sz w:val="24"/>
          <w:szCs w:val="24"/>
          <w:lang w:eastAsia="zh-CN"/>
        </w:rPr>
        <w:t xml:space="preserve">, </w:t>
      </w:r>
      <w:r>
        <w:rPr>
          <w:rFonts w:eastAsia="SimSun"/>
          <w:noProof w:val="0"/>
          <w:sz w:val="24"/>
          <w:szCs w:val="24"/>
          <w:lang w:eastAsia="zh-CN"/>
        </w:rPr>
        <w:t>2</w:t>
      </w:r>
      <w:r w:rsidR="00AA6EBE">
        <w:rPr>
          <w:rFonts w:eastAsia="SimSun"/>
          <w:noProof w:val="0"/>
          <w:sz w:val="24"/>
          <w:szCs w:val="24"/>
          <w:lang w:eastAsia="zh-CN"/>
        </w:rPr>
        <w:t>4</w:t>
      </w:r>
      <w:r w:rsidR="00701CED">
        <w:rPr>
          <w:rFonts w:eastAsia="SimSun"/>
          <w:noProof w:val="0"/>
          <w:sz w:val="24"/>
          <w:szCs w:val="24"/>
          <w:lang w:eastAsia="zh-CN"/>
        </w:rPr>
        <w:t xml:space="preserve"> - </w:t>
      </w:r>
      <w:r>
        <w:rPr>
          <w:rFonts w:eastAsia="SimSun"/>
          <w:noProof w:val="0"/>
          <w:sz w:val="24"/>
          <w:szCs w:val="24"/>
          <w:lang w:eastAsia="zh-CN"/>
        </w:rPr>
        <w:t>2</w:t>
      </w:r>
      <w:r w:rsidR="00AA6EBE">
        <w:rPr>
          <w:rFonts w:eastAsia="SimSun"/>
          <w:noProof w:val="0"/>
          <w:sz w:val="24"/>
          <w:szCs w:val="24"/>
          <w:lang w:eastAsia="zh-CN"/>
        </w:rPr>
        <w:t>8</w:t>
      </w:r>
      <w:r w:rsidR="00701CED">
        <w:rPr>
          <w:rFonts w:eastAsia="SimSun"/>
          <w:noProof w:val="0"/>
          <w:sz w:val="24"/>
          <w:szCs w:val="24"/>
          <w:lang w:eastAsia="zh-CN"/>
        </w:rPr>
        <w:t xml:space="preserve"> </w:t>
      </w:r>
      <w:r>
        <w:rPr>
          <w:rFonts w:eastAsia="SimSun"/>
          <w:noProof w:val="0"/>
          <w:sz w:val="24"/>
          <w:szCs w:val="24"/>
          <w:lang w:eastAsia="zh-CN"/>
        </w:rPr>
        <w:t>A</w:t>
      </w:r>
      <w:r w:rsidR="00AA6EBE">
        <w:rPr>
          <w:rFonts w:eastAsia="SimSun"/>
          <w:noProof w:val="0"/>
          <w:sz w:val="24"/>
          <w:szCs w:val="24"/>
          <w:lang w:eastAsia="zh-CN"/>
        </w:rPr>
        <w:t>ugust</w:t>
      </w:r>
      <w:r w:rsidR="00701CED">
        <w:rPr>
          <w:rFonts w:eastAsia="SimSun"/>
          <w:noProof w:val="0"/>
          <w:sz w:val="24"/>
          <w:szCs w:val="24"/>
          <w:lang w:eastAsia="zh-CN"/>
        </w:rPr>
        <w:t xml:space="preserve"> 2015</w:t>
      </w:r>
    </w:p>
    <w:p w14:paraId="7F0DDF61" w14:textId="77777777" w:rsidR="00701CED" w:rsidRPr="00B266B0" w:rsidRDefault="00701CED" w:rsidP="00701CED">
      <w:pPr>
        <w:pStyle w:val="Header"/>
        <w:rPr>
          <w:bCs/>
          <w:noProof w:val="0"/>
          <w:sz w:val="24"/>
        </w:rPr>
      </w:pPr>
    </w:p>
    <w:p w14:paraId="523F78D0" w14:textId="77777777" w:rsidR="00701CED" w:rsidRPr="00B266B0" w:rsidRDefault="00701CED" w:rsidP="00701CED">
      <w:pPr>
        <w:pStyle w:val="Header"/>
        <w:rPr>
          <w:bCs/>
          <w:noProof w:val="0"/>
          <w:sz w:val="24"/>
        </w:rPr>
      </w:pPr>
    </w:p>
    <w:p w14:paraId="680A959B" w14:textId="77777777" w:rsidR="00701CED" w:rsidRPr="00B266B0" w:rsidRDefault="00701CED" w:rsidP="00701CED">
      <w:pPr>
        <w:pStyle w:val="CRCoverPage"/>
        <w:rPr>
          <w:rFonts w:cs="Arial"/>
          <w:b/>
          <w:bCs/>
          <w:sz w:val="24"/>
          <w:lang w:eastAsia="ja-JP"/>
        </w:rPr>
      </w:pPr>
      <w:r w:rsidRPr="00B266B0">
        <w:rPr>
          <w:rFonts w:cs="Arial"/>
          <w:b/>
          <w:bCs/>
          <w:sz w:val="24"/>
        </w:rPr>
        <w:t>Agenda item:</w:t>
      </w:r>
      <w:r w:rsidRPr="00B266B0">
        <w:rPr>
          <w:rFonts w:cs="Arial"/>
          <w:b/>
          <w:bCs/>
          <w:sz w:val="24"/>
        </w:rPr>
        <w:tab/>
      </w:r>
      <w:r w:rsidRPr="00B266B0">
        <w:rPr>
          <w:rFonts w:cs="Arial"/>
          <w:b/>
          <w:bCs/>
          <w:sz w:val="24"/>
        </w:rPr>
        <w:tab/>
      </w:r>
      <w:r>
        <w:rPr>
          <w:rFonts w:cs="Arial"/>
          <w:b/>
          <w:bCs/>
          <w:sz w:val="24"/>
          <w:lang w:eastAsia="ja-JP"/>
        </w:rPr>
        <w:t>6.1.1</w:t>
      </w:r>
    </w:p>
    <w:p w14:paraId="791A5789" w14:textId="77777777" w:rsidR="00701CED" w:rsidRPr="00B266B0" w:rsidRDefault="00701CED" w:rsidP="00701CE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8E5765">
        <w:rPr>
          <w:rFonts w:ascii="Arial" w:hAnsi="Arial" w:cs="Arial"/>
          <w:b/>
          <w:bCs/>
          <w:sz w:val="24"/>
        </w:rPr>
        <w:t>Qualcomm Incorporated</w:t>
      </w:r>
    </w:p>
    <w:p w14:paraId="029D291F" w14:textId="60ADD8A4" w:rsidR="00701CED" w:rsidRDefault="00701CED" w:rsidP="00701CE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1D0A">
        <w:rPr>
          <w:rFonts w:ascii="Arial" w:hAnsi="Arial" w:cs="Arial"/>
          <w:b/>
          <w:bCs/>
          <w:sz w:val="24"/>
        </w:rPr>
        <w:t xml:space="preserve">A simplified </w:t>
      </w:r>
      <w:r w:rsidR="00473E5E">
        <w:rPr>
          <w:rFonts w:ascii="Arial" w:hAnsi="Arial" w:cs="Arial"/>
          <w:b/>
          <w:bCs/>
          <w:sz w:val="24"/>
        </w:rPr>
        <w:t>IDC enhancement</w:t>
      </w:r>
      <w:r>
        <w:rPr>
          <w:rFonts w:ascii="Arial" w:hAnsi="Arial" w:cs="Arial"/>
          <w:b/>
          <w:bCs/>
          <w:sz w:val="24"/>
        </w:rPr>
        <w:t xml:space="preserve"> for </w:t>
      </w:r>
      <w:r w:rsidRPr="00A046A0">
        <w:rPr>
          <w:rFonts w:ascii="Arial" w:hAnsi="Arial" w:cs="Arial"/>
          <w:b/>
          <w:bCs/>
          <w:sz w:val="24"/>
        </w:rPr>
        <w:t>UL inter-band CA</w:t>
      </w:r>
      <w:r w:rsidR="00473E5E">
        <w:rPr>
          <w:rFonts w:ascii="Arial" w:hAnsi="Arial" w:cs="Arial"/>
          <w:b/>
          <w:bCs/>
          <w:sz w:val="24"/>
        </w:rPr>
        <w:t xml:space="preserve"> IMD</w:t>
      </w:r>
      <w:r w:rsidRPr="00A046A0">
        <w:rPr>
          <w:rFonts w:ascii="Arial" w:hAnsi="Arial" w:cs="Arial"/>
          <w:b/>
          <w:bCs/>
          <w:sz w:val="24"/>
        </w:rPr>
        <w:t xml:space="preserve"> </w:t>
      </w:r>
      <w:r w:rsidR="00FA07ED">
        <w:rPr>
          <w:rFonts w:ascii="Arial" w:hAnsi="Arial" w:cs="Arial"/>
          <w:b/>
          <w:bCs/>
          <w:sz w:val="24"/>
        </w:rPr>
        <w:t xml:space="preserve">interference to </w:t>
      </w:r>
      <w:r w:rsidR="00473E5E">
        <w:rPr>
          <w:rFonts w:ascii="Arial" w:hAnsi="Arial" w:cs="Arial"/>
          <w:b/>
          <w:bCs/>
          <w:sz w:val="24"/>
        </w:rPr>
        <w:t>GNSS</w:t>
      </w:r>
    </w:p>
    <w:p w14:paraId="623F3199" w14:textId="77777777" w:rsidR="00701CED" w:rsidRPr="00B266B0" w:rsidRDefault="00701CED" w:rsidP="00701CED">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 xml:space="preserve">Discussion </w:t>
      </w:r>
    </w:p>
    <w:p w14:paraId="2D5EA249" w14:textId="77777777" w:rsidR="00701CED" w:rsidRPr="005006A4" w:rsidRDefault="00701CED" w:rsidP="00701CED">
      <w:pPr>
        <w:pStyle w:val="Heading1"/>
      </w:pPr>
      <w:r w:rsidRPr="005006A4">
        <w:t>Introduction</w:t>
      </w:r>
    </w:p>
    <w:p w14:paraId="678E1CB8" w14:textId="5CC5453A" w:rsidR="00A675D0" w:rsidRDefault="00666E2C" w:rsidP="00701CED">
      <w:pPr>
        <w:jc w:val="both"/>
        <w:rPr>
          <w:lang w:val="en-US"/>
        </w:rPr>
      </w:pPr>
      <w:r>
        <w:rPr>
          <w:lang w:val="en-US"/>
        </w:rPr>
        <w:t xml:space="preserve">In </w:t>
      </w:r>
      <w:r w:rsidR="00A675D0">
        <w:rPr>
          <w:lang w:val="en-US"/>
        </w:rPr>
        <w:t>recent RAN2 offline email communication</w:t>
      </w:r>
      <w:r>
        <w:rPr>
          <w:lang w:val="en-US"/>
        </w:rPr>
        <w:t>s</w:t>
      </w:r>
      <w:r w:rsidR="00A675D0">
        <w:rPr>
          <w:lang w:val="en-US"/>
        </w:rPr>
        <w:t xml:space="preserve"> and </w:t>
      </w:r>
      <w:r w:rsidR="00C558E5">
        <w:rPr>
          <w:lang w:val="en-US"/>
        </w:rPr>
        <w:t>last</w:t>
      </w:r>
      <w:r w:rsidR="00A675D0">
        <w:rPr>
          <w:lang w:val="en-US"/>
        </w:rPr>
        <w:t xml:space="preserve"> RAN4 </w:t>
      </w:r>
      <w:r>
        <w:rPr>
          <w:lang w:val="en-US"/>
        </w:rPr>
        <w:t>meeting</w:t>
      </w:r>
      <w:r w:rsidR="00A675D0">
        <w:rPr>
          <w:lang w:val="en-US"/>
        </w:rPr>
        <w:t xml:space="preserve">, </w:t>
      </w:r>
    </w:p>
    <w:p w14:paraId="779C283B" w14:textId="260511FB" w:rsidR="00A675D0" w:rsidRPr="0017132F" w:rsidRDefault="00A675D0" w:rsidP="00A675D0">
      <w:pPr>
        <w:pStyle w:val="ListParagraph"/>
        <w:numPr>
          <w:ilvl w:val="0"/>
          <w:numId w:val="47"/>
        </w:numPr>
        <w:jc w:val="both"/>
        <w:rPr>
          <w:rFonts w:ascii="Times New Roman" w:hAnsi="Times New Roman"/>
          <w:sz w:val="20"/>
          <w:szCs w:val="20"/>
        </w:rPr>
      </w:pPr>
      <w:r w:rsidRPr="0017132F">
        <w:rPr>
          <w:rFonts w:ascii="Times New Roman" w:hAnsi="Times New Roman"/>
          <w:sz w:val="20"/>
          <w:szCs w:val="20"/>
        </w:rPr>
        <w:t xml:space="preserve">There is no consensus that WLAN/BT should be included </w:t>
      </w:r>
      <w:r w:rsidR="009A307C">
        <w:rPr>
          <w:rFonts w:ascii="Times New Roman" w:hAnsi="Times New Roman"/>
          <w:sz w:val="20"/>
          <w:szCs w:val="20"/>
        </w:rPr>
        <w:t>in</w:t>
      </w:r>
      <w:r w:rsidRPr="0017132F">
        <w:rPr>
          <w:rFonts w:ascii="Times New Roman" w:hAnsi="Times New Roman"/>
          <w:sz w:val="20"/>
          <w:szCs w:val="20"/>
        </w:rPr>
        <w:t xml:space="preserve"> the IDC enhancement to solve UL CA</w:t>
      </w:r>
      <w:r w:rsidR="00646CF1">
        <w:rPr>
          <w:rFonts w:ascii="Times New Roman" w:hAnsi="Times New Roman"/>
          <w:sz w:val="20"/>
          <w:szCs w:val="20"/>
        </w:rPr>
        <w:t xml:space="preserve"> IMD</w:t>
      </w:r>
      <w:r w:rsidRPr="0017132F">
        <w:rPr>
          <w:rFonts w:ascii="Times New Roman" w:hAnsi="Times New Roman"/>
          <w:sz w:val="20"/>
          <w:szCs w:val="20"/>
        </w:rPr>
        <w:t xml:space="preserve"> interference issue. In addition, we do not think the IDC enhancement being discussed has performance gain </w:t>
      </w:r>
      <w:r w:rsidR="00536581">
        <w:rPr>
          <w:rFonts w:ascii="Times New Roman" w:hAnsi="Times New Roman"/>
          <w:sz w:val="20"/>
          <w:szCs w:val="20"/>
        </w:rPr>
        <w:t>when</w:t>
      </w:r>
      <w:r w:rsidRPr="0017132F">
        <w:rPr>
          <w:rFonts w:ascii="Times New Roman" w:hAnsi="Times New Roman"/>
          <w:sz w:val="20"/>
          <w:szCs w:val="20"/>
        </w:rPr>
        <w:t xml:space="preserve"> the victim system is WLAN/BT.</w:t>
      </w:r>
    </w:p>
    <w:p w14:paraId="15704B78" w14:textId="50710E9F" w:rsidR="0017132F" w:rsidRPr="00940FE3" w:rsidRDefault="003675B5" w:rsidP="00905FC8">
      <w:pPr>
        <w:pStyle w:val="ListParagraph"/>
        <w:numPr>
          <w:ilvl w:val="0"/>
          <w:numId w:val="47"/>
        </w:numPr>
        <w:jc w:val="both"/>
      </w:pPr>
      <w:r w:rsidRPr="0017132F">
        <w:rPr>
          <w:rFonts w:ascii="Times New Roman" w:hAnsi="Times New Roman"/>
          <w:sz w:val="20"/>
          <w:szCs w:val="20"/>
        </w:rPr>
        <w:t xml:space="preserve">At least two infra companies expressed the message that complex enhancement </w:t>
      </w:r>
      <w:r w:rsidR="00A85DE8">
        <w:rPr>
          <w:rFonts w:ascii="Times New Roman" w:hAnsi="Times New Roman"/>
          <w:sz w:val="20"/>
          <w:szCs w:val="20"/>
        </w:rPr>
        <w:t>is hard to</w:t>
      </w:r>
      <w:r w:rsidRPr="0017132F">
        <w:rPr>
          <w:rFonts w:ascii="Times New Roman" w:hAnsi="Times New Roman"/>
          <w:sz w:val="20"/>
          <w:szCs w:val="20"/>
        </w:rPr>
        <w:t xml:space="preserve"> deploy.</w:t>
      </w:r>
      <w:r w:rsidR="00940FE3">
        <w:rPr>
          <w:rFonts w:ascii="Times New Roman" w:hAnsi="Times New Roman"/>
          <w:sz w:val="20"/>
          <w:szCs w:val="20"/>
        </w:rPr>
        <w:t xml:space="preserve"> </w:t>
      </w:r>
    </w:p>
    <w:p w14:paraId="78B5D099" w14:textId="77777777" w:rsidR="00940FE3" w:rsidRDefault="00940FE3" w:rsidP="00701CED">
      <w:pPr>
        <w:jc w:val="both"/>
        <w:rPr>
          <w:lang w:val="en-US"/>
        </w:rPr>
      </w:pPr>
    </w:p>
    <w:p w14:paraId="00554733" w14:textId="0D56EBCD" w:rsidR="001C5451" w:rsidRDefault="003675B5" w:rsidP="00701CED">
      <w:pPr>
        <w:jc w:val="both"/>
        <w:rPr>
          <w:lang w:val="en-US"/>
        </w:rPr>
      </w:pPr>
      <w:r>
        <w:rPr>
          <w:lang w:val="en-US"/>
        </w:rPr>
        <w:t xml:space="preserve">Considering both points above, we propose to </w:t>
      </w:r>
      <w:r w:rsidR="001C5451">
        <w:rPr>
          <w:lang w:val="en-US"/>
        </w:rPr>
        <w:t xml:space="preserve">simplify the enhancement proposal in the following </w:t>
      </w:r>
      <w:r w:rsidR="007A6CF5">
        <w:rPr>
          <w:lang w:val="en-US"/>
        </w:rPr>
        <w:t>aspects</w:t>
      </w:r>
      <w:r w:rsidR="001C5451">
        <w:rPr>
          <w:lang w:val="en-US"/>
        </w:rPr>
        <w:t xml:space="preserve">. </w:t>
      </w:r>
    </w:p>
    <w:p w14:paraId="4E6FB83A" w14:textId="7ED3B35C" w:rsidR="001C5451" w:rsidRPr="001C5451" w:rsidRDefault="001C5451" w:rsidP="001C5451">
      <w:pPr>
        <w:pStyle w:val="ListParagraph"/>
        <w:numPr>
          <w:ilvl w:val="0"/>
          <w:numId w:val="47"/>
        </w:numPr>
        <w:jc w:val="both"/>
        <w:rPr>
          <w:rFonts w:ascii="Times New Roman" w:hAnsi="Times New Roman"/>
          <w:sz w:val="20"/>
          <w:szCs w:val="20"/>
        </w:rPr>
      </w:pPr>
      <w:r w:rsidRPr="001C5451">
        <w:rPr>
          <w:rFonts w:ascii="Times New Roman" w:hAnsi="Times New Roman"/>
          <w:sz w:val="20"/>
          <w:szCs w:val="20"/>
        </w:rPr>
        <w:t>Introduce</w:t>
      </w:r>
      <w:r w:rsidR="003675B5" w:rsidRPr="001C5451">
        <w:rPr>
          <w:rFonts w:ascii="Times New Roman" w:hAnsi="Times New Roman"/>
          <w:sz w:val="20"/>
          <w:szCs w:val="20"/>
        </w:rPr>
        <w:t xml:space="preserve"> the IDC enhancement only for GNSS systems and leave the enhancement for WLAN/BT for the future. </w:t>
      </w:r>
    </w:p>
    <w:p w14:paraId="17F64347" w14:textId="64E16CA4" w:rsidR="001C5451" w:rsidRPr="001C5451" w:rsidRDefault="001C5451" w:rsidP="001C5451">
      <w:pPr>
        <w:pStyle w:val="ListParagraph"/>
        <w:numPr>
          <w:ilvl w:val="0"/>
          <w:numId w:val="47"/>
        </w:numPr>
        <w:jc w:val="both"/>
        <w:rPr>
          <w:rFonts w:ascii="Times New Roman" w:hAnsi="Times New Roman"/>
          <w:sz w:val="20"/>
          <w:szCs w:val="20"/>
        </w:rPr>
      </w:pPr>
      <w:r w:rsidRPr="001C5451">
        <w:rPr>
          <w:rFonts w:ascii="Times New Roman" w:hAnsi="Times New Roman"/>
          <w:sz w:val="20"/>
          <w:szCs w:val="20"/>
        </w:rPr>
        <w:t xml:space="preserve">UE only reports “GNSS systems” as victim system, but not “which GNSS systems”. </w:t>
      </w:r>
    </w:p>
    <w:p w14:paraId="3711B4E2" w14:textId="77777777" w:rsidR="001C5451" w:rsidRDefault="001C5451" w:rsidP="001C5451">
      <w:pPr>
        <w:jc w:val="both"/>
      </w:pPr>
    </w:p>
    <w:p w14:paraId="64A85825" w14:textId="2B8F9EDB" w:rsidR="003675B5" w:rsidRPr="001C5451" w:rsidRDefault="001C5451" w:rsidP="001C5451">
      <w:pPr>
        <w:jc w:val="both"/>
      </w:pPr>
      <w:r>
        <w:t>In our proposal, only a one-bit parameter is introduced for the enhancement (the CR is in [</w:t>
      </w:r>
      <w:r w:rsidR="00C71530">
        <w:t>1</w:t>
      </w:r>
      <w:r>
        <w:t xml:space="preserve">]). </w:t>
      </w:r>
    </w:p>
    <w:p w14:paraId="33EA858F" w14:textId="3FCDF4C6" w:rsidR="0063159E" w:rsidRDefault="006737FD" w:rsidP="00701CED">
      <w:pPr>
        <w:jc w:val="both"/>
        <w:rPr>
          <w:lang w:val="en-US"/>
        </w:rPr>
      </w:pPr>
      <w:r>
        <w:rPr>
          <w:lang w:val="en-US"/>
        </w:rPr>
        <w:t>For the</w:t>
      </w:r>
      <w:r w:rsidR="0063159E">
        <w:rPr>
          <w:lang w:val="en-US"/>
        </w:rPr>
        <w:t xml:space="preserve"> background of the topic, please refer to </w:t>
      </w:r>
      <w:r w:rsidR="0063159E" w:rsidRPr="0063159E">
        <w:rPr>
          <w:lang w:val="en-US"/>
        </w:rPr>
        <w:t>R2-151546</w:t>
      </w:r>
      <w:r w:rsidR="0063159E">
        <w:rPr>
          <w:lang w:val="en-US"/>
        </w:rPr>
        <w:t xml:space="preserve"> [</w:t>
      </w:r>
      <w:r w:rsidR="00CA2E77">
        <w:rPr>
          <w:lang w:val="en-US"/>
        </w:rPr>
        <w:t>2</w:t>
      </w:r>
      <w:r w:rsidR="0063159E">
        <w:rPr>
          <w:lang w:val="en-US"/>
        </w:rPr>
        <w:t>].</w:t>
      </w:r>
    </w:p>
    <w:p w14:paraId="3A827CFD" w14:textId="77777777" w:rsidR="00FE5EFD" w:rsidRDefault="00B37681" w:rsidP="00FE5EFD">
      <w:pPr>
        <w:pStyle w:val="Heading1"/>
        <w:rPr>
          <w:lang w:val="en-US"/>
        </w:rPr>
      </w:pPr>
      <w:r>
        <w:rPr>
          <w:lang w:val="en-US"/>
        </w:rPr>
        <w:t>Proposed IDC enhancements</w:t>
      </w:r>
    </w:p>
    <w:p w14:paraId="146381F7" w14:textId="6E699FED" w:rsidR="004502F3" w:rsidRDefault="004502F3" w:rsidP="004502F3">
      <w:pPr>
        <w:pStyle w:val="Heading2"/>
        <w:rPr>
          <w:lang w:val="en-US"/>
        </w:rPr>
      </w:pPr>
      <w:r>
        <w:rPr>
          <w:lang w:val="en-US"/>
        </w:rPr>
        <w:t>A simplified solution for GNSS victim</w:t>
      </w:r>
    </w:p>
    <w:p w14:paraId="487DA2BE" w14:textId="520BFF28" w:rsidR="004502F3" w:rsidRDefault="004502F3" w:rsidP="004502F3">
      <w:pPr>
        <w:jc w:val="both"/>
        <w:rPr>
          <w:lang w:val="en-US"/>
        </w:rPr>
      </w:pPr>
      <w:r>
        <w:rPr>
          <w:lang w:val="en-US"/>
        </w:rPr>
        <w:t>GNSS receiver may be affected by IM interference and it will be beneficial to indicate the victim system to eNB for efficient scheduling. In this case, if we do not provide GNSS as victim type, the best eNB can do is to avoid scheduling SCell in the indicated TDM subframes. But, this may turn out to be inefficient, if most of the resource blocks of the SCell are free of interference. This can be illustrated by the following example:</w:t>
      </w:r>
    </w:p>
    <w:p w14:paraId="16D92DD7" w14:textId="77777777" w:rsidR="004502F3" w:rsidRDefault="004502F3" w:rsidP="004502F3">
      <w:pPr>
        <w:jc w:val="both"/>
        <w:rPr>
          <w:lang w:val="en-US"/>
        </w:rPr>
      </w:pPr>
      <w:r>
        <w:rPr>
          <w:lang w:val="en-US"/>
        </w:rPr>
        <w:t>Consider LTE 20 MHz + 20 MHz UL CA with PCC UL on f1 = 1860.3 MHz (Band 2 UL EARFCN 18703) and SCC UL on f2 = 1743.1 MHz (Band 4 UL EARFCN 20281). It turns out that around 75 resource blocks on SCell are in fact free of interference to any GNSS type and can be scheduled at the same time as any of the 100 resource blocks from PCell. This was obtained by considering Equation 1 and all four GNSS systems (GPS, GLONASS, BDS, Galileo). Hence, if we provide GNSS as victim type, eNB can schedule on these resource blocks on SCell and thus minimize the reduction in throughput, as well as get more scheduling flexibility.</w:t>
      </w:r>
    </w:p>
    <w:p w14:paraId="5F07DF74" w14:textId="7D8081B9" w:rsidR="00345125" w:rsidRDefault="00345125" w:rsidP="00345125">
      <w:pPr>
        <w:jc w:val="both"/>
        <w:rPr>
          <w:b/>
        </w:rPr>
      </w:pPr>
      <w:r>
        <w:rPr>
          <w:b/>
        </w:rPr>
        <w:t>Observation 1: It improves LTE efficiency and eNB scheduler fl</w:t>
      </w:r>
      <w:r w:rsidR="00CA2E77">
        <w:rPr>
          <w:b/>
        </w:rPr>
        <w:t>e</w:t>
      </w:r>
      <w:r>
        <w:rPr>
          <w:b/>
        </w:rPr>
        <w:t xml:space="preserve">xibility if UE </w:t>
      </w:r>
      <w:r w:rsidR="00AE6A15">
        <w:rPr>
          <w:b/>
        </w:rPr>
        <w:t xml:space="preserve">can </w:t>
      </w:r>
      <w:r>
        <w:rPr>
          <w:b/>
        </w:rPr>
        <w:t>provide the victim type to the eNB</w:t>
      </w:r>
      <w:r w:rsidR="00D86D4F">
        <w:rPr>
          <w:b/>
        </w:rPr>
        <w:t xml:space="preserve"> in case of GNSS</w:t>
      </w:r>
      <w:r>
        <w:rPr>
          <w:b/>
        </w:rPr>
        <w:t xml:space="preserve">. </w:t>
      </w:r>
    </w:p>
    <w:p w14:paraId="589B7D80" w14:textId="42B1E4EF" w:rsidR="00D86D4F" w:rsidRDefault="00D86D4F" w:rsidP="00D86D4F">
      <w:pPr>
        <w:jc w:val="both"/>
        <w:rPr>
          <w:lang w:val="en-US"/>
        </w:rPr>
      </w:pPr>
      <w:r>
        <w:rPr>
          <w:lang w:val="en-US"/>
        </w:rPr>
        <w:t xml:space="preserve">In practice, a UE often uses more than one GNSS systems (e.g., GPS and GLONASS) simulataneously for positioning, in order to improve the positioning accuracy. </w:t>
      </w:r>
      <w:r w:rsidR="000C1842">
        <w:rPr>
          <w:lang w:val="en-US"/>
        </w:rPr>
        <w:t>Considering this and the fact that GNSS systems use small bandwidth, we think the eNB may always assume the worst case that all four GNSS systems are used by the UE and should be protected. This simplifies the signaling, since the UE does not need to report which types of GNSS sytems are being used. It can also potentially simplify the eNB logic for handling this IDC enhancement.</w:t>
      </w:r>
    </w:p>
    <w:p w14:paraId="4A3673CB" w14:textId="45FD9523" w:rsidR="00A5064F" w:rsidRDefault="00D86D4F" w:rsidP="000C1842">
      <w:pPr>
        <w:jc w:val="both"/>
        <w:rPr>
          <w:b/>
        </w:rPr>
      </w:pPr>
      <w:r>
        <w:rPr>
          <w:b/>
        </w:rPr>
        <w:t>Observation 2</w:t>
      </w:r>
      <w:r w:rsidRPr="002E49BF">
        <w:rPr>
          <w:b/>
        </w:rPr>
        <w:t xml:space="preserve">: </w:t>
      </w:r>
      <w:r w:rsidR="000C1842">
        <w:rPr>
          <w:b/>
        </w:rPr>
        <w:t>I</w:t>
      </w:r>
      <w:r>
        <w:rPr>
          <w:b/>
        </w:rPr>
        <w:t>t</w:t>
      </w:r>
      <w:r w:rsidR="000C1842">
        <w:rPr>
          <w:b/>
        </w:rPr>
        <w:t xml:space="preserve"> is simpler to report</w:t>
      </w:r>
      <w:r>
        <w:rPr>
          <w:b/>
        </w:rPr>
        <w:t xml:space="preserve"> the </w:t>
      </w:r>
      <w:r w:rsidR="000C1842">
        <w:rPr>
          <w:b/>
        </w:rPr>
        <w:t xml:space="preserve">victim system as </w:t>
      </w:r>
      <w:r>
        <w:rPr>
          <w:b/>
        </w:rPr>
        <w:t>GNSS</w:t>
      </w:r>
      <w:r w:rsidR="000C1842">
        <w:rPr>
          <w:b/>
        </w:rPr>
        <w:t xml:space="preserve"> only</w:t>
      </w:r>
      <w:r>
        <w:rPr>
          <w:b/>
        </w:rPr>
        <w:t>.</w:t>
      </w:r>
      <w:r w:rsidR="00A5064F">
        <w:rPr>
          <w:b/>
        </w:rPr>
        <w:t xml:space="preserve"> </w:t>
      </w:r>
    </w:p>
    <w:p w14:paraId="1D82BCA3" w14:textId="2C4F2E2B" w:rsidR="00A44AF1" w:rsidRDefault="00326B53" w:rsidP="004502F3">
      <w:pPr>
        <w:jc w:val="both"/>
        <w:rPr>
          <w:lang w:val="en-US"/>
        </w:rPr>
      </w:pPr>
      <w:r>
        <w:rPr>
          <w:lang w:val="en-US"/>
        </w:rPr>
        <w:lastRenderedPageBreak/>
        <w:t>For each</w:t>
      </w:r>
      <w:r w:rsidR="00BF12A1">
        <w:rPr>
          <w:lang w:val="en-US"/>
        </w:rPr>
        <w:t xml:space="preserve"> of the four</w:t>
      </w:r>
      <w:r>
        <w:rPr>
          <w:lang w:val="en-US"/>
        </w:rPr>
        <w:t xml:space="preserve"> GNSS system</w:t>
      </w:r>
      <w:r w:rsidR="00D75D6D">
        <w:rPr>
          <w:lang w:val="en-US"/>
        </w:rPr>
        <w:t>s</w:t>
      </w:r>
      <w:r>
        <w:rPr>
          <w:lang w:val="en-US"/>
        </w:rPr>
        <w:t xml:space="preserve">, there is only one frequency range, e.g., </w:t>
      </w:r>
      <w:r w:rsidR="00F924F4">
        <w:rPr>
          <w:lang w:val="en-US"/>
        </w:rPr>
        <w:t>GPS</w:t>
      </w:r>
      <w:r>
        <w:rPr>
          <w:lang w:val="en-US"/>
        </w:rPr>
        <w:t xml:space="preserve"> L1 </w:t>
      </w:r>
      <w:r w:rsidR="00F406F0">
        <w:rPr>
          <w:lang w:val="en-US"/>
        </w:rPr>
        <w:t>uses</w:t>
      </w:r>
      <w:r>
        <w:rPr>
          <w:lang w:val="en-US"/>
        </w:rPr>
        <w:t xml:space="preserve"> the range 1574-1576</w:t>
      </w:r>
      <w:r w:rsidR="00CA2E77">
        <w:rPr>
          <w:lang w:val="en-US"/>
        </w:rPr>
        <w:t xml:space="preserve"> </w:t>
      </w:r>
      <w:r>
        <w:rPr>
          <w:lang w:val="en-US"/>
        </w:rPr>
        <w:t>MHz and has a small bandwidth (2MHz).</w:t>
      </w:r>
      <w:r w:rsidR="00A44AF1">
        <w:rPr>
          <w:lang w:val="en-US"/>
        </w:rPr>
        <w:t xml:space="preserve"> As long as the eNB</w:t>
      </w:r>
      <w:r w:rsidR="00F924F4">
        <w:rPr>
          <w:lang w:val="en-US"/>
        </w:rPr>
        <w:t xml:space="preserve"> knows the victim is G</w:t>
      </w:r>
      <w:r w:rsidR="00CA2E77">
        <w:rPr>
          <w:lang w:val="en-US"/>
        </w:rPr>
        <w:t>NS</w:t>
      </w:r>
      <w:r w:rsidR="00F924F4">
        <w:rPr>
          <w:lang w:val="en-US"/>
        </w:rPr>
        <w:t>S</w:t>
      </w:r>
      <w:r w:rsidR="00A44AF1">
        <w:rPr>
          <w:lang w:val="en-US"/>
        </w:rPr>
        <w:t>, the eNB does not need the UE to report the frequency range.</w:t>
      </w:r>
    </w:p>
    <w:p w14:paraId="3A8879D9" w14:textId="74AAE1EA" w:rsidR="00326B53" w:rsidRDefault="00A44AF1" w:rsidP="004502F3">
      <w:pPr>
        <w:jc w:val="both"/>
        <w:rPr>
          <w:lang w:val="en-US"/>
        </w:rPr>
      </w:pPr>
      <w:r>
        <w:rPr>
          <w:lang w:val="en-US"/>
        </w:rPr>
        <w:t>On the</w:t>
      </w:r>
      <w:r w:rsidR="00BF12A1">
        <w:rPr>
          <w:lang w:val="en-US"/>
        </w:rPr>
        <w:t xml:space="preserve"> contrary</w:t>
      </w:r>
      <w:r>
        <w:rPr>
          <w:lang w:val="en-US"/>
        </w:rPr>
        <w:t>,</w:t>
      </w:r>
      <w:r w:rsidR="00BF12A1">
        <w:rPr>
          <w:lang w:val="en-US"/>
        </w:rPr>
        <w:t xml:space="preserve"> </w:t>
      </w:r>
      <w:r>
        <w:rPr>
          <w:lang w:val="en-US"/>
        </w:rPr>
        <w:t>for</w:t>
      </w:r>
      <w:r w:rsidR="00BF12A1">
        <w:rPr>
          <w:lang w:val="en-US"/>
        </w:rPr>
        <w:t xml:space="preserve"> </w:t>
      </w:r>
      <w:r w:rsidR="00CA2E77">
        <w:rPr>
          <w:lang w:val="en-US"/>
        </w:rPr>
        <w:t>WLAN</w:t>
      </w:r>
      <w:r w:rsidR="00BF12A1">
        <w:rPr>
          <w:lang w:val="en-US"/>
        </w:rPr>
        <w:t>/BT</w:t>
      </w:r>
      <w:r>
        <w:rPr>
          <w:lang w:val="en-US"/>
        </w:rPr>
        <w:t xml:space="preserve"> systems, the channel/frequency range varies. For example, there</w:t>
      </w:r>
      <w:r w:rsidR="0025562C">
        <w:rPr>
          <w:lang w:val="en-US"/>
        </w:rPr>
        <w:t xml:space="preserve"> are more than 10 WLAN channels in the 2.4GHz band and</w:t>
      </w:r>
      <w:r>
        <w:rPr>
          <w:lang w:val="en-US"/>
        </w:rPr>
        <w:t xml:space="preserve"> tens of channels in the 5GHz </w:t>
      </w:r>
      <w:r w:rsidR="0025562C">
        <w:rPr>
          <w:lang w:val="en-US"/>
        </w:rPr>
        <w:t>band</w:t>
      </w:r>
      <w:r>
        <w:rPr>
          <w:lang w:val="en-US"/>
        </w:rPr>
        <w:t>.</w:t>
      </w:r>
      <w:r w:rsidR="00F92427">
        <w:rPr>
          <w:lang w:val="en-US"/>
        </w:rPr>
        <w:t xml:space="preserve"> </w:t>
      </w:r>
      <w:r w:rsidR="0025562C">
        <w:rPr>
          <w:lang w:val="en-US"/>
        </w:rPr>
        <w:t>A WLAN can use a bandwidth of 20-160MHz</w:t>
      </w:r>
      <w:r w:rsidR="00CA2E77">
        <w:rPr>
          <w:lang w:val="en-US"/>
        </w:rPr>
        <w:t>.</w:t>
      </w:r>
    </w:p>
    <w:p w14:paraId="2BC94AF2" w14:textId="3B6AACA1" w:rsidR="00E87933" w:rsidRPr="00FA1739" w:rsidRDefault="00E87933" w:rsidP="00E87933">
      <w:pPr>
        <w:jc w:val="both"/>
        <w:rPr>
          <w:b/>
        </w:rPr>
      </w:pPr>
      <w:r w:rsidRPr="00FA1739">
        <w:rPr>
          <w:b/>
        </w:rPr>
        <w:t xml:space="preserve">Observation </w:t>
      </w:r>
      <w:r w:rsidR="000C1842">
        <w:rPr>
          <w:b/>
        </w:rPr>
        <w:t>3</w:t>
      </w:r>
      <w:r w:rsidRPr="00FA1739">
        <w:rPr>
          <w:b/>
        </w:rPr>
        <w:t xml:space="preserve">: </w:t>
      </w:r>
      <w:r w:rsidR="00720489">
        <w:rPr>
          <w:b/>
        </w:rPr>
        <w:t xml:space="preserve">Each </w:t>
      </w:r>
      <w:r w:rsidRPr="00FA1739">
        <w:rPr>
          <w:b/>
          <w:lang w:val="en-US"/>
        </w:rPr>
        <w:t xml:space="preserve">GNSS </w:t>
      </w:r>
      <w:r w:rsidR="00720489">
        <w:rPr>
          <w:b/>
          <w:lang w:val="en-US"/>
        </w:rPr>
        <w:t>system has a single frequency range and small bandwidth</w:t>
      </w:r>
      <w:r w:rsidR="001748AF">
        <w:rPr>
          <w:b/>
          <w:lang w:val="en-US"/>
        </w:rPr>
        <w:t xml:space="preserve"> (less than 10MHz)</w:t>
      </w:r>
      <w:r w:rsidR="00A61D45">
        <w:rPr>
          <w:b/>
          <w:lang w:val="en-US"/>
        </w:rPr>
        <w:t xml:space="preserve">; </w:t>
      </w:r>
      <w:r w:rsidR="00CA2E77">
        <w:rPr>
          <w:b/>
          <w:lang w:val="en-US"/>
        </w:rPr>
        <w:t>WLAN</w:t>
      </w:r>
      <w:r w:rsidR="00720489">
        <w:rPr>
          <w:b/>
          <w:lang w:val="en-US"/>
        </w:rPr>
        <w:t xml:space="preserve">/BT system has tens of channels and </w:t>
      </w:r>
      <w:r w:rsidR="00C9187C">
        <w:rPr>
          <w:b/>
          <w:lang w:val="en-US"/>
        </w:rPr>
        <w:t>usually</w:t>
      </w:r>
      <w:r w:rsidR="00AA60C2">
        <w:rPr>
          <w:b/>
          <w:lang w:val="en-US"/>
        </w:rPr>
        <w:t xml:space="preserve"> use</w:t>
      </w:r>
      <w:r w:rsidR="003D0FAB">
        <w:rPr>
          <w:b/>
          <w:lang w:val="en-US"/>
        </w:rPr>
        <w:t>s</w:t>
      </w:r>
      <w:r w:rsidR="00C9187C">
        <w:rPr>
          <w:b/>
          <w:lang w:val="en-US"/>
        </w:rPr>
        <w:t xml:space="preserve"> 20</w:t>
      </w:r>
      <w:r w:rsidR="009C5D2B">
        <w:rPr>
          <w:b/>
          <w:lang w:val="en-US"/>
        </w:rPr>
        <w:t>-160</w:t>
      </w:r>
      <w:r w:rsidR="00C9187C">
        <w:rPr>
          <w:b/>
          <w:lang w:val="en-US"/>
        </w:rPr>
        <w:t>MHz</w:t>
      </w:r>
      <w:r w:rsidR="00720489">
        <w:rPr>
          <w:b/>
          <w:lang w:val="en-US"/>
        </w:rPr>
        <w:t xml:space="preserve"> bandwidth</w:t>
      </w:r>
      <w:r w:rsidRPr="00FA1739">
        <w:rPr>
          <w:b/>
        </w:rPr>
        <w:t xml:space="preserve">. </w:t>
      </w:r>
    </w:p>
    <w:p w14:paraId="675A86C2" w14:textId="5C133FD6" w:rsidR="00D74F7A" w:rsidRDefault="00D74F7A" w:rsidP="004502F3">
      <w:pPr>
        <w:jc w:val="both"/>
        <w:rPr>
          <w:lang w:val="en-US"/>
        </w:rPr>
      </w:pPr>
      <w:r>
        <w:rPr>
          <w:lang w:val="en-US"/>
        </w:rPr>
        <w:t>As we had pointed out in [</w:t>
      </w:r>
      <w:r w:rsidR="00CA2E77">
        <w:rPr>
          <w:lang w:val="en-US"/>
        </w:rPr>
        <w:t>2</w:t>
      </w:r>
      <w:r>
        <w:rPr>
          <w:lang w:val="en-US"/>
        </w:rPr>
        <w:t xml:space="preserve">], the usefulness of additional signaling to help avoid interference to </w:t>
      </w:r>
      <w:r w:rsidR="00CA2E77">
        <w:rPr>
          <w:lang w:val="en-US"/>
        </w:rPr>
        <w:t>WLAN</w:t>
      </w:r>
      <w:r>
        <w:rPr>
          <w:lang w:val="en-US"/>
        </w:rPr>
        <w:t xml:space="preserve">/Bluetooth is less due to much larger bandwidths. Further, there is no consensus yet in RAN2 or RAN4 either on whether FDM solutions are beneficial for </w:t>
      </w:r>
      <w:r w:rsidR="00CA2E77">
        <w:rPr>
          <w:lang w:val="en-US"/>
        </w:rPr>
        <w:t>WLAN</w:t>
      </w:r>
      <w:r>
        <w:rPr>
          <w:lang w:val="en-US"/>
        </w:rPr>
        <w:t>, Bluetooth. Hence, we propose to limit the enhancement to GNSS.</w:t>
      </w:r>
    </w:p>
    <w:p w14:paraId="301F4435" w14:textId="2A09985E" w:rsidR="00326B53" w:rsidRDefault="00E51B48" w:rsidP="004502F3">
      <w:pPr>
        <w:jc w:val="both"/>
        <w:rPr>
          <w:lang w:val="en-US"/>
        </w:rPr>
      </w:pPr>
      <w:r>
        <w:rPr>
          <w:lang w:val="en-US"/>
        </w:rPr>
        <w:t>Based on Observations 1</w:t>
      </w:r>
      <w:r w:rsidR="000C1842">
        <w:rPr>
          <w:lang w:val="en-US"/>
        </w:rPr>
        <w:t>,</w:t>
      </w:r>
      <w:r>
        <w:rPr>
          <w:lang w:val="en-US"/>
        </w:rPr>
        <w:t xml:space="preserve"> 2</w:t>
      </w:r>
      <w:r w:rsidR="000C1842">
        <w:rPr>
          <w:lang w:val="en-US"/>
        </w:rPr>
        <w:t xml:space="preserve"> and 3</w:t>
      </w:r>
      <w:r w:rsidR="00534516">
        <w:rPr>
          <w:lang w:val="en-US"/>
        </w:rPr>
        <w:t xml:space="preserve"> we have the following proposal.</w:t>
      </w:r>
    </w:p>
    <w:p w14:paraId="3C7CB088" w14:textId="73A85D0F" w:rsidR="00E51B48" w:rsidRDefault="00E51B48" w:rsidP="00E51B48">
      <w:pPr>
        <w:jc w:val="both"/>
        <w:rPr>
          <w:b/>
        </w:rPr>
      </w:pPr>
      <w:r>
        <w:rPr>
          <w:b/>
        </w:rPr>
        <w:t xml:space="preserve">Proposal 1: </w:t>
      </w:r>
      <w:r w:rsidR="00270A82">
        <w:rPr>
          <w:b/>
        </w:rPr>
        <w:t>RAN2 is requested to discuss whether providing the victim type (GNSS) can be considered as an enhancement to the current IDC feature.</w:t>
      </w:r>
    </w:p>
    <w:p w14:paraId="5D331A20" w14:textId="77F0213F" w:rsidR="002E49BF" w:rsidRDefault="00686001" w:rsidP="00F77F5F">
      <w:pPr>
        <w:jc w:val="both"/>
        <w:rPr>
          <w:lang w:val="en-US"/>
        </w:rPr>
      </w:pPr>
      <w:r>
        <w:rPr>
          <w:lang w:val="en-US"/>
        </w:rPr>
        <w:t>Upon reception of the UE report, the eNB can check the IMD/harmonics</w:t>
      </w:r>
      <w:r w:rsidR="00821011">
        <w:rPr>
          <w:lang w:val="en-US"/>
        </w:rPr>
        <w:t xml:space="preserve"> table in TR36.860 </w:t>
      </w:r>
      <w:r w:rsidR="00821011" w:rsidRPr="00821011">
        <w:rPr>
          <w:lang w:val="en-US"/>
        </w:rPr>
        <w:t>Table 9.1-1</w:t>
      </w:r>
      <w:r w:rsidR="00CA2E77">
        <w:rPr>
          <w:lang w:val="en-US"/>
        </w:rPr>
        <w:t xml:space="preserve"> [3]</w:t>
      </w:r>
      <w:r>
        <w:rPr>
          <w:lang w:val="en-US"/>
        </w:rPr>
        <w:t xml:space="preserve"> to find the IMD/harmonics orders.</w:t>
      </w:r>
    </w:p>
    <w:p w14:paraId="6AFD7460" w14:textId="101518E2" w:rsidR="00571EA5" w:rsidRDefault="00571EA5" w:rsidP="00571EA5">
      <w:pPr>
        <w:jc w:val="both"/>
        <w:rPr>
          <w:b/>
        </w:rPr>
      </w:pPr>
      <w:r>
        <w:rPr>
          <w:b/>
        </w:rPr>
        <w:t xml:space="preserve"> </w:t>
      </w:r>
    </w:p>
    <w:p w14:paraId="747ED68D" w14:textId="14683D84" w:rsidR="004502F3" w:rsidRDefault="0066354B" w:rsidP="004502F3">
      <w:pPr>
        <w:jc w:val="both"/>
      </w:pPr>
      <w:r>
        <w:t>As we can see from our CR with these proposals in [</w:t>
      </w:r>
      <w:r w:rsidR="000C1842">
        <w:t>1</w:t>
      </w:r>
      <w:r>
        <w:t xml:space="preserve">], only </w:t>
      </w:r>
      <w:r w:rsidR="009758A7">
        <w:t xml:space="preserve">a </w:t>
      </w:r>
      <w:r w:rsidR="009758A7" w:rsidRPr="0072215A">
        <w:rPr>
          <w:b/>
        </w:rPr>
        <w:t>one-</w:t>
      </w:r>
      <w:r w:rsidRPr="0072215A">
        <w:rPr>
          <w:b/>
        </w:rPr>
        <w:t>bit</w:t>
      </w:r>
      <w:r w:rsidR="009758A7" w:rsidRPr="0072215A">
        <w:rPr>
          <w:b/>
        </w:rPr>
        <w:t xml:space="preserve"> parameter</w:t>
      </w:r>
      <w:r>
        <w:t xml:space="preserve"> is </w:t>
      </w:r>
      <w:r w:rsidR="00603AE1">
        <w:t>introduced for this IDC enhancement</w:t>
      </w:r>
      <w:r>
        <w:t>.</w:t>
      </w:r>
      <w:r w:rsidR="0072215A">
        <w:t xml:space="preserve"> </w:t>
      </w:r>
    </w:p>
    <w:p w14:paraId="2874CC60" w14:textId="77777777" w:rsidR="0080793F" w:rsidRDefault="0080793F" w:rsidP="004502F3">
      <w:pPr>
        <w:jc w:val="both"/>
        <w:rPr>
          <w:b/>
        </w:rPr>
      </w:pPr>
    </w:p>
    <w:p w14:paraId="6E9E6793" w14:textId="7924E546" w:rsidR="008B3112" w:rsidRDefault="008B3112" w:rsidP="008B3112">
      <w:pPr>
        <w:pStyle w:val="Heading2"/>
        <w:rPr>
          <w:lang w:val="en-US"/>
        </w:rPr>
      </w:pPr>
      <w:r>
        <w:rPr>
          <w:lang w:val="en-US"/>
        </w:rPr>
        <w:t>Missing DRX parameter for IDC (20ms DRX cycle)</w:t>
      </w:r>
    </w:p>
    <w:p w14:paraId="3B01D332" w14:textId="7E0CB941" w:rsidR="00FE5EFD" w:rsidRDefault="001326D8" w:rsidP="00FE5EFD">
      <w:pPr>
        <w:jc w:val="both"/>
        <w:rPr>
          <w:lang w:val="en-US"/>
        </w:rPr>
      </w:pPr>
      <w:r>
        <w:rPr>
          <w:lang w:val="en-US"/>
        </w:rPr>
        <w:t>RAN2 extensively discussed many solutions for IDC before converging to the use of different FDM and TDM solutions. In particular</w:t>
      </w:r>
      <w:r w:rsidR="00CB0788">
        <w:rPr>
          <w:lang w:val="en-US"/>
        </w:rPr>
        <w:t xml:space="preserve"> for GNSS</w:t>
      </w:r>
      <w:r w:rsidR="003255D9">
        <w:rPr>
          <w:lang w:val="en-US"/>
        </w:rPr>
        <w:t>,</w:t>
      </w:r>
      <w:r w:rsidR="00CB0788">
        <w:rPr>
          <w:lang w:val="en-US"/>
        </w:rPr>
        <w:t xml:space="preserve"> it is understood that a minimum percentage of a bit period is required for reliable detection, as </w:t>
      </w:r>
      <w:r w:rsidR="002646FF">
        <w:rPr>
          <w:lang w:val="en-US"/>
        </w:rPr>
        <w:t xml:space="preserve">pointed out in </w:t>
      </w:r>
      <w:r w:rsidR="0047044B">
        <w:rPr>
          <w:lang w:val="en-US"/>
        </w:rPr>
        <w:t xml:space="preserve">36.816 </w:t>
      </w:r>
      <w:r w:rsidR="00C43EB9">
        <w:rPr>
          <w:lang w:val="en-US"/>
        </w:rPr>
        <w:t>[</w:t>
      </w:r>
      <w:r w:rsidR="005672A6">
        <w:rPr>
          <w:lang w:val="en-US"/>
        </w:rPr>
        <w:t>4</w:t>
      </w:r>
      <w:r w:rsidR="003255D9">
        <w:rPr>
          <w:lang w:val="en-US"/>
        </w:rPr>
        <w:t>].</w:t>
      </w:r>
    </w:p>
    <w:p w14:paraId="50100479" w14:textId="77777777" w:rsidR="002646FF" w:rsidRDefault="002646FF" w:rsidP="002646FF">
      <w:pPr>
        <w:ind w:left="284" w:firstLine="4"/>
        <w:jc w:val="both"/>
        <w:rPr>
          <w:i/>
          <w:color w:val="000000"/>
        </w:rPr>
      </w:pPr>
      <w:r w:rsidRPr="002646FF">
        <w:rPr>
          <w:i/>
          <w:color w:val="000000"/>
        </w:rPr>
        <w:t>In GNSS each bit is DSSS sp</w:t>
      </w:r>
      <w:r w:rsidRPr="002646FF">
        <w:rPr>
          <w:i/>
          <w:color w:val="000000"/>
          <w:lang w:eastAsia="zh-CN"/>
        </w:rPr>
        <w:t>r</w:t>
      </w:r>
      <w:r w:rsidRPr="002646FF">
        <w:rPr>
          <w:i/>
          <w:color w:val="000000"/>
        </w:rPr>
        <w:t>e</w:t>
      </w:r>
      <w:r w:rsidRPr="002646FF">
        <w:rPr>
          <w:i/>
          <w:color w:val="000000"/>
          <w:lang w:eastAsia="zh-CN"/>
        </w:rPr>
        <w:t>a</w:t>
      </w:r>
      <w:r w:rsidRPr="002646FF">
        <w:rPr>
          <w:i/>
          <w:color w:val="000000"/>
        </w:rPr>
        <w:t>d over few tens of ms</w:t>
      </w:r>
      <w:r w:rsidRPr="002646FF">
        <w:rPr>
          <w:i/>
          <w:color w:val="000000"/>
          <w:lang w:eastAsia="zh-CN"/>
        </w:rPr>
        <w:t>,</w:t>
      </w:r>
      <w:r w:rsidRPr="002646FF">
        <w:rPr>
          <w:i/>
          <w:color w:val="000000"/>
        </w:rPr>
        <w:t xml:space="preserve"> i.e. 20ms bit period in case of GPS. GNSS requires some amount of interference free time every bit period depending upon GNSS receiver phase (i.e. </w:t>
      </w:r>
      <w:r w:rsidRPr="002646FF">
        <w:rPr>
          <w:i/>
          <w:color w:val="000000"/>
          <w:lang w:eastAsia="zh-CN"/>
        </w:rPr>
        <w:t>a</w:t>
      </w:r>
      <w:r w:rsidRPr="002646FF">
        <w:rPr>
          <w:i/>
          <w:color w:val="000000"/>
        </w:rPr>
        <w:t xml:space="preserve">cquisition, tracking phase). There </w:t>
      </w:r>
      <w:r w:rsidRPr="002646FF">
        <w:rPr>
          <w:i/>
          <w:color w:val="000000"/>
          <w:lang w:eastAsia="zh-CN"/>
        </w:rPr>
        <w:t>may be</w:t>
      </w:r>
      <w:r w:rsidRPr="002646FF">
        <w:rPr>
          <w:i/>
          <w:color w:val="000000"/>
        </w:rPr>
        <w:t xml:space="preserve"> no specific requirement that certain portion of bit period is more critical than other. If GNSS receiver can get sufficient percentage of interference free time out of every bit period then it can possibly recover the signal and solve the in-device co-existence issue.</w:t>
      </w:r>
    </w:p>
    <w:p w14:paraId="11887199" w14:textId="1F884155" w:rsidR="00CB0788" w:rsidRDefault="00CB0788" w:rsidP="002646FF">
      <w:pPr>
        <w:jc w:val="both"/>
        <w:rPr>
          <w:color w:val="000000"/>
        </w:rPr>
      </w:pPr>
      <w:r w:rsidRPr="00CB0788">
        <w:rPr>
          <w:b/>
          <w:color w:val="000000"/>
        </w:rPr>
        <w:t xml:space="preserve">Observation </w:t>
      </w:r>
      <w:r w:rsidR="00DB6E30">
        <w:rPr>
          <w:b/>
          <w:color w:val="000000"/>
        </w:rPr>
        <w:t>4</w:t>
      </w:r>
      <w:r>
        <w:rPr>
          <w:color w:val="000000"/>
        </w:rPr>
        <w:t>: For reliable reception of GPS signals, UE should be able to obtain a minimum amount of interference</w:t>
      </w:r>
      <w:r w:rsidR="003255D9">
        <w:rPr>
          <w:color w:val="000000"/>
        </w:rPr>
        <w:t>-</w:t>
      </w:r>
      <w:r>
        <w:rPr>
          <w:color w:val="000000"/>
        </w:rPr>
        <w:t xml:space="preserve"> free time in every 20ms period. For accurate positioning, </w:t>
      </w:r>
      <w:r w:rsidR="003255D9">
        <w:rPr>
          <w:color w:val="000000"/>
        </w:rPr>
        <w:t>at least</w:t>
      </w:r>
      <w:r>
        <w:rPr>
          <w:color w:val="000000"/>
        </w:rPr>
        <w:t xml:space="preserve"> 50% of each 20ms GPS frame </w:t>
      </w:r>
      <w:r w:rsidR="003255D9">
        <w:rPr>
          <w:color w:val="000000"/>
        </w:rPr>
        <w:t>should be</w:t>
      </w:r>
      <w:r>
        <w:rPr>
          <w:color w:val="000000"/>
        </w:rPr>
        <w:t xml:space="preserve"> </w:t>
      </w:r>
      <w:r w:rsidR="003255D9">
        <w:rPr>
          <w:color w:val="000000"/>
        </w:rPr>
        <w:t>interference-free</w:t>
      </w:r>
      <w:r>
        <w:rPr>
          <w:color w:val="000000"/>
        </w:rPr>
        <w:t xml:space="preserve">. </w:t>
      </w:r>
    </w:p>
    <w:p w14:paraId="3A7AB3AE" w14:textId="493F2C73" w:rsidR="00CB0788" w:rsidRDefault="00CB0788" w:rsidP="002646FF">
      <w:pPr>
        <w:jc w:val="both"/>
        <w:rPr>
          <w:color w:val="000000"/>
        </w:rPr>
      </w:pPr>
      <w:r w:rsidRPr="00CB0788">
        <w:rPr>
          <w:b/>
          <w:color w:val="000000"/>
        </w:rPr>
        <w:t xml:space="preserve">Observation </w:t>
      </w:r>
      <w:r w:rsidR="00DB6E30">
        <w:rPr>
          <w:b/>
          <w:color w:val="000000"/>
        </w:rPr>
        <w:t>5</w:t>
      </w:r>
      <w:r w:rsidR="003255D9">
        <w:rPr>
          <w:color w:val="000000"/>
        </w:rPr>
        <w:t>: T</w:t>
      </w:r>
      <w:r>
        <w:rPr>
          <w:color w:val="000000"/>
        </w:rPr>
        <w:t>he current DRX assistance info for IDC allows the UE to choose from {</w:t>
      </w:r>
      <w:r w:rsidRPr="00CB0788">
        <w:rPr>
          <w:color w:val="000000"/>
        </w:rPr>
        <w:t>40, 64, 80, 128, 160, 256</w:t>
      </w:r>
      <w:r>
        <w:rPr>
          <w:color w:val="000000"/>
        </w:rPr>
        <w:t>}</w:t>
      </w:r>
      <w:r w:rsidRPr="00CB0788">
        <w:rPr>
          <w:color w:val="000000"/>
        </w:rPr>
        <w:t xml:space="preserve"> subframes</w:t>
      </w:r>
      <w:r>
        <w:rPr>
          <w:color w:val="000000"/>
        </w:rPr>
        <w:t xml:space="preserve"> for DRX cycle and {</w:t>
      </w:r>
      <w:r>
        <w:t>20, 30, 40, 60, 80, 100</w:t>
      </w:r>
      <w:r>
        <w:rPr>
          <w:color w:val="000000"/>
        </w:rPr>
        <w:t xml:space="preserve">} for active time. </w:t>
      </w:r>
    </w:p>
    <w:p w14:paraId="104BDD6D" w14:textId="77777777" w:rsidR="00CB0788" w:rsidRDefault="00CB0788" w:rsidP="002646FF">
      <w:pPr>
        <w:jc w:val="both"/>
        <w:rPr>
          <w:color w:val="000000"/>
        </w:rPr>
      </w:pPr>
      <w:r>
        <w:rPr>
          <w:color w:val="000000"/>
        </w:rPr>
        <w:t>On the other hand, looking back at RAN2 discussions and chairman notes in RAN2 #78, #79 and #79bis, it se</w:t>
      </w:r>
      <w:r w:rsidR="0099740C">
        <w:rPr>
          <w:color w:val="000000"/>
        </w:rPr>
        <w:t>ems that somehow the value pair of 20ms for DRX cycle and 10ms for active</w:t>
      </w:r>
      <w:r w:rsidR="00BA66AA">
        <w:rPr>
          <w:color w:val="000000"/>
        </w:rPr>
        <w:t xml:space="preserve"> time was missed (see Appendix</w:t>
      </w:r>
      <w:r w:rsidR="0099740C">
        <w:rPr>
          <w:color w:val="000000"/>
        </w:rPr>
        <w:t xml:space="preserve">). </w:t>
      </w:r>
    </w:p>
    <w:p w14:paraId="497A4F73" w14:textId="492BFDAE" w:rsidR="00AF7C04" w:rsidRDefault="00AF7C04" w:rsidP="002646FF">
      <w:pPr>
        <w:jc w:val="both"/>
        <w:rPr>
          <w:b/>
        </w:rPr>
      </w:pPr>
      <w:r>
        <w:rPr>
          <w:b/>
        </w:rPr>
        <w:t xml:space="preserve">Proposal </w:t>
      </w:r>
      <w:r w:rsidR="00AF7573">
        <w:rPr>
          <w:b/>
        </w:rPr>
        <w:t>2</w:t>
      </w:r>
      <w:r>
        <w:rPr>
          <w:b/>
        </w:rPr>
        <w:t>: RAN2 is requested to discuss whether including drx-CycleLength of 20 subframes and drx-ActiveTime of 10 subframes can be considered as an enhancement to the current IDC feature</w:t>
      </w:r>
      <w:r w:rsidR="0099740C">
        <w:rPr>
          <w:b/>
        </w:rPr>
        <w:t xml:space="preserve"> for GPS protection</w:t>
      </w:r>
      <w:r>
        <w:rPr>
          <w:b/>
        </w:rPr>
        <w:t xml:space="preserve">. </w:t>
      </w:r>
    </w:p>
    <w:p w14:paraId="361B96D8" w14:textId="77777777" w:rsidR="00701CED" w:rsidRDefault="00701CED" w:rsidP="00701CED">
      <w:pPr>
        <w:pStyle w:val="Heading1"/>
      </w:pPr>
      <w:r>
        <w:t>Conclusion</w:t>
      </w:r>
    </w:p>
    <w:p w14:paraId="57E66767" w14:textId="27A19EE8" w:rsidR="00245E94" w:rsidRDefault="00245E94" w:rsidP="00245E94">
      <w:pPr>
        <w:jc w:val="both"/>
        <w:rPr>
          <w:b/>
        </w:rPr>
      </w:pPr>
      <w:r>
        <w:rPr>
          <w:b/>
        </w:rPr>
        <w:t xml:space="preserve">Proposal 1: </w:t>
      </w:r>
      <w:r w:rsidR="001D4FF0">
        <w:rPr>
          <w:b/>
        </w:rPr>
        <w:t>RAN2 is requested to discuss whether providing the victim type (GNSS) can be considered as an enhancement to the current IDC feature.</w:t>
      </w:r>
      <w:r>
        <w:rPr>
          <w:b/>
        </w:rPr>
        <w:t xml:space="preserve"> </w:t>
      </w:r>
    </w:p>
    <w:p w14:paraId="5B76B28F" w14:textId="1479B1CB" w:rsidR="0099740C" w:rsidRDefault="0099740C" w:rsidP="0099740C">
      <w:pPr>
        <w:jc w:val="both"/>
        <w:rPr>
          <w:b/>
        </w:rPr>
      </w:pPr>
      <w:r>
        <w:rPr>
          <w:b/>
        </w:rPr>
        <w:t xml:space="preserve">Proposal </w:t>
      </w:r>
      <w:r w:rsidR="001D4FF0">
        <w:rPr>
          <w:b/>
        </w:rPr>
        <w:t>2</w:t>
      </w:r>
      <w:r>
        <w:rPr>
          <w:b/>
        </w:rPr>
        <w:t xml:space="preserve">: RAN2 is requested to discuss whether including drx-CycleLength of 20 subframes and drx-ActiveTime of 10 subframes can be considered as an enhancement to the current IDC feature for GPS protection. </w:t>
      </w:r>
    </w:p>
    <w:p w14:paraId="50D2555E" w14:textId="1BA67A76" w:rsidR="00BD03E1" w:rsidRPr="00BD03E1" w:rsidRDefault="00EF4A62" w:rsidP="00701CED">
      <w:pPr>
        <w:jc w:val="both"/>
        <w:rPr>
          <w:lang w:eastAsia="zh-CN"/>
        </w:rPr>
      </w:pPr>
      <w:r>
        <w:t>A CR with these</w:t>
      </w:r>
      <w:r w:rsidR="00BD03E1">
        <w:t xml:space="preserve"> p</w:t>
      </w:r>
      <w:r w:rsidR="007A2FD7">
        <w:t>roposals is provided in [</w:t>
      </w:r>
      <w:r w:rsidR="001D4FF0">
        <w:t>1</w:t>
      </w:r>
      <w:r>
        <w:t>]</w:t>
      </w:r>
      <w:r w:rsidR="00BD03E1">
        <w:t>.</w:t>
      </w:r>
    </w:p>
    <w:p w14:paraId="3021D915" w14:textId="77777777" w:rsidR="00701CED" w:rsidRDefault="00701CED" w:rsidP="00701CED">
      <w:pPr>
        <w:pStyle w:val="Heading1"/>
      </w:pPr>
      <w:r>
        <w:lastRenderedPageBreak/>
        <w:t>References</w:t>
      </w:r>
    </w:p>
    <w:p w14:paraId="1D91BD9E" w14:textId="1703E3DE" w:rsidR="00701CED" w:rsidRDefault="00701CED" w:rsidP="00701CED">
      <w:pPr>
        <w:jc w:val="both"/>
      </w:pPr>
      <w:r>
        <w:t xml:space="preserve">[1] </w:t>
      </w:r>
      <w:hyperlink r:id="rId8" w:history="1">
        <w:r w:rsidR="00BA562C" w:rsidRPr="00A372DE">
          <w:rPr>
            <w:rStyle w:val="Hyperlink"/>
          </w:rPr>
          <w:t>R2-153790</w:t>
        </w:r>
      </w:hyperlink>
      <w:r w:rsidR="00CA2E77">
        <w:t xml:space="preserve">, </w:t>
      </w:r>
      <w:r w:rsidR="00CA2E77" w:rsidRPr="00EF4A62">
        <w:rPr>
          <w:bCs/>
        </w:rPr>
        <w:t>In-Device Coexistence for UL inter-band CA interference due to intermodulation</w:t>
      </w:r>
      <w:r w:rsidR="00CA2E77">
        <w:rPr>
          <w:bCs/>
        </w:rPr>
        <w:t>, CR to 36.331</w:t>
      </w:r>
      <w:r>
        <w:t xml:space="preserve"> </w:t>
      </w:r>
    </w:p>
    <w:p w14:paraId="6242BD0A" w14:textId="25B4638B" w:rsidR="000C1842" w:rsidRDefault="00701CED" w:rsidP="00701CED">
      <w:pPr>
        <w:jc w:val="both"/>
      </w:pPr>
      <w:r>
        <w:t xml:space="preserve">[2] </w:t>
      </w:r>
      <w:hyperlink r:id="rId9" w:history="1">
        <w:r w:rsidR="00CA2E77" w:rsidRPr="00D21C18">
          <w:rPr>
            <w:rStyle w:val="Hyperlink"/>
          </w:rPr>
          <w:t>R2-151546</w:t>
        </w:r>
      </w:hyperlink>
      <w:bookmarkStart w:id="3" w:name="_GoBack"/>
      <w:bookmarkEnd w:id="3"/>
      <w:r w:rsidR="00CA2E77">
        <w:t>, IDC enhancements for intermodulation interference to GNSS</w:t>
      </w:r>
    </w:p>
    <w:p w14:paraId="7B2418B5" w14:textId="7F74EDE2" w:rsidR="00701CED" w:rsidRDefault="000C1842" w:rsidP="00701CED">
      <w:pPr>
        <w:jc w:val="both"/>
      </w:pPr>
      <w:r>
        <w:t xml:space="preserve">[3] </w:t>
      </w:r>
      <w:r w:rsidR="00701CED">
        <w:t>3GPP TR 36.860 V1.0.0, LTE advanced dual uplink inter-band carrier aggregation</w:t>
      </w:r>
    </w:p>
    <w:p w14:paraId="32D4CE71" w14:textId="58CB59BB" w:rsidR="00FE5EFD" w:rsidRDefault="00FE5EFD" w:rsidP="00701CED">
      <w:pPr>
        <w:jc w:val="both"/>
      </w:pPr>
      <w:r>
        <w:t>[</w:t>
      </w:r>
      <w:r w:rsidR="000C1842">
        <w:t>4</w:t>
      </w:r>
      <w:r>
        <w:t xml:space="preserve">] </w:t>
      </w:r>
      <w:r w:rsidR="00581AC0">
        <w:t>3GPP TR 36.816 V11.2.0, Study on signalling and procedure for interference avoidance for in-device coexistence</w:t>
      </w:r>
    </w:p>
    <w:p w14:paraId="2900941A" w14:textId="48E5E854" w:rsidR="007A2FD7" w:rsidRDefault="007A2FD7" w:rsidP="00701CED">
      <w:pPr>
        <w:jc w:val="both"/>
      </w:pPr>
    </w:p>
    <w:p w14:paraId="163E7520" w14:textId="5182A12C" w:rsidR="00EF4A62" w:rsidRDefault="00EF4A62" w:rsidP="00701CED">
      <w:pPr>
        <w:jc w:val="both"/>
      </w:pPr>
    </w:p>
    <w:bookmarkEnd w:id="0"/>
    <w:bookmarkEnd w:id="1"/>
    <w:p w14:paraId="752011A2" w14:textId="77777777" w:rsidR="0099740C" w:rsidRDefault="0099740C" w:rsidP="0099740C">
      <w:pPr>
        <w:pStyle w:val="Heading1"/>
      </w:pPr>
      <w:r>
        <w:t>Appe</w:t>
      </w:r>
      <w:r w:rsidR="00BA66AA">
        <w:t>ndix</w:t>
      </w:r>
    </w:p>
    <w:p w14:paraId="6A5158DA" w14:textId="77777777" w:rsidR="0099740C" w:rsidRDefault="0099740C" w:rsidP="00701CED">
      <w:pPr>
        <w:jc w:val="both"/>
      </w:pPr>
      <w:r>
        <w:t xml:space="preserve">RAN2 email discussion and agreements capturing the IDC DRX values from RAN2#79bis chairman notes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740C" w14:paraId="777F96D6" w14:textId="77777777" w:rsidTr="00044E60">
        <w:tc>
          <w:tcPr>
            <w:tcW w:w="9855" w:type="dxa"/>
            <w:shd w:val="clear" w:color="auto" w:fill="auto"/>
          </w:tcPr>
          <w:p w14:paraId="4DCA9DB4" w14:textId="77777777" w:rsidR="0099740C" w:rsidRDefault="0099740C" w:rsidP="00044E60">
            <w:pPr>
              <w:adjustRightInd w:val="0"/>
              <w:snapToGrid w:val="0"/>
              <w:spacing w:after="0"/>
            </w:pPr>
          </w:p>
          <w:p w14:paraId="7110DB8D" w14:textId="77777777" w:rsidR="0099740C" w:rsidRDefault="009C2CBA" w:rsidP="00044E60">
            <w:pPr>
              <w:pStyle w:val="Doc-title"/>
            </w:pPr>
            <w:hyperlink r:id="rId10" w:history="1">
              <w:r w:rsidR="0099740C">
                <w:rPr>
                  <w:rStyle w:val="Hyperlink"/>
                </w:rPr>
                <w:t>R2-124404</w:t>
              </w:r>
            </w:hyperlink>
            <w:r w:rsidR="0099740C">
              <w:tab/>
              <w:t xml:space="preserve">Report of email discussion [79#33] [LTE/IDC] IDC open issues; Huawei; Report; result of email discussion [79#33]; related CRs provided in </w:t>
            </w:r>
            <w:hyperlink r:id="rId11" w:history="1">
              <w:r w:rsidR="0099740C">
                <w:rPr>
                  <w:rStyle w:val="Hyperlink"/>
                </w:rPr>
                <w:t>R2-124405</w:t>
              </w:r>
            </w:hyperlink>
            <w:r w:rsidR="0099740C">
              <w:t xml:space="preserve">, </w:t>
            </w:r>
            <w:hyperlink r:id="rId12" w:history="1">
              <w:r w:rsidR="0099740C">
                <w:rPr>
                  <w:rStyle w:val="Hyperlink"/>
                </w:rPr>
                <w:t>R2-124406</w:t>
              </w:r>
            </w:hyperlink>
            <w:r w:rsidR="0099740C">
              <w:t>;</w:t>
            </w:r>
          </w:p>
          <w:p w14:paraId="2EC3B645" w14:textId="77777777" w:rsidR="0099740C" w:rsidRPr="00044E60" w:rsidRDefault="0099740C" w:rsidP="00044E60">
            <w:pPr>
              <w:adjustRightInd w:val="0"/>
              <w:snapToGrid w:val="0"/>
              <w:spacing w:after="0"/>
              <w:rPr>
                <w:b/>
                <w:i/>
                <w:iCs/>
              </w:rPr>
            </w:pPr>
            <w:r w:rsidRPr="00044E60">
              <w:rPr>
                <w:b/>
                <w:i/>
                <w:iCs/>
                <w:u w:val="single"/>
              </w:rPr>
              <w:t>Proposals</w:t>
            </w:r>
            <w:r w:rsidRPr="00044E60">
              <w:rPr>
                <w:b/>
                <w:i/>
                <w:iCs/>
              </w:rPr>
              <w:t>:</w:t>
            </w:r>
          </w:p>
          <w:p w14:paraId="25344D42" w14:textId="77777777" w:rsidR="0099740C" w:rsidRPr="00044E60" w:rsidRDefault="0099740C" w:rsidP="00044E60">
            <w:pPr>
              <w:adjustRightInd w:val="0"/>
              <w:snapToGrid w:val="0"/>
              <w:spacing w:after="0"/>
              <w:rPr>
                <w:i/>
                <w:iCs/>
              </w:rPr>
            </w:pPr>
            <w:r w:rsidRPr="00044E60">
              <w:rPr>
                <w:i/>
                <w:iCs/>
              </w:rPr>
              <w:t>1: If configured, the IDC indication prohibit timer should be applied to all IDC indications messages.</w:t>
            </w:r>
          </w:p>
          <w:p w14:paraId="6284AECC" w14:textId="77777777" w:rsidR="0099740C" w:rsidRPr="00044E60" w:rsidRDefault="0099740C" w:rsidP="00044E60">
            <w:pPr>
              <w:adjustRightInd w:val="0"/>
              <w:snapToGrid w:val="0"/>
              <w:spacing w:after="0"/>
              <w:rPr>
                <w:i/>
                <w:iCs/>
              </w:rPr>
            </w:pPr>
            <w:r w:rsidRPr="00044E60">
              <w:rPr>
                <w:i/>
                <w:iCs/>
              </w:rPr>
              <w:t>2: The UE should not repeatedly send the same IDC indication message to the network.</w:t>
            </w:r>
          </w:p>
          <w:p w14:paraId="1732AF70" w14:textId="77777777" w:rsidR="0099740C" w:rsidRPr="00044E60" w:rsidRDefault="0099740C" w:rsidP="00044E60">
            <w:pPr>
              <w:adjustRightInd w:val="0"/>
              <w:snapToGrid w:val="0"/>
              <w:spacing w:after="0"/>
              <w:rPr>
                <w:i/>
                <w:iCs/>
              </w:rPr>
            </w:pPr>
            <w:r w:rsidRPr="00044E60">
              <w:rPr>
                <w:i/>
                <w:iCs/>
              </w:rPr>
              <w:t>3: As a starting point to move on, a configurable IDC indication prohibit timer is adopted.</w:t>
            </w:r>
          </w:p>
          <w:p w14:paraId="0E8121AD" w14:textId="77777777" w:rsidR="0099740C" w:rsidRPr="00044E60" w:rsidRDefault="0099740C" w:rsidP="00044E60">
            <w:pPr>
              <w:adjustRightInd w:val="0"/>
              <w:snapToGrid w:val="0"/>
              <w:spacing w:after="0"/>
              <w:rPr>
                <w:i/>
                <w:iCs/>
              </w:rPr>
            </w:pPr>
            <w:r w:rsidRPr="00044E60">
              <w:rPr>
                <w:i/>
                <w:iCs/>
              </w:rPr>
              <w:t>4: As a starting point, some initial values, e.g. 100ms, 200ms, 300ms, 400ms, 500ms, 1000ms, 5000ms for a configurable IDC indication prohibit timer can be adopted.</w:t>
            </w:r>
          </w:p>
          <w:p w14:paraId="0AF58FFD" w14:textId="77777777" w:rsidR="0099740C" w:rsidRPr="00044E60" w:rsidRDefault="0099740C" w:rsidP="00044E60">
            <w:pPr>
              <w:adjustRightInd w:val="0"/>
              <w:snapToGrid w:val="0"/>
              <w:spacing w:after="0"/>
              <w:rPr>
                <w:i/>
                <w:iCs/>
              </w:rPr>
            </w:pPr>
            <w:r w:rsidRPr="00044E60">
              <w:rPr>
                <w:i/>
                <w:iCs/>
              </w:rPr>
              <w:t>5a: If configured, the UE should clear the IDC indication prohibit timer in case of intra-LTE handover and reestablishment.</w:t>
            </w:r>
          </w:p>
          <w:p w14:paraId="09A1A1D9" w14:textId="77777777" w:rsidR="0099740C" w:rsidRPr="00044E60" w:rsidRDefault="0099740C" w:rsidP="00044E60">
            <w:pPr>
              <w:adjustRightInd w:val="0"/>
              <w:snapToGrid w:val="0"/>
              <w:spacing w:after="0"/>
              <w:rPr>
                <w:i/>
                <w:iCs/>
              </w:rPr>
            </w:pPr>
            <w:r w:rsidRPr="00044E60">
              <w:rPr>
                <w:i/>
                <w:iCs/>
              </w:rPr>
              <w:t>5b: If configured, the UE should release the idc-Config upon reestablishment.</w:t>
            </w:r>
          </w:p>
          <w:p w14:paraId="18CAB982" w14:textId="77777777" w:rsidR="0099740C" w:rsidRPr="00044E60" w:rsidRDefault="0099740C" w:rsidP="00044E60">
            <w:pPr>
              <w:adjustRightInd w:val="0"/>
              <w:snapToGrid w:val="0"/>
              <w:spacing w:after="0"/>
              <w:rPr>
                <w:i/>
                <w:iCs/>
              </w:rPr>
            </w:pPr>
            <w:r w:rsidRPr="00044E60">
              <w:rPr>
                <w:i/>
                <w:iCs/>
              </w:rPr>
              <w:t xml:space="preserve">5c: RAN2 is request to </w:t>
            </w:r>
            <w:r w:rsidRPr="00044E60">
              <w:rPr>
                <w:b/>
                <w:i/>
                <w:iCs/>
              </w:rPr>
              <w:t>discuss</w:t>
            </w:r>
            <w:r w:rsidRPr="00044E60">
              <w:rPr>
                <w:i/>
                <w:iCs/>
              </w:rPr>
              <w:t xml:space="preserve"> whether the UE should </w:t>
            </w:r>
            <w:r w:rsidRPr="00044E60">
              <w:rPr>
                <w:b/>
                <w:i/>
                <w:iCs/>
              </w:rPr>
              <w:t>release the idc-Config, if configured, upon intra-LTE handover</w:t>
            </w:r>
            <w:r w:rsidRPr="00044E60">
              <w:rPr>
                <w:i/>
                <w:iCs/>
              </w:rPr>
              <w:t>.</w:t>
            </w:r>
          </w:p>
          <w:p w14:paraId="343B6221" w14:textId="77777777" w:rsidR="0099740C" w:rsidRPr="00044E60" w:rsidRDefault="0099740C" w:rsidP="00044E60">
            <w:pPr>
              <w:adjustRightInd w:val="0"/>
              <w:snapToGrid w:val="0"/>
              <w:spacing w:after="0"/>
              <w:rPr>
                <w:i/>
                <w:iCs/>
              </w:rPr>
            </w:pPr>
            <w:r w:rsidRPr="00044E60">
              <w:rPr>
                <w:i/>
                <w:iCs/>
              </w:rPr>
              <w:t>6: With respect to the E-UTRAN UL carrier frequency, the current mechanism is sufficient and no additional mechanism is needed in Rel-11.</w:t>
            </w:r>
          </w:p>
          <w:p w14:paraId="653064C7" w14:textId="77777777" w:rsidR="0099740C" w:rsidRPr="00044E60" w:rsidRDefault="0099740C" w:rsidP="00044E60">
            <w:pPr>
              <w:adjustRightInd w:val="0"/>
              <w:snapToGrid w:val="0"/>
              <w:spacing w:after="0"/>
              <w:rPr>
                <w:i/>
                <w:iCs/>
              </w:rPr>
            </w:pPr>
            <w:r w:rsidRPr="00044E60">
              <w:rPr>
                <w:i/>
                <w:iCs/>
              </w:rPr>
              <w:t>7: There is no need to specify a pre-configured time for phase 2 and it could be left to UE implementation in Rel-11.</w:t>
            </w:r>
          </w:p>
          <w:p w14:paraId="0C970980" w14:textId="77777777" w:rsidR="0099740C" w:rsidRPr="00044E60" w:rsidRDefault="0099740C" w:rsidP="00044E60">
            <w:pPr>
              <w:adjustRightInd w:val="0"/>
              <w:snapToGrid w:val="0"/>
              <w:spacing w:after="0"/>
              <w:rPr>
                <w:i/>
                <w:iCs/>
              </w:rPr>
            </w:pPr>
            <w:r w:rsidRPr="00044E60">
              <w:rPr>
                <w:i/>
                <w:iCs/>
              </w:rPr>
              <w:t>8: Once LTE UL autonomous denial rate is configured by the eNB, it is applicable for all phases.</w:t>
            </w:r>
          </w:p>
          <w:p w14:paraId="195439DC" w14:textId="77777777" w:rsidR="0099740C" w:rsidRPr="00044E60" w:rsidRDefault="0099740C" w:rsidP="00044E60">
            <w:pPr>
              <w:adjustRightInd w:val="0"/>
              <w:snapToGrid w:val="0"/>
              <w:spacing w:after="0"/>
              <w:rPr>
                <w:i/>
                <w:iCs/>
              </w:rPr>
            </w:pPr>
            <w:r w:rsidRPr="00044E60">
              <w:rPr>
                <w:i/>
                <w:iCs/>
              </w:rPr>
              <w:t>9: There is no need to specify the LTE DL autonomous denials.</w:t>
            </w:r>
          </w:p>
          <w:p w14:paraId="4F3C75E7" w14:textId="77777777" w:rsidR="0099740C" w:rsidRPr="00044E60" w:rsidRDefault="0099740C" w:rsidP="00044E60">
            <w:pPr>
              <w:adjustRightInd w:val="0"/>
              <w:snapToGrid w:val="0"/>
              <w:spacing w:after="0"/>
              <w:rPr>
                <w:i/>
                <w:iCs/>
              </w:rPr>
            </w:pPr>
            <w:r w:rsidRPr="00044E60">
              <w:rPr>
                <w:i/>
                <w:iCs/>
              </w:rPr>
              <w:t>10: A moving window is used to specify the start and end of the time validity period over which the autonomous denial subframes shall be counted.</w:t>
            </w:r>
          </w:p>
          <w:p w14:paraId="5D83F59C" w14:textId="77777777" w:rsidR="0099740C" w:rsidRPr="00044E60" w:rsidRDefault="0099740C" w:rsidP="00044E60">
            <w:pPr>
              <w:adjustRightInd w:val="0"/>
              <w:snapToGrid w:val="0"/>
              <w:spacing w:after="0"/>
              <w:rPr>
                <w:i/>
                <w:iCs/>
              </w:rPr>
            </w:pPr>
            <w:r w:rsidRPr="00044E60">
              <w:rPr>
                <w:i/>
                <w:iCs/>
              </w:rPr>
              <w:t>11: Introduce the following values for the IDC assistance information:</w:t>
            </w:r>
          </w:p>
          <w:p w14:paraId="2A724195" w14:textId="77777777" w:rsidR="0099740C" w:rsidRPr="00044E60" w:rsidRDefault="0099740C" w:rsidP="00044E60">
            <w:pPr>
              <w:adjustRightInd w:val="0"/>
              <w:snapToGrid w:val="0"/>
              <w:spacing w:after="0"/>
              <w:rPr>
                <w:i/>
                <w:iCs/>
              </w:rPr>
            </w:pPr>
            <w:r w:rsidRPr="00044E60">
              <w:rPr>
                <w:i/>
                <w:iCs/>
              </w:rPr>
              <w:tab/>
              <w:t>Values and/or range of drx-CycleLength-r11: 40, 64, 80, 128, 160, 256 subframes.</w:t>
            </w:r>
          </w:p>
          <w:p w14:paraId="7C4AB7C8" w14:textId="77777777" w:rsidR="0099740C" w:rsidRPr="00044E60" w:rsidRDefault="0099740C" w:rsidP="00044E60">
            <w:pPr>
              <w:adjustRightInd w:val="0"/>
              <w:snapToGrid w:val="0"/>
              <w:spacing w:after="0"/>
              <w:rPr>
                <w:i/>
                <w:iCs/>
              </w:rPr>
            </w:pPr>
            <w:r w:rsidRPr="00044E60">
              <w:rPr>
                <w:i/>
                <w:iCs/>
              </w:rPr>
              <w:tab/>
              <w:t>Values and/or range of drx-Offset-r11: 0-255.</w:t>
            </w:r>
          </w:p>
          <w:p w14:paraId="59797EDF" w14:textId="77777777" w:rsidR="0099740C" w:rsidRPr="00044E60" w:rsidRDefault="0099740C" w:rsidP="00044E60">
            <w:pPr>
              <w:adjustRightInd w:val="0"/>
              <w:snapToGrid w:val="0"/>
              <w:spacing w:after="0"/>
              <w:rPr>
                <w:i/>
                <w:iCs/>
              </w:rPr>
            </w:pPr>
            <w:r w:rsidRPr="00044E60">
              <w:rPr>
                <w:i/>
                <w:iCs/>
              </w:rPr>
              <w:tab/>
              <w:t>Values and/or range of drx-ActiveTime-r11: [20, 30, 40, 60, 80, 100]psf.</w:t>
            </w:r>
          </w:p>
          <w:p w14:paraId="25051DBC" w14:textId="77777777" w:rsidR="0099740C" w:rsidRPr="00044E60" w:rsidRDefault="0099740C" w:rsidP="00044E60">
            <w:pPr>
              <w:adjustRightInd w:val="0"/>
              <w:snapToGrid w:val="0"/>
              <w:spacing w:after="0"/>
              <w:rPr>
                <w:i/>
                <w:iCs/>
              </w:rPr>
            </w:pPr>
            <w:r w:rsidRPr="00044E60">
              <w:rPr>
                <w:i/>
                <w:iCs/>
              </w:rPr>
              <w:tab/>
              <w:t>Values and/or range of maxFreqIDC-r11: 32.</w:t>
            </w:r>
          </w:p>
          <w:p w14:paraId="50527E47" w14:textId="77777777" w:rsidR="0099740C" w:rsidRPr="00044E60" w:rsidRDefault="0099740C" w:rsidP="00044E60">
            <w:pPr>
              <w:adjustRightInd w:val="0"/>
              <w:snapToGrid w:val="0"/>
              <w:spacing w:after="0"/>
              <w:rPr>
                <w:i/>
                <w:iCs/>
              </w:rPr>
            </w:pPr>
            <w:r w:rsidRPr="00044E60">
              <w:rPr>
                <w:i/>
                <w:iCs/>
              </w:rPr>
              <w:tab/>
              <w:t>Values and/or range of maxSubframePatternIDC-r11: 8.</w:t>
            </w:r>
          </w:p>
          <w:p w14:paraId="07C3407D" w14:textId="77777777" w:rsidR="0099740C" w:rsidRPr="00044E60" w:rsidRDefault="0099740C" w:rsidP="00044E60">
            <w:pPr>
              <w:adjustRightInd w:val="0"/>
              <w:snapToGrid w:val="0"/>
              <w:spacing w:after="0"/>
              <w:rPr>
                <w:i/>
                <w:iCs/>
              </w:rPr>
            </w:pPr>
            <w:r w:rsidRPr="00044E60">
              <w:rPr>
                <w:i/>
                <w:iCs/>
              </w:rPr>
              <w:t>12: The new values introduced in DRX-config-r11 are not applicable for non-IDC UEs.</w:t>
            </w:r>
          </w:p>
          <w:p w14:paraId="688DB4F4" w14:textId="77777777" w:rsidR="0099740C" w:rsidRPr="00044E60" w:rsidRDefault="0099740C" w:rsidP="00044E60">
            <w:pPr>
              <w:adjustRightInd w:val="0"/>
              <w:snapToGrid w:val="0"/>
              <w:spacing w:after="0"/>
              <w:rPr>
                <w:i/>
                <w:iCs/>
              </w:rPr>
            </w:pPr>
            <w:r w:rsidRPr="00044E60">
              <w:rPr>
                <w:i/>
                <w:iCs/>
              </w:rPr>
              <w:t>13: One feature group for both FDM+TDM and LTE autonomous denial is sufficient in Rel-11.</w:t>
            </w:r>
          </w:p>
          <w:p w14:paraId="1F63E1AA" w14:textId="77777777" w:rsidR="0099740C" w:rsidRDefault="0099740C" w:rsidP="0099740C"/>
          <w:p w14:paraId="55D4F53F" w14:textId="77777777" w:rsidR="0099740C" w:rsidRDefault="0099740C" w:rsidP="00044E60">
            <w:pPr>
              <w:pStyle w:val="Doc-text2"/>
            </w:pPr>
            <w:r>
              <w:t xml:space="preserve">Proposal 2: </w:t>
            </w:r>
          </w:p>
          <w:p w14:paraId="65D15E75" w14:textId="77777777" w:rsidR="0099740C" w:rsidRDefault="0099740C" w:rsidP="00044E60">
            <w:pPr>
              <w:pStyle w:val="Doc-text2"/>
            </w:pPr>
            <w:r>
              <w:t>-</w:t>
            </w:r>
            <w:r>
              <w:tab/>
              <w:t xml:space="preserve">Huawei thinks that we may have to allow the UE to send the same indication after handover to another eNB. Samsung thinks the UE does not know about eNBs. Ericsson thinks that there may be cases where the UE changes the content of its indication when the eNB has already forwarded the previous indication. ALU thinks that alternatively, the source eNB could still forward the new context eNB status transfer or SN status transfer. NSN agrees that there could be this race condition and NSN thinks that the simplest solution seems to be to allow the UE to re-send it after handover. Samsung thinks we could consider a clarification that the UE may repeat it in the target if it updated it just shortly before receiving the HO command. </w:t>
            </w:r>
          </w:p>
          <w:p w14:paraId="2C218FEA" w14:textId="77777777" w:rsidR="0099740C" w:rsidRDefault="0099740C" w:rsidP="00044E60">
            <w:pPr>
              <w:pStyle w:val="Doc-text2"/>
            </w:pPr>
            <w:r>
              <w:t>-</w:t>
            </w:r>
            <w:r>
              <w:tab/>
              <w:t xml:space="preserve">Panasonic wonders whether we would want to test this. NSN thinks we should at least prohibit it. </w:t>
            </w:r>
          </w:p>
          <w:p w14:paraId="1E9ABC95" w14:textId="77777777" w:rsidR="0099740C" w:rsidRDefault="0099740C" w:rsidP="00044E60">
            <w:pPr>
              <w:pStyle w:val="Doc-text2"/>
            </w:pPr>
            <w:r>
              <w:lastRenderedPageBreak/>
              <w:t>-</w:t>
            </w:r>
            <w:r>
              <w:tab/>
              <w:t xml:space="preserve">Chairman thinks that proposal 2 is already captured in the current specification. </w:t>
            </w:r>
          </w:p>
          <w:p w14:paraId="314158ED" w14:textId="77777777" w:rsidR="0099740C" w:rsidRDefault="0099740C" w:rsidP="00044E60">
            <w:pPr>
              <w:pStyle w:val="Doc-text2"/>
            </w:pPr>
            <w:r>
              <w:t xml:space="preserve">Proposal 3: </w:t>
            </w:r>
          </w:p>
          <w:p w14:paraId="32FD49CD" w14:textId="77777777" w:rsidR="0099740C" w:rsidRDefault="0099740C" w:rsidP="00044E60">
            <w:pPr>
              <w:pStyle w:val="Doc-text2"/>
            </w:pPr>
            <w:r>
              <w:t>-</w:t>
            </w:r>
            <w:r>
              <w:tab/>
              <w:t xml:space="preserve">LG and ZTE think that the eNB has anyway no means to choose a particularly good value. Nokia would also prefer to have a fixed timer value or no timer at all. Ericsson thinks the eNB can e.g. choose the timer value based on the load conditions. LG thinks a small fixed value should be enough. Huawei thinks one small fixed value is not enough. We should go for the majority view. Samsung thinks that the more complex we make the feature the less likely it is that it will ever be implemented. Samsung thinks that 500ms timer value could be OK. We could keep the value in brackets and come back if we think a different value would be needed. Samsung thinks that since we don’t allow repeating the same value there should not really be a problem. QC could support this but would suggest 200ms. Nokia thinks that there may be some situations in which timely updates are needed. But this does not mean that a UE will send indications repeatedly every 200 ms. NSN thinks that we could also go without any prohibit timer. Ericsson thinks it would be testable that the UE does not send too frequent updates. Samsung would be OK not to have any timer. </w:t>
            </w:r>
          </w:p>
          <w:p w14:paraId="3A04FED0" w14:textId="77777777" w:rsidR="0099740C" w:rsidRDefault="0099740C" w:rsidP="00044E60">
            <w:pPr>
              <w:pStyle w:val="Doc-text2"/>
            </w:pPr>
          </w:p>
          <w:p w14:paraId="6CB03406" w14:textId="77777777" w:rsidR="0099740C" w:rsidRDefault="0099740C" w:rsidP="00044E60">
            <w:pPr>
              <w:pStyle w:val="Doc-text2"/>
            </w:pPr>
            <w:r>
              <w:t>Show of hands:</w:t>
            </w:r>
          </w:p>
          <w:p w14:paraId="3EC8A871" w14:textId="77777777" w:rsidR="0099740C" w:rsidRDefault="0099740C" w:rsidP="00044E60">
            <w:pPr>
              <w:pStyle w:val="Doc-text2"/>
            </w:pPr>
            <w:r>
              <w:t>a) no timer: 10 companies</w:t>
            </w:r>
          </w:p>
          <w:p w14:paraId="32F2BE02" w14:textId="77777777" w:rsidR="0099740C" w:rsidRDefault="0099740C" w:rsidP="00044E60">
            <w:pPr>
              <w:pStyle w:val="Doc-text2"/>
            </w:pPr>
            <w:r>
              <w:t>b) fixed timer: 2 companies</w:t>
            </w:r>
          </w:p>
          <w:p w14:paraId="25702D18" w14:textId="77777777" w:rsidR="0099740C" w:rsidRDefault="0099740C" w:rsidP="00044E60">
            <w:pPr>
              <w:pStyle w:val="Doc-text2"/>
            </w:pPr>
            <w:r>
              <w:t>c) configurable timer: 14 companies</w:t>
            </w:r>
          </w:p>
          <w:p w14:paraId="5B7EA771" w14:textId="77777777" w:rsidR="0099740C" w:rsidRDefault="0099740C" w:rsidP="00044E60">
            <w:pPr>
              <w:pStyle w:val="Doc-text2"/>
            </w:pPr>
          </w:p>
          <w:p w14:paraId="24EA7CF5" w14:textId="77777777" w:rsidR="0099740C" w:rsidRDefault="0099740C" w:rsidP="00044E60">
            <w:pPr>
              <w:pStyle w:val="Doc-text2"/>
            </w:pPr>
            <w:r>
              <w:t>-</w:t>
            </w:r>
            <w:r>
              <w:tab/>
              <w:t xml:space="preserve">DT is concerned that a broken UE implementation could still flood the NW with indications until the NW is able to de-configure the IDC indication signalling. </w:t>
            </w:r>
          </w:p>
          <w:p w14:paraId="52C893DA" w14:textId="77777777" w:rsidR="0099740C" w:rsidRDefault="0099740C" w:rsidP="00044E60">
            <w:pPr>
              <w:pStyle w:val="Doc-text2"/>
            </w:pPr>
            <w:r>
              <w:t>-</w:t>
            </w:r>
            <w:r>
              <w:tab/>
              <w:t xml:space="preserve">Chairman thinks that this discussion shows that we have to test this IDC functionality no matter whether we introduce a timer or not. Otherwise, it is very likely that we see broken UE implementations that flood the NW with indications. Just relying on that the NW may de-configure the feature is not good enough. </w:t>
            </w:r>
          </w:p>
          <w:p w14:paraId="73DCEBA8" w14:textId="77777777" w:rsidR="0099740C" w:rsidRDefault="0099740C" w:rsidP="00044E60">
            <w:pPr>
              <w:pStyle w:val="Doc-text2"/>
            </w:pPr>
            <w:r>
              <w:t>-</w:t>
            </w:r>
            <w:r>
              <w:tab/>
              <w:t xml:space="preserve">Panasonic wonders how the eNB knows whether the reconfiguration helped to UE to resolve its problems. Chairman thinks that for FDM the eNB should know pretty well which solution helps. Nokia thinks that also for TDM the eNB can apply a good solution based on the UE’s indication. Ericsson thinks that the eNB will also see from RRM measurements whether the solution helped. Otherwise, the UE will again enter phase 1 and reflect the IDC interference in RRM measurements. </w:t>
            </w:r>
          </w:p>
          <w:p w14:paraId="7D498796" w14:textId="77777777" w:rsidR="0099740C" w:rsidRDefault="0099740C" w:rsidP="00044E60">
            <w:pPr>
              <w:pStyle w:val="Doc-text2"/>
            </w:pPr>
            <w:r>
              <w:t>-</w:t>
            </w:r>
            <w:r>
              <w:tab/>
              <w:t xml:space="preserve">After offline discussion Huawei suggests not to have any prohibit timer. </w:t>
            </w:r>
          </w:p>
          <w:p w14:paraId="08E37391" w14:textId="77777777" w:rsidR="0099740C" w:rsidRDefault="0099740C" w:rsidP="00044E60">
            <w:pPr>
              <w:pStyle w:val="Doc-text2"/>
            </w:pPr>
            <w:r>
              <w:t>Proposal 5b/5c:</w:t>
            </w:r>
          </w:p>
          <w:p w14:paraId="18D52EB6" w14:textId="77777777" w:rsidR="0099740C" w:rsidRDefault="0099740C" w:rsidP="00044E60">
            <w:pPr>
              <w:pStyle w:val="Doc-text2"/>
            </w:pPr>
            <w:r>
              <w:t>-</w:t>
            </w:r>
            <w:r>
              <w:tab/>
              <w:t xml:space="preserve">ALU does not think that IDC config should be released upon reestablishment. The NW can reconfigure after the first reconfiguration after reestablishment. Samsung thinks then there would be a suspension. ALU agrees that the indication should be suspended until after the first RRCConnectionReconfiguration after re-establishment. ALU thinks this would allow delta signalling and would simplify the procedural text since we don’t add UE autonomous behaviour. ALU explains that the target eNB gets the release of the source configuration and therefore knows whether it has to do a full config. Ericsson agrees with ALU’s understanding and reasoning. Ericsson suggests to keep the configuration both for handover and re-establishment. Nokia wonders what would happen if the UE would send the indication before the reconfiguration (no suspend). ALU thinks that eNB should be able to handle this but we avoided it so far in our specification. More importantly, we should suspend since this is a case where the configuration in the eNB may be different from the configuration in the UE. ZTE thinks we would still need to add text to handle the suspending. ALU thinks we should add in the reestablishment procedure what is supposed to be suspended (for all new indications). ALU thinks this would reflect the general principle that we introduced in Rel-8. ALU thinks we should align also these UE indication procedures. Samsung thinks that on MAC and above we usually keep the configuration and only release the L1 configuration. We could follow that logic here. QC thinks we are doing a functional suspension. Samsung thinks we are suspending the reporting. Ericsson thinks the alternative would be to release the configuration, resulting in the same UE behaviour but requires full-configuration. Nokia does  not want to decide on the functional suspension of a particular feature. </w:t>
            </w:r>
          </w:p>
          <w:p w14:paraId="456DB5F6" w14:textId="77777777" w:rsidR="0099740C" w:rsidRDefault="0099740C" w:rsidP="00044E60">
            <w:pPr>
              <w:pStyle w:val="Doc-text2"/>
            </w:pPr>
            <w:r>
              <w:t>Proposal 7:</w:t>
            </w:r>
          </w:p>
          <w:p w14:paraId="1CEA80E6" w14:textId="77777777" w:rsidR="0099740C" w:rsidRDefault="0099740C" w:rsidP="00044E60">
            <w:pPr>
              <w:pStyle w:val="Doc-text2"/>
            </w:pPr>
            <w:r>
              <w:t>-</w:t>
            </w:r>
            <w:r>
              <w:tab/>
              <w:t xml:space="preserve">QC wonders whether we have to then change the assumption that the measurements are free from IDC interference. QC thinks so. Chairman understands that at some point </w:t>
            </w:r>
            <w:r>
              <w:lastRenderedPageBreak/>
              <w:t xml:space="preserve">in time in phase 2, the UE assumes that the eNB will not resolve the IDC problem and then decide whether to block ISM UL transmissions in order to stay connected in LTE or to continue ISM transmission and then potentially having to declare RLF in LTE. </w:t>
            </w:r>
          </w:p>
          <w:p w14:paraId="6B5FCBEC" w14:textId="77777777" w:rsidR="0099740C" w:rsidRDefault="0099740C" w:rsidP="00044E60">
            <w:pPr>
              <w:pStyle w:val="Doc-text2"/>
            </w:pPr>
            <w:r>
              <w:t xml:space="preserve">Proposal 12: </w:t>
            </w:r>
          </w:p>
          <w:p w14:paraId="551F0ACE" w14:textId="77777777" w:rsidR="0099740C" w:rsidRDefault="0099740C" w:rsidP="00044E60">
            <w:pPr>
              <w:pStyle w:val="Doc-text2"/>
            </w:pPr>
            <w:r>
              <w:t>-</w:t>
            </w:r>
            <w:r>
              <w:tab/>
              <w:t xml:space="preserve">NSN thinks we don’t need a critical extension if we go for this since to ensure that there is no impact on non-IDC UEs. Samsung thinks that so far we have the critical extension in the specification. Samsung expects that the non-critical extension will require quite a few changes and the NW would then have to send the legacy values which the UE then ignores if the new value is present. Samsung would also be OK with that. </w:t>
            </w:r>
          </w:p>
          <w:p w14:paraId="22EE543C" w14:textId="77777777" w:rsidR="0099740C" w:rsidRDefault="0099740C" w:rsidP="00044E60">
            <w:pPr>
              <w:pStyle w:val="Doc-text2"/>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7781"/>
            </w:tblGrid>
            <w:tr w:rsidR="0099740C" w14:paraId="6A636349" w14:textId="77777777" w:rsidTr="0099740C">
              <w:tc>
                <w:tcPr>
                  <w:tcW w:w="10116" w:type="dxa"/>
                  <w:tcBorders>
                    <w:top w:val="single" w:sz="4" w:space="0" w:color="auto"/>
                    <w:left w:val="single" w:sz="4" w:space="0" w:color="auto"/>
                    <w:bottom w:val="single" w:sz="4" w:space="0" w:color="auto"/>
                    <w:right w:val="single" w:sz="4" w:space="0" w:color="auto"/>
                  </w:tcBorders>
                </w:tcPr>
                <w:p w14:paraId="2C223BA5" w14:textId="77777777" w:rsidR="0099740C" w:rsidRDefault="0099740C" w:rsidP="0099740C">
                  <w:pPr>
                    <w:pStyle w:val="Doc-text2"/>
                    <w:tabs>
                      <w:tab w:val="left" w:pos="340"/>
                    </w:tabs>
                    <w:ind w:left="340" w:hanging="340"/>
                  </w:pPr>
                  <w:r>
                    <w:rPr>
                      <w:b/>
                    </w:rPr>
                    <w:t>Agreements</w:t>
                  </w:r>
                </w:p>
                <w:p w14:paraId="3856E51C" w14:textId="77777777" w:rsidR="0099740C" w:rsidRDefault="0099740C" w:rsidP="0099740C">
                  <w:pPr>
                    <w:pStyle w:val="Doc-text2"/>
                    <w:tabs>
                      <w:tab w:val="left" w:pos="340"/>
                    </w:tabs>
                    <w:ind w:left="340" w:hanging="340"/>
                  </w:pPr>
                  <w:r>
                    <w:t>2</w:t>
                  </w:r>
                  <w:r>
                    <w:tab/>
                    <w:t>We re-confirm what stage-3 already covers: The UE shall not repeatedly send the same IDC indication message to the network.</w:t>
                  </w:r>
                </w:p>
                <w:p w14:paraId="78A0378A" w14:textId="77777777" w:rsidR="0099740C" w:rsidRDefault="0099740C" w:rsidP="0099740C">
                  <w:pPr>
                    <w:pStyle w:val="Doc-text2"/>
                    <w:tabs>
                      <w:tab w:val="left" w:pos="340"/>
                    </w:tabs>
                    <w:ind w:left="340" w:hanging="340"/>
                  </w:pPr>
                  <w:r>
                    <w:t>2a</w:t>
                  </w:r>
                  <w:r>
                    <w:tab/>
                    <w:t>After handover, the UE may repeat an IDC indication with the same content as the last IDC indication sent prior to the handover. This is to resolve the case where the source eNB forwarded the IDC context before the UE sent the last update. (Could try to generalize)</w:t>
                  </w:r>
                </w:p>
                <w:p w14:paraId="357F9734" w14:textId="77777777" w:rsidR="0099740C" w:rsidRDefault="0099740C" w:rsidP="0099740C">
                  <w:pPr>
                    <w:pStyle w:val="Doc-text2"/>
                    <w:tabs>
                      <w:tab w:val="left" w:pos="340"/>
                    </w:tabs>
                    <w:ind w:left="340" w:hanging="340"/>
                  </w:pPr>
                  <w:r>
                    <w:t>3</w:t>
                  </w:r>
                  <w:r>
                    <w:tab/>
                    <w:t>We will not have a prohibit timer</w:t>
                  </w:r>
                </w:p>
                <w:p w14:paraId="7AD87948" w14:textId="77777777" w:rsidR="0099740C" w:rsidRDefault="0099740C" w:rsidP="0099740C">
                  <w:pPr>
                    <w:pStyle w:val="Doc-text2"/>
                    <w:tabs>
                      <w:tab w:val="left" w:pos="340"/>
                    </w:tabs>
                    <w:ind w:left="340" w:hanging="340"/>
                  </w:pPr>
                </w:p>
                <w:p w14:paraId="5DB1C5BA" w14:textId="77777777" w:rsidR="0099740C" w:rsidRDefault="0099740C" w:rsidP="0099740C">
                  <w:pPr>
                    <w:pStyle w:val="Doc-text2"/>
                    <w:tabs>
                      <w:tab w:val="left" w:pos="340"/>
                    </w:tabs>
                    <w:ind w:left="340" w:hanging="340"/>
                  </w:pPr>
                  <w:r>
                    <w:t>(FFS means for further study)</w:t>
                  </w:r>
                </w:p>
                <w:p w14:paraId="07FB531B" w14:textId="77777777" w:rsidR="0099740C" w:rsidRDefault="0099740C" w:rsidP="0099740C">
                  <w:pPr>
                    <w:pStyle w:val="Doc-text2"/>
                    <w:tabs>
                      <w:tab w:val="left" w:pos="340"/>
                    </w:tabs>
                    <w:ind w:left="340" w:hanging="340"/>
                  </w:pPr>
                  <w:r>
                    <w:t>FFS: 4</w:t>
                  </w:r>
                  <w:r>
                    <w:tab/>
                    <w:t xml:space="preserve">Upon handover and re-establishment, the idc-Config is not released. </w:t>
                  </w:r>
                </w:p>
                <w:p w14:paraId="4FAFE0D0" w14:textId="77777777" w:rsidR="0099740C" w:rsidRDefault="0099740C" w:rsidP="0099740C">
                  <w:pPr>
                    <w:pStyle w:val="Doc-text2"/>
                    <w:tabs>
                      <w:tab w:val="left" w:pos="340"/>
                    </w:tabs>
                    <w:ind w:left="0" w:firstLine="0"/>
                  </w:pPr>
                  <w:r>
                    <w:t>FFS: 4a</w:t>
                  </w:r>
                  <w:r>
                    <w:tab/>
                    <w:t xml:space="preserve">During re-establishment, the idc-Config (IDC indications and autonomous denial) is suspended until the first RRCConnectionReconfiguration following the re-establishment (to avoid that the UE sends indication to an eNB not supporting them). </w:t>
                  </w:r>
                </w:p>
                <w:p w14:paraId="295079A2" w14:textId="77777777" w:rsidR="0099740C" w:rsidRDefault="0099740C" w:rsidP="0099740C">
                  <w:pPr>
                    <w:pStyle w:val="Doc-text2"/>
                    <w:tabs>
                      <w:tab w:val="left" w:pos="340"/>
                    </w:tabs>
                    <w:ind w:left="0" w:firstLine="0"/>
                  </w:pPr>
                </w:p>
                <w:p w14:paraId="0F570F2D" w14:textId="77777777" w:rsidR="0099740C" w:rsidRDefault="0099740C" w:rsidP="0099740C">
                  <w:pPr>
                    <w:pStyle w:val="Doc-text2"/>
                    <w:tabs>
                      <w:tab w:val="left" w:pos="340"/>
                    </w:tabs>
                    <w:ind w:left="340" w:hanging="340"/>
                  </w:pPr>
                  <w:r>
                    <w:t>6</w:t>
                  </w:r>
                  <w:r>
                    <w:tab/>
                    <w:t>With respect to the E-UTRAN UL carrier frequency, the current mechanism is sufficient and no additional mechanism is needed.</w:t>
                  </w:r>
                </w:p>
                <w:p w14:paraId="19EDE43A" w14:textId="77777777" w:rsidR="0099740C" w:rsidRDefault="0099740C" w:rsidP="0099740C">
                  <w:pPr>
                    <w:pStyle w:val="Doc-text2"/>
                    <w:tabs>
                      <w:tab w:val="left" w:pos="340"/>
                    </w:tabs>
                    <w:ind w:left="340" w:hanging="340"/>
                  </w:pPr>
                  <w:r>
                    <w:t>7</w:t>
                  </w:r>
                  <w:r>
                    <w:tab/>
                    <w:t>There is no need to specify a pre-configured time for phase 2 and it could be left to UE implementation.</w:t>
                  </w:r>
                </w:p>
                <w:p w14:paraId="5659455C" w14:textId="77777777" w:rsidR="0099740C" w:rsidRDefault="0099740C" w:rsidP="0099740C">
                  <w:pPr>
                    <w:pStyle w:val="Doc-text2"/>
                    <w:tabs>
                      <w:tab w:val="left" w:pos="340"/>
                    </w:tabs>
                    <w:ind w:left="340" w:hanging="340"/>
                  </w:pPr>
                  <w:r>
                    <w:t>8</w:t>
                  </w:r>
                  <w:r>
                    <w:tab/>
                    <w:t>Once LTE UL autonomous denial rate is configured by the eNB, it is applicable for all phases.</w:t>
                  </w:r>
                </w:p>
                <w:p w14:paraId="39C6AE6B" w14:textId="77777777" w:rsidR="0099740C" w:rsidRDefault="0099740C" w:rsidP="0099740C">
                  <w:pPr>
                    <w:pStyle w:val="Doc-text2"/>
                    <w:tabs>
                      <w:tab w:val="left" w:pos="340"/>
                    </w:tabs>
                    <w:ind w:left="340" w:hanging="340"/>
                  </w:pPr>
                  <w:r>
                    <w:t>9</w:t>
                  </w:r>
                  <w:r>
                    <w:tab/>
                    <w:t>There is no need to specify the LTE DL autonomous denials.</w:t>
                  </w:r>
                </w:p>
                <w:p w14:paraId="161E0A1A" w14:textId="77777777" w:rsidR="0099740C" w:rsidRDefault="0099740C" w:rsidP="0099740C">
                  <w:pPr>
                    <w:pStyle w:val="Doc-text2"/>
                    <w:tabs>
                      <w:tab w:val="left" w:pos="340"/>
                    </w:tabs>
                    <w:ind w:left="340" w:hanging="340"/>
                  </w:pPr>
                  <w:r>
                    <w:t>10</w:t>
                  </w:r>
                  <w:r>
                    <w:tab/>
                    <w:t>A moving window is used to specify the start and end of the time validity period over which the autonomous denial subframes shall be counted.</w:t>
                  </w:r>
                </w:p>
                <w:p w14:paraId="19764903" w14:textId="77777777" w:rsidR="0099740C" w:rsidRDefault="0099740C" w:rsidP="0099740C">
                  <w:pPr>
                    <w:pStyle w:val="Doc-text2"/>
                    <w:tabs>
                      <w:tab w:val="left" w:pos="340"/>
                    </w:tabs>
                    <w:ind w:left="340" w:hanging="340"/>
                  </w:pPr>
                  <w:r>
                    <w:t>11</w:t>
                  </w:r>
                  <w:r>
                    <w:tab/>
                    <w:t>Introduce the following values for the IDC assistance information:</w:t>
                  </w:r>
                </w:p>
                <w:p w14:paraId="69DBA917" w14:textId="77777777" w:rsidR="0099740C" w:rsidRDefault="0099740C" w:rsidP="0099740C">
                  <w:pPr>
                    <w:pStyle w:val="Doc-text2"/>
                    <w:tabs>
                      <w:tab w:val="left" w:pos="340"/>
                    </w:tabs>
                    <w:ind w:left="340" w:hanging="340"/>
                  </w:pPr>
                  <w:r>
                    <w:tab/>
                    <w:t>- Values and/or range of drx-CycleLength-r11: 40, 64, 80, 128, 160, 256 subframes.</w:t>
                  </w:r>
                </w:p>
                <w:p w14:paraId="2AF2CF9E" w14:textId="77777777" w:rsidR="0099740C" w:rsidRDefault="0099740C" w:rsidP="0099740C">
                  <w:pPr>
                    <w:pStyle w:val="Doc-text2"/>
                    <w:tabs>
                      <w:tab w:val="left" w:pos="340"/>
                    </w:tabs>
                    <w:ind w:left="340" w:hanging="340"/>
                  </w:pPr>
                  <w:r>
                    <w:tab/>
                    <w:t>- Values and/or range of drx-Offset-r11: 0-255.</w:t>
                  </w:r>
                </w:p>
                <w:p w14:paraId="4013A854" w14:textId="77777777" w:rsidR="0099740C" w:rsidRDefault="0099740C" w:rsidP="0099740C">
                  <w:pPr>
                    <w:pStyle w:val="Doc-text2"/>
                    <w:tabs>
                      <w:tab w:val="left" w:pos="340"/>
                    </w:tabs>
                    <w:ind w:left="340" w:hanging="340"/>
                  </w:pPr>
                  <w:r>
                    <w:tab/>
                    <w:t>- Values and/or range of drx-ActiveTime-r11: [20, 30, 40, 60, 80, 100]psf.</w:t>
                  </w:r>
                </w:p>
                <w:p w14:paraId="4D2D86BE" w14:textId="77777777" w:rsidR="0099740C" w:rsidRDefault="0099740C" w:rsidP="0099740C">
                  <w:pPr>
                    <w:pStyle w:val="Doc-text2"/>
                    <w:tabs>
                      <w:tab w:val="left" w:pos="340"/>
                    </w:tabs>
                    <w:ind w:left="340" w:hanging="340"/>
                  </w:pPr>
                  <w:r>
                    <w:tab/>
                    <w:t>- Values and/or range of maxFreqIDC-r11: 32.</w:t>
                  </w:r>
                </w:p>
                <w:p w14:paraId="6696F3E6" w14:textId="77777777" w:rsidR="0099740C" w:rsidRDefault="0099740C" w:rsidP="0099740C">
                  <w:pPr>
                    <w:pStyle w:val="Doc-text2"/>
                    <w:tabs>
                      <w:tab w:val="left" w:pos="340"/>
                    </w:tabs>
                    <w:ind w:left="340" w:hanging="340"/>
                  </w:pPr>
                  <w:r>
                    <w:tab/>
                    <w:t>- Values and/or range of maxSubframePatternIDC-r11: 8.</w:t>
                  </w:r>
                </w:p>
                <w:p w14:paraId="4817A655" w14:textId="77777777" w:rsidR="0099740C" w:rsidRDefault="0099740C" w:rsidP="0099740C">
                  <w:pPr>
                    <w:pStyle w:val="Doc-text2"/>
                    <w:tabs>
                      <w:tab w:val="left" w:pos="340"/>
                    </w:tabs>
                    <w:ind w:left="340" w:hanging="340"/>
                  </w:pPr>
                  <w:r>
                    <w:t>12</w:t>
                  </w:r>
                  <w:r>
                    <w:tab/>
                    <w:t xml:space="preserve">The new values introduced in DRX-config-r11 are not applicable for non-IDC UEs. </w:t>
                  </w:r>
                </w:p>
                <w:p w14:paraId="4E54D44F" w14:textId="77777777" w:rsidR="0099740C" w:rsidRDefault="0099740C" w:rsidP="0099740C">
                  <w:pPr>
                    <w:pStyle w:val="Doc-text2"/>
                    <w:tabs>
                      <w:tab w:val="left" w:pos="340"/>
                    </w:tabs>
                    <w:ind w:left="340" w:hanging="340"/>
                  </w:pPr>
                  <w:r>
                    <w:t>12a</w:t>
                  </w:r>
                  <w:r>
                    <w:tab/>
                    <w:t>The new DRX-config-r11 is implemented as non-critical extension</w:t>
                  </w:r>
                </w:p>
                <w:p w14:paraId="2761B4D7" w14:textId="77777777" w:rsidR="0099740C" w:rsidRDefault="0099740C" w:rsidP="0099740C">
                  <w:pPr>
                    <w:pStyle w:val="Doc-text2"/>
                    <w:tabs>
                      <w:tab w:val="left" w:pos="340"/>
                    </w:tabs>
                    <w:ind w:left="340" w:hanging="340"/>
                  </w:pPr>
                  <w:r>
                    <w:t>13</w:t>
                  </w:r>
                  <w:r>
                    <w:tab/>
                    <w:t>One feature group for both FDM+TDM and LTE autonomous denial is sufficient in Rel-11.</w:t>
                  </w:r>
                </w:p>
              </w:tc>
            </w:tr>
          </w:tbl>
          <w:p w14:paraId="01E4D6CB" w14:textId="77777777" w:rsidR="0099740C" w:rsidRPr="00044E60" w:rsidRDefault="0099740C" w:rsidP="00044E60">
            <w:pPr>
              <w:pStyle w:val="Doc-title"/>
              <w:rPr>
                <w:lang w:val="en-US"/>
              </w:rPr>
            </w:pPr>
          </w:p>
          <w:p w14:paraId="4310D31B" w14:textId="77777777" w:rsidR="0099740C" w:rsidRDefault="0099740C" w:rsidP="00044E60">
            <w:pPr>
              <w:jc w:val="both"/>
            </w:pPr>
          </w:p>
        </w:tc>
      </w:tr>
    </w:tbl>
    <w:p w14:paraId="74CA9363" w14:textId="77777777" w:rsidR="0099740C" w:rsidRDefault="0099740C" w:rsidP="00701CED">
      <w:pPr>
        <w:jc w:val="both"/>
      </w:pPr>
    </w:p>
    <w:p w14:paraId="1A8542B7" w14:textId="77777777" w:rsidR="0099740C" w:rsidRDefault="0099740C" w:rsidP="00701CED">
      <w:pPr>
        <w:jc w:val="both"/>
      </w:pPr>
    </w:p>
    <w:sectPr w:rsidR="0099740C">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3C4AE" w14:textId="77777777" w:rsidR="009C2CBA" w:rsidRDefault="009C2CBA">
      <w:r>
        <w:separator/>
      </w:r>
    </w:p>
  </w:endnote>
  <w:endnote w:type="continuationSeparator" w:id="0">
    <w:p w14:paraId="772578B0" w14:textId="77777777" w:rsidR="009C2CBA" w:rsidRDefault="009C2CBA">
      <w:r>
        <w:continuationSeparator/>
      </w:r>
    </w:p>
  </w:endnote>
  <w:endnote w:type="continuationNotice" w:id="1">
    <w:p w14:paraId="0BC09024" w14:textId="77777777" w:rsidR="009C2CBA" w:rsidRDefault="009C2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F19AE" w14:textId="77777777" w:rsidR="00102A72" w:rsidRDefault="00102A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E446F" w14:textId="77777777" w:rsidR="009C2CBA" w:rsidRDefault="009C2CBA">
      <w:r>
        <w:separator/>
      </w:r>
    </w:p>
  </w:footnote>
  <w:footnote w:type="continuationSeparator" w:id="0">
    <w:p w14:paraId="5812D357" w14:textId="77777777" w:rsidR="009C2CBA" w:rsidRDefault="009C2CBA">
      <w:r>
        <w:continuationSeparator/>
      </w:r>
    </w:p>
  </w:footnote>
  <w:footnote w:type="continuationNotice" w:id="1">
    <w:p w14:paraId="4427F033" w14:textId="77777777" w:rsidR="009C2CBA" w:rsidRDefault="009C2C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3D76B" w14:textId="77777777" w:rsidR="00102A72" w:rsidRDefault="00102A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1662E"/>
    <w:multiLevelType w:val="hybridMultilevel"/>
    <w:tmpl w:val="E7ECFD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6688C"/>
    <w:multiLevelType w:val="hybridMultilevel"/>
    <w:tmpl w:val="FB48C40C"/>
    <w:lvl w:ilvl="0" w:tplc="A9F83CCE">
      <w:start w:val="1"/>
      <w:numFmt w:val="lowerLetter"/>
      <w:lvlText w:val="%1)"/>
      <w:lvlJc w:val="left"/>
      <w:pPr>
        <w:tabs>
          <w:tab w:val="num" w:pos="720"/>
        </w:tabs>
        <w:ind w:left="720" w:hanging="360"/>
      </w:pPr>
    </w:lvl>
    <w:lvl w:ilvl="1" w:tplc="33E65210">
      <w:start w:val="1"/>
      <w:numFmt w:val="lowerLetter"/>
      <w:lvlText w:val="%2)"/>
      <w:lvlJc w:val="left"/>
      <w:pPr>
        <w:tabs>
          <w:tab w:val="num" w:pos="1440"/>
        </w:tabs>
        <w:ind w:left="1440" w:hanging="360"/>
      </w:pPr>
    </w:lvl>
    <w:lvl w:ilvl="2" w:tplc="814EFB12" w:tentative="1">
      <w:start w:val="1"/>
      <w:numFmt w:val="lowerLetter"/>
      <w:lvlText w:val="%3)"/>
      <w:lvlJc w:val="left"/>
      <w:pPr>
        <w:tabs>
          <w:tab w:val="num" w:pos="2160"/>
        </w:tabs>
        <w:ind w:left="2160" w:hanging="360"/>
      </w:pPr>
    </w:lvl>
    <w:lvl w:ilvl="3" w:tplc="8C60D8A2" w:tentative="1">
      <w:start w:val="1"/>
      <w:numFmt w:val="lowerLetter"/>
      <w:lvlText w:val="%4)"/>
      <w:lvlJc w:val="left"/>
      <w:pPr>
        <w:tabs>
          <w:tab w:val="num" w:pos="2880"/>
        </w:tabs>
        <w:ind w:left="2880" w:hanging="360"/>
      </w:pPr>
    </w:lvl>
    <w:lvl w:ilvl="4" w:tplc="7EFAE30C" w:tentative="1">
      <w:start w:val="1"/>
      <w:numFmt w:val="lowerLetter"/>
      <w:lvlText w:val="%5)"/>
      <w:lvlJc w:val="left"/>
      <w:pPr>
        <w:tabs>
          <w:tab w:val="num" w:pos="3600"/>
        </w:tabs>
        <w:ind w:left="3600" w:hanging="360"/>
      </w:pPr>
    </w:lvl>
    <w:lvl w:ilvl="5" w:tplc="DDAA6242" w:tentative="1">
      <w:start w:val="1"/>
      <w:numFmt w:val="lowerLetter"/>
      <w:lvlText w:val="%6)"/>
      <w:lvlJc w:val="left"/>
      <w:pPr>
        <w:tabs>
          <w:tab w:val="num" w:pos="4320"/>
        </w:tabs>
        <w:ind w:left="4320" w:hanging="360"/>
      </w:pPr>
    </w:lvl>
    <w:lvl w:ilvl="6" w:tplc="EDB874BE" w:tentative="1">
      <w:start w:val="1"/>
      <w:numFmt w:val="lowerLetter"/>
      <w:lvlText w:val="%7)"/>
      <w:lvlJc w:val="left"/>
      <w:pPr>
        <w:tabs>
          <w:tab w:val="num" w:pos="5040"/>
        </w:tabs>
        <w:ind w:left="5040" w:hanging="360"/>
      </w:pPr>
    </w:lvl>
    <w:lvl w:ilvl="7" w:tplc="3FD66B5A" w:tentative="1">
      <w:start w:val="1"/>
      <w:numFmt w:val="lowerLetter"/>
      <w:lvlText w:val="%8)"/>
      <w:lvlJc w:val="left"/>
      <w:pPr>
        <w:tabs>
          <w:tab w:val="num" w:pos="5760"/>
        </w:tabs>
        <w:ind w:left="5760" w:hanging="360"/>
      </w:pPr>
    </w:lvl>
    <w:lvl w:ilvl="8" w:tplc="D9AAD78A" w:tentative="1">
      <w:start w:val="1"/>
      <w:numFmt w:val="lowerLetter"/>
      <w:lvlText w:val="%9)"/>
      <w:lvlJc w:val="left"/>
      <w:pPr>
        <w:tabs>
          <w:tab w:val="num" w:pos="6480"/>
        </w:tabs>
        <w:ind w:left="6480" w:hanging="360"/>
      </w:pPr>
    </w:lvl>
  </w:abstractNum>
  <w:abstractNum w:abstractNumId="4" w15:restartNumberingAfterBreak="0">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D87E0B"/>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70D28"/>
    <w:multiLevelType w:val="hybridMultilevel"/>
    <w:tmpl w:val="DE585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1BB81546"/>
    <w:multiLevelType w:val="hybridMultilevel"/>
    <w:tmpl w:val="C24A2826"/>
    <w:lvl w:ilvl="0" w:tplc="51D81EC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3B5C09"/>
    <w:multiLevelType w:val="hybridMultilevel"/>
    <w:tmpl w:val="139C9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14AB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42164A"/>
    <w:multiLevelType w:val="singleLevel"/>
    <w:tmpl w:val="96665D84"/>
    <w:lvl w:ilvl="0">
      <w:start w:val="1"/>
      <w:numFmt w:val="decimal"/>
      <w:lvlText w:val="%1)"/>
      <w:legacy w:legacy="1" w:legacySpace="0" w:legacyIndent="283"/>
      <w:lvlJc w:val="left"/>
      <w:pPr>
        <w:ind w:left="850" w:hanging="283"/>
      </w:pPr>
    </w:lvl>
  </w:abstractNum>
  <w:abstractNum w:abstractNumId="17" w15:restartNumberingAfterBreak="0">
    <w:nsid w:val="34961EE1"/>
    <w:multiLevelType w:val="hybridMultilevel"/>
    <w:tmpl w:val="91F25C7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F055E"/>
    <w:multiLevelType w:val="singleLevel"/>
    <w:tmpl w:val="96665D84"/>
    <w:lvl w:ilvl="0">
      <w:start w:val="1"/>
      <w:numFmt w:val="decimal"/>
      <w:lvlText w:val="%1)"/>
      <w:legacy w:legacy="1" w:legacySpace="0" w:legacyIndent="283"/>
      <w:lvlJc w:val="left"/>
      <w:pPr>
        <w:ind w:left="850" w:hanging="283"/>
      </w:pPr>
    </w:lvl>
  </w:abstractNum>
  <w:abstractNum w:abstractNumId="21" w15:restartNumberingAfterBreak="0">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1C53BC"/>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7735013"/>
    <w:multiLevelType w:val="singleLevel"/>
    <w:tmpl w:val="96665D84"/>
    <w:lvl w:ilvl="0">
      <w:start w:val="1"/>
      <w:numFmt w:val="decimal"/>
      <w:lvlText w:val="%1)"/>
      <w:legacy w:legacy="1" w:legacySpace="0" w:legacyIndent="283"/>
      <w:lvlJc w:val="left"/>
      <w:pPr>
        <w:ind w:left="850" w:hanging="283"/>
      </w:pPr>
    </w:lvl>
  </w:abstractNum>
  <w:abstractNum w:abstractNumId="26" w15:restartNumberingAfterBreak="0">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8A80B8E"/>
    <w:multiLevelType w:val="hybridMultilevel"/>
    <w:tmpl w:val="981040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7B65BB"/>
    <w:multiLevelType w:val="hybridMultilevel"/>
    <w:tmpl w:val="B8308B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0395EA3"/>
    <w:multiLevelType w:val="multilevel"/>
    <w:tmpl w:val="B448BD52"/>
    <w:lvl w:ilvl="0">
      <w:start w:val="1"/>
      <w:numFmt w:val="bullet"/>
      <w:lvlRestart w:val="0"/>
      <w:pStyle w:val="U-Bullet"/>
      <w:lvlText w:val="n"/>
      <w:lvlJc w:val="left"/>
      <w:pPr>
        <w:tabs>
          <w:tab w:val="num" w:pos="1080"/>
        </w:tabs>
        <w:ind w:left="1080" w:hanging="288"/>
      </w:pPr>
      <w:rPr>
        <w:rFonts w:ascii="Wingdings" w:hAnsi="Wingdings" w:hint="default"/>
        <w:b w:val="0"/>
        <w:i w:val="0"/>
        <w:sz w:val="14"/>
      </w:rPr>
    </w:lvl>
    <w:lvl w:ilvl="1">
      <w:start w:val="1"/>
      <w:numFmt w:val="bullet"/>
      <w:pStyle w:val="U2-Bullet2"/>
      <w:lvlText w:val="¨"/>
      <w:lvlJc w:val="left"/>
      <w:pPr>
        <w:tabs>
          <w:tab w:val="num" w:pos="1440"/>
        </w:tabs>
        <w:ind w:left="1440" w:hanging="288"/>
      </w:pPr>
      <w:rPr>
        <w:rFonts w:ascii="Wingdings" w:hAnsi="Wingdings" w:hint="default"/>
        <w:b w:val="0"/>
        <w:i w:val="0"/>
        <w:sz w:val="12"/>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56AE1085"/>
    <w:multiLevelType w:val="hybridMultilevel"/>
    <w:tmpl w:val="5F825F5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795D11"/>
    <w:multiLevelType w:val="multilevel"/>
    <w:tmpl w:val="29C4CE7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BD30948"/>
    <w:multiLevelType w:val="hybridMultilevel"/>
    <w:tmpl w:val="B90697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29E20D8"/>
    <w:multiLevelType w:val="hybridMultilevel"/>
    <w:tmpl w:val="21D0698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C71202"/>
    <w:multiLevelType w:val="hybridMultilevel"/>
    <w:tmpl w:val="36BE5DDA"/>
    <w:lvl w:ilvl="0" w:tplc="51D81EC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E34AA3"/>
    <w:multiLevelType w:val="hybridMultilevel"/>
    <w:tmpl w:val="DE585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7C54D0B"/>
    <w:multiLevelType w:val="hybridMultilevel"/>
    <w:tmpl w:val="F5A09EFE"/>
    <w:lvl w:ilvl="0" w:tplc="DF32211A">
      <w:start w:val="1"/>
      <w:numFmt w:val="bullet"/>
      <w:lvlText w:val="•"/>
      <w:lvlJc w:val="left"/>
      <w:pPr>
        <w:ind w:left="420" w:hanging="420"/>
      </w:pPr>
      <w:rPr>
        <w:rFonts w:ascii="Times New Roman" w:hAnsi="Times New Roman" w:cs="Times New Roman" w:hint="default"/>
      </w:rPr>
    </w:lvl>
    <w:lvl w:ilvl="1" w:tplc="8410EC04">
      <w:numFmt w:val="bullet"/>
      <w:lvlText w:val="-"/>
      <w:lvlJc w:val="left"/>
      <w:pPr>
        <w:ind w:left="840" w:hanging="420"/>
      </w:pPr>
      <w:rPr>
        <w:rFonts w:ascii="Calibri" w:eastAsia="SimSun" w:hAnsi="Calibri"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22"/>
  </w:num>
  <w:num w:numId="4">
    <w:abstractNumId w:val="15"/>
  </w:num>
  <w:num w:numId="5">
    <w:abstractNumId w:val="28"/>
  </w:num>
  <w:num w:numId="6">
    <w:abstractNumId w:val="13"/>
  </w:num>
  <w:num w:numId="7">
    <w:abstractNumId w:val="26"/>
  </w:num>
  <w:num w:numId="8">
    <w:abstractNumId w:val="4"/>
  </w:num>
  <w:num w:numId="9">
    <w:abstractNumId w:val="42"/>
  </w:num>
  <w:num w:numId="10">
    <w:abstractNumId w:val="6"/>
  </w:num>
  <w:num w:numId="11">
    <w:abstractNumId w:val="14"/>
  </w:num>
  <w:num w:numId="12">
    <w:abstractNumId w:val="19"/>
  </w:num>
  <w:num w:numId="13">
    <w:abstractNumId w:val="21"/>
  </w:num>
  <w:num w:numId="14">
    <w:abstractNumId w:val="34"/>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0"/>
  </w:num>
  <w:num w:numId="17">
    <w:abstractNumId w:val="16"/>
  </w:num>
  <w:num w:numId="18">
    <w:abstractNumId w:val="41"/>
  </w:num>
  <w:num w:numId="19">
    <w:abstractNumId w:val="25"/>
  </w:num>
  <w:num w:numId="20">
    <w:abstractNumId w:val="24"/>
  </w:num>
  <w:num w:numId="21">
    <w:abstractNumId w:val="5"/>
  </w:num>
  <w:num w:numId="22">
    <w:abstractNumId w:val="8"/>
  </w:num>
  <w:num w:numId="23">
    <w:abstractNumId w:val="36"/>
  </w:num>
  <w:num w:numId="24">
    <w:abstractNumId w:val="10"/>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
  </w:num>
  <w:num w:numId="28">
    <w:abstractNumId w:val="39"/>
  </w:num>
  <w:num w:numId="29">
    <w:abstractNumId w:val="3"/>
  </w:num>
  <w:num w:numId="30">
    <w:abstractNumId w:val="30"/>
  </w:num>
  <w:num w:numId="31">
    <w:abstractNumId w:val="11"/>
  </w:num>
  <w:num w:numId="32">
    <w:abstractNumId w:val="31"/>
  </w:num>
  <w:num w:numId="33">
    <w:abstractNumId w:val="27"/>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7"/>
  </w:num>
  <w:num w:numId="38">
    <w:abstractNumId w:val="40"/>
  </w:num>
  <w:num w:numId="39">
    <w:abstractNumId w:val="40"/>
  </w:num>
  <w:num w:numId="40">
    <w:abstractNumId w:val="32"/>
  </w:num>
  <w:num w:numId="41">
    <w:abstractNumId w:val="12"/>
  </w:num>
  <w:num w:numId="42">
    <w:abstractNumId w:val="33"/>
  </w:num>
  <w:num w:numId="43">
    <w:abstractNumId w:val="2"/>
  </w:num>
  <w:num w:numId="44">
    <w:abstractNumId w:val="7"/>
  </w:num>
  <w:num w:numId="45">
    <w:abstractNumId w:val="38"/>
  </w:num>
  <w:num w:numId="46">
    <w:abstractNumId w:val="37"/>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E14"/>
    <w:rsid w:val="000074C4"/>
    <w:rsid w:val="000112F5"/>
    <w:rsid w:val="0001469C"/>
    <w:rsid w:val="00017EDA"/>
    <w:rsid w:val="00020C06"/>
    <w:rsid w:val="000222BB"/>
    <w:rsid w:val="00031842"/>
    <w:rsid w:val="00034876"/>
    <w:rsid w:val="00035907"/>
    <w:rsid w:val="000442E1"/>
    <w:rsid w:val="00044E60"/>
    <w:rsid w:val="00046FB7"/>
    <w:rsid w:val="00047602"/>
    <w:rsid w:val="000511F9"/>
    <w:rsid w:val="000528A2"/>
    <w:rsid w:val="0005297B"/>
    <w:rsid w:val="00054761"/>
    <w:rsid w:val="00056544"/>
    <w:rsid w:val="00060500"/>
    <w:rsid w:val="00062431"/>
    <w:rsid w:val="00063D9E"/>
    <w:rsid w:val="00064AD3"/>
    <w:rsid w:val="00065088"/>
    <w:rsid w:val="0007136A"/>
    <w:rsid w:val="00072A72"/>
    <w:rsid w:val="00075FDA"/>
    <w:rsid w:val="0008187B"/>
    <w:rsid w:val="00093AB5"/>
    <w:rsid w:val="00095C02"/>
    <w:rsid w:val="00095E9A"/>
    <w:rsid w:val="00095F1D"/>
    <w:rsid w:val="00096501"/>
    <w:rsid w:val="00097AA4"/>
    <w:rsid w:val="000A0A16"/>
    <w:rsid w:val="000A20BA"/>
    <w:rsid w:val="000A3C8D"/>
    <w:rsid w:val="000A6C44"/>
    <w:rsid w:val="000A7E48"/>
    <w:rsid w:val="000B2FBC"/>
    <w:rsid w:val="000B4246"/>
    <w:rsid w:val="000C1842"/>
    <w:rsid w:val="000D5372"/>
    <w:rsid w:val="000D6131"/>
    <w:rsid w:val="000D6E38"/>
    <w:rsid w:val="000D6EAA"/>
    <w:rsid w:val="000E337A"/>
    <w:rsid w:val="000E57EF"/>
    <w:rsid w:val="000E7D92"/>
    <w:rsid w:val="000F55A4"/>
    <w:rsid w:val="000F5E3F"/>
    <w:rsid w:val="000F6DBD"/>
    <w:rsid w:val="000F7FA5"/>
    <w:rsid w:val="001020A5"/>
    <w:rsid w:val="00102A72"/>
    <w:rsid w:val="00107A82"/>
    <w:rsid w:val="0011257D"/>
    <w:rsid w:val="001132D9"/>
    <w:rsid w:val="00122441"/>
    <w:rsid w:val="0012673D"/>
    <w:rsid w:val="001277E8"/>
    <w:rsid w:val="001326D8"/>
    <w:rsid w:val="001333A6"/>
    <w:rsid w:val="0013482C"/>
    <w:rsid w:val="00136A3B"/>
    <w:rsid w:val="00137D78"/>
    <w:rsid w:val="001439E4"/>
    <w:rsid w:val="00145ED5"/>
    <w:rsid w:val="0015163E"/>
    <w:rsid w:val="001534CA"/>
    <w:rsid w:val="00153A4A"/>
    <w:rsid w:val="00154886"/>
    <w:rsid w:val="00165033"/>
    <w:rsid w:val="00165C54"/>
    <w:rsid w:val="001670EA"/>
    <w:rsid w:val="001674A0"/>
    <w:rsid w:val="0017132F"/>
    <w:rsid w:val="0017200B"/>
    <w:rsid w:val="0017452E"/>
    <w:rsid w:val="001748AF"/>
    <w:rsid w:val="001752A3"/>
    <w:rsid w:val="0017726A"/>
    <w:rsid w:val="00177278"/>
    <w:rsid w:val="00184C46"/>
    <w:rsid w:val="001851FD"/>
    <w:rsid w:val="00187B56"/>
    <w:rsid w:val="00190839"/>
    <w:rsid w:val="00193986"/>
    <w:rsid w:val="00196B14"/>
    <w:rsid w:val="001A179D"/>
    <w:rsid w:val="001A2246"/>
    <w:rsid w:val="001A7612"/>
    <w:rsid w:val="001B01FA"/>
    <w:rsid w:val="001B3AE5"/>
    <w:rsid w:val="001B5E62"/>
    <w:rsid w:val="001C465D"/>
    <w:rsid w:val="001C5451"/>
    <w:rsid w:val="001D3CEB"/>
    <w:rsid w:val="001D4FF0"/>
    <w:rsid w:val="001D7A3B"/>
    <w:rsid w:val="001E1CA2"/>
    <w:rsid w:val="001E424D"/>
    <w:rsid w:val="001E5710"/>
    <w:rsid w:val="001E69E6"/>
    <w:rsid w:val="001F0658"/>
    <w:rsid w:val="001F1645"/>
    <w:rsid w:val="001F5019"/>
    <w:rsid w:val="00202D3A"/>
    <w:rsid w:val="00204B3A"/>
    <w:rsid w:val="002051AC"/>
    <w:rsid w:val="00207CC8"/>
    <w:rsid w:val="00210C3D"/>
    <w:rsid w:val="002149AF"/>
    <w:rsid w:val="00222A7A"/>
    <w:rsid w:val="0022499C"/>
    <w:rsid w:val="00224A2C"/>
    <w:rsid w:val="00224C32"/>
    <w:rsid w:val="002312F4"/>
    <w:rsid w:val="00231FC7"/>
    <w:rsid w:val="00236450"/>
    <w:rsid w:val="002431E6"/>
    <w:rsid w:val="0024336B"/>
    <w:rsid w:val="00245E94"/>
    <w:rsid w:val="00247DE6"/>
    <w:rsid w:val="00250CFD"/>
    <w:rsid w:val="00252C17"/>
    <w:rsid w:val="00254395"/>
    <w:rsid w:val="0025562C"/>
    <w:rsid w:val="00261554"/>
    <w:rsid w:val="0026389E"/>
    <w:rsid w:val="002646FF"/>
    <w:rsid w:val="002660BE"/>
    <w:rsid w:val="00270A82"/>
    <w:rsid w:val="0027334F"/>
    <w:rsid w:val="00273D17"/>
    <w:rsid w:val="0027418B"/>
    <w:rsid w:val="002767BF"/>
    <w:rsid w:val="00280753"/>
    <w:rsid w:val="00283432"/>
    <w:rsid w:val="00285510"/>
    <w:rsid w:val="00286B25"/>
    <w:rsid w:val="0029197E"/>
    <w:rsid w:val="002958D8"/>
    <w:rsid w:val="002965DF"/>
    <w:rsid w:val="00296D17"/>
    <w:rsid w:val="002A352A"/>
    <w:rsid w:val="002A3F2F"/>
    <w:rsid w:val="002B132E"/>
    <w:rsid w:val="002B2813"/>
    <w:rsid w:val="002B629E"/>
    <w:rsid w:val="002C0915"/>
    <w:rsid w:val="002C3FAF"/>
    <w:rsid w:val="002C6034"/>
    <w:rsid w:val="002D365F"/>
    <w:rsid w:val="002D70D2"/>
    <w:rsid w:val="002E2328"/>
    <w:rsid w:val="002E49BF"/>
    <w:rsid w:val="002E6CD4"/>
    <w:rsid w:val="002E6DCC"/>
    <w:rsid w:val="002E7B7D"/>
    <w:rsid w:val="002F1755"/>
    <w:rsid w:val="002F7212"/>
    <w:rsid w:val="002F72DA"/>
    <w:rsid w:val="002F7767"/>
    <w:rsid w:val="002F7CFA"/>
    <w:rsid w:val="00300FA4"/>
    <w:rsid w:val="0030184B"/>
    <w:rsid w:val="003048D7"/>
    <w:rsid w:val="003071F6"/>
    <w:rsid w:val="0030757D"/>
    <w:rsid w:val="00311BE0"/>
    <w:rsid w:val="00313CB0"/>
    <w:rsid w:val="00313F96"/>
    <w:rsid w:val="0031678A"/>
    <w:rsid w:val="00322395"/>
    <w:rsid w:val="003239B3"/>
    <w:rsid w:val="00324CCF"/>
    <w:rsid w:val="003255D9"/>
    <w:rsid w:val="00325D7A"/>
    <w:rsid w:val="00326B53"/>
    <w:rsid w:val="00330B6F"/>
    <w:rsid w:val="00333E6A"/>
    <w:rsid w:val="00337629"/>
    <w:rsid w:val="0034111C"/>
    <w:rsid w:val="0034217F"/>
    <w:rsid w:val="00345125"/>
    <w:rsid w:val="00345405"/>
    <w:rsid w:val="0035102D"/>
    <w:rsid w:val="00352D21"/>
    <w:rsid w:val="00357B9C"/>
    <w:rsid w:val="00361B21"/>
    <w:rsid w:val="003642A6"/>
    <w:rsid w:val="003675B5"/>
    <w:rsid w:val="0037075D"/>
    <w:rsid w:val="0037751C"/>
    <w:rsid w:val="003812C7"/>
    <w:rsid w:val="003816A4"/>
    <w:rsid w:val="0038409C"/>
    <w:rsid w:val="00396801"/>
    <w:rsid w:val="003A414D"/>
    <w:rsid w:val="003A597F"/>
    <w:rsid w:val="003A6F6D"/>
    <w:rsid w:val="003A71A8"/>
    <w:rsid w:val="003A7A4A"/>
    <w:rsid w:val="003A7EAF"/>
    <w:rsid w:val="003B030B"/>
    <w:rsid w:val="003B3CE0"/>
    <w:rsid w:val="003B7671"/>
    <w:rsid w:val="003C2ED0"/>
    <w:rsid w:val="003C53C0"/>
    <w:rsid w:val="003D0FAB"/>
    <w:rsid w:val="003D1D20"/>
    <w:rsid w:val="003D1F59"/>
    <w:rsid w:val="003D33E4"/>
    <w:rsid w:val="003D402B"/>
    <w:rsid w:val="003D5896"/>
    <w:rsid w:val="003E051A"/>
    <w:rsid w:val="003E184D"/>
    <w:rsid w:val="003E3A2A"/>
    <w:rsid w:val="003F15D1"/>
    <w:rsid w:val="003F4695"/>
    <w:rsid w:val="003F7A47"/>
    <w:rsid w:val="0040680D"/>
    <w:rsid w:val="00407AB8"/>
    <w:rsid w:val="00410AE2"/>
    <w:rsid w:val="0041175A"/>
    <w:rsid w:val="004162A7"/>
    <w:rsid w:val="004176FF"/>
    <w:rsid w:val="00424FA7"/>
    <w:rsid w:val="004264FC"/>
    <w:rsid w:val="00430454"/>
    <w:rsid w:val="00432110"/>
    <w:rsid w:val="00432636"/>
    <w:rsid w:val="00433D9E"/>
    <w:rsid w:val="00434473"/>
    <w:rsid w:val="004435EE"/>
    <w:rsid w:val="00445FF7"/>
    <w:rsid w:val="004478D3"/>
    <w:rsid w:val="004502F3"/>
    <w:rsid w:val="00452C68"/>
    <w:rsid w:val="004531D8"/>
    <w:rsid w:val="00453341"/>
    <w:rsid w:val="004542A2"/>
    <w:rsid w:val="004547C7"/>
    <w:rsid w:val="004548B4"/>
    <w:rsid w:val="004567B7"/>
    <w:rsid w:val="0045774C"/>
    <w:rsid w:val="00461210"/>
    <w:rsid w:val="0047044B"/>
    <w:rsid w:val="00473E5E"/>
    <w:rsid w:val="0047411C"/>
    <w:rsid w:val="004744DD"/>
    <w:rsid w:val="00483261"/>
    <w:rsid w:val="00487656"/>
    <w:rsid w:val="004974A5"/>
    <w:rsid w:val="004A2F1C"/>
    <w:rsid w:val="004B0401"/>
    <w:rsid w:val="004B1E46"/>
    <w:rsid w:val="004B63F5"/>
    <w:rsid w:val="004B74FF"/>
    <w:rsid w:val="004C0848"/>
    <w:rsid w:val="004C18C5"/>
    <w:rsid w:val="004C6BE9"/>
    <w:rsid w:val="004C795A"/>
    <w:rsid w:val="004C7BD3"/>
    <w:rsid w:val="004C7F21"/>
    <w:rsid w:val="004C7F93"/>
    <w:rsid w:val="004D1ED1"/>
    <w:rsid w:val="004D2B9D"/>
    <w:rsid w:val="004D3779"/>
    <w:rsid w:val="004E3B7F"/>
    <w:rsid w:val="004E5A4B"/>
    <w:rsid w:val="004E7F5D"/>
    <w:rsid w:val="004F0DB4"/>
    <w:rsid w:val="004F369B"/>
    <w:rsid w:val="004F5835"/>
    <w:rsid w:val="004F5DA8"/>
    <w:rsid w:val="005006A4"/>
    <w:rsid w:val="00511079"/>
    <w:rsid w:val="0051423C"/>
    <w:rsid w:val="00514E73"/>
    <w:rsid w:val="00516FD9"/>
    <w:rsid w:val="005252AC"/>
    <w:rsid w:val="00534516"/>
    <w:rsid w:val="00536581"/>
    <w:rsid w:val="00536858"/>
    <w:rsid w:val="0054100A"/>
    <w:rsid w:val="00543707"/>
    <w:rsid w:val="005452F9"/>
    <w:rsid w:val="00547B3F"/>
    <w:rsid w:val="00547C48"/>
    <w:rsid w:val="00551D0A"/>
    <w:rsid w:val="00553A50"/>
    <w:rsid w:val="005548A1"/>
    <w:rsid w:val="00560CF5"/>
    <w:rsid w:val="005672A6"/>
    <w:rsid w:val="00570BD8"/>
    <w:rsid w:val="00571EA5"/>
    <w:rsid w:val="00581AC0"/>
    <w:rsid w:val="005831DD"/>
    <w:rsid w:val="00586A74"/>
    <w:rsid w:val="00592102"/>
    <w:rsid w:val="00595282"/>
    <w:rsid w:val="005953B7"/>
    <w:rsid w:val="005975C4"/>
    <w:rsid w:val="005A733D"/>
    <w:rsid w:val="005B4664"/>
    <w:rsid w:val="005C2933"/>
    <w:rsid w:val="005E0C29"/>
    <w:rsid w:val="005E0D34"/>
    <w:rsid w:val="005E19C0"/>
    <w:rsid w:val="005E5C2F"/>
    <w:rsid w:val="005E6972"/>
    <w:rsid w:val="005E6A70"/>
    <w:rsid w:val="005E6E8F"/>
    <w:rsid w:val="005E7611"/>
    <w:rsid w:val="005F06D3"/>
    <w:rsid w:val="005F0D5F"/>
    <w:rsid w:val="005F0E84"/>
    <w:rsid w:val="005F1178"/>
    <w:rsid w:val="005F1EE0"/>
    <w:rsid w:val="005F315E"/>
    <w:rsid w:val="005F605E"/>
    <w:rsid w:val="005F6C5C"/>
    <w:rsid w:val="00603AE1"/>
    <w:rsid w:val="00604367"/>
    <w:rsid w:val="00614CD1"/>
    <w:rsid w:val="00624418"/>
    <w:rsid w:val="00626EB6"/>
    <w:rsid w:val="0063119B"/>
    <w:rsid w:val="0063159E"/>
    <w:rsid w:val="006327AC"/>
    <w:rsid w:val="006345C3"/>
    <w:rsid w:val="00640007"/>
    <w:rsid w:val="00646CF1"/>
    <w:rsid w:val="00660B0E"/>
    <w:rsid w:val="00662835"/>
    <w:rsid w:val="0066354B"/>
    <w:rsid w:val="006648BD"/>
    <w:rsid w:val="00664F79"/>
    <w:rsid w:val="00666E2C"/>
    <w:rsid w:val="006702E6"/>
    <w:rsid w:val="0067139B"/>
    <w:rsid w:val="006725CD"/>
    <w:rsid w:val="00672DD6"/>
    <w:rsid w:val="006737FD"/>
    <w:rsid w:val="00674707"/>
    <w:rsid w:val="00675033"/>
    <w:rsid w:val="00675DC0"/>
    <w:rsid w:val="006771F3"/>
    <w:rsid w:val="00677925"/>
    <w:rsid w:val="00682F27"/>
    <w:rsid w:val="006859EF"/>
    <w:rsid w:val="00685E4C"/>
    <w:rsid w:val="00686001"/>
    <w:rsid w:val="006919E3"/>
    <w:rsid w:val="006948F1"/>
    <w:rsid w:val="006949F7"/>
    <w:rsid w:val="006A27C5"/>
    <w:rsid w:val="006B28B4"/>
    <w:rsid w:val="006B2DE6"/>
    <w:rsid w:val="006B4220"/>
    <w:rsid w:val="006C4224"/>
    <w:rsid w:val="006D1A1D"/>
    <w:rsid w:val="006E0E38"/>
    <w:rsid w:val="006E13D1"/>
    <w:rsid w:val="006E44A9"/>
    <w:rsid w:val="006E6BA3"/>
    <w:rsid w:val="006F08F5"/>
    <w:rsid w:val="006F18A1"/>
    <w:rsid w:val="006F33CB"/>
    <w:rsid w:val="006F4ED8"/>
    <w:rsid w:val="006F5CF5"/>
    <w:rsid w:val="006F6AF9"/>
    <w:rsid w:val="00701CED"/>
    <w:rsid w:val="00711E13"/>
    <w:rsid w:val="00712EDA"/>
    <w:rsid w:val="00713B14"/>
    <w:rsid w:val="0071705B"/>
    <w:rsid w:val="00720489"/>
    <w:rsid w:val="00720505"/>
    <w:rsid w:val="0072215A"/>
    <w:rsid w:val="007236A3"/>
    <w:rsid w:val="0072494B"/>
    <w:rsid w:val="00727E0A"/>
    <w:rsid w:val="00734284"/>
    <w:rsid w:val="0073470E"/>
    <w:rsid w:val="00735C6F"/>
    <w:rsid w:val="00740D14"/>
    <w:rsid w:val="00741524"/>
    <w:rsid w:val="007429D9"/>
    <w:rsid w:val="007476F6"/>
    <w:rsid w:val="0075037B"/>
    <w:rsid w:val="00750CCA"/>
    <w:rsid w:val="00754858"/>
    <w:rsid w:val="00756832"/>
    <w:rsid w:val="00757962"/>
    <w:rsid w:val="00766807"/>
    <w:rsid w:val="0077548E"/>
    <w:rsid w:val="0077666E"/>
    <w:rsid w:val="00776E5E"/>
    <w:rsid w:val="0078457B"/>
    <w:rsid w:val="00784B09"/>
    <w:rsid w:val="00787051"/>
    <w:rsid w:val="007874F4"/>
    <w:rsid w:val="00787F80"/>
    <w:rsid w:val="007A2FD7"/>
    <w:rsid w:val="007A6AAD"/>
    <w:rsid w:val="007A6CF5"/>
    <w:rsid w:val="007B3175"/>
    <w:rsid w:val="007B5AF8"/>
    <w:rsid w:val="007B7496"/>
    <w:rsid w:val="007C2613"/>
    <w:rsid w:val="007C2739"/>
    <w:rsid w:val="007D07D9"/>
    <w:rsid w:val="007D0C44"/>
    <w:rsid w:val="007D0D66"/>
    <w:rsid w:val="007D13E6"/>
    <w:rsid w:val="007D6196"/>
    <w:rsid w:val="007E504D"/>
    <w:rsid w:val="007E5B18"/>
    <w:rsid w:val="007F3377"/>
    <w:rsid w:val="007F39CD"/>
    <w:rsid w:val="007F3F72"/>
    <w:rsid w:val="00800945"/>
    <w:rsid w:val="0080153E"/>
    <w:rsid w:val="0080793F"/>
    <w:rsid w:val="00812265"/>
    <w:rsid w:val="0082011C"/>
    <w:rsid w:val="00820B8C"/>
    <w:rsid w:val="00821011"/>
    <w:rsid w:val="00821698"/>
    <w:rsid w:val="00821722"/>
    <w:rsid w:val="00821A2C"/>
    <w:rsid w:val="00826DD9"/>
    <w:rsid w:val="008278B6"/>
    <w:rsid w:val="00830128"/>
    <w:rsid w:val="00832D26"/>
    <w:rsid w:val="00840C1A"/>
    <w:rsid w:val="00841B0D"/>
    <w:rsid w:val="00843F31"/>
    <w:rsid w:val="0084480D"/>
    <w:rsid w:val="00845A93"/>
    <w:rsid w:val="0085154F"/>
    <w:rsid w:val="00853BAE"/>
    <w:rsid w:val="00854246"/>
    <w:rsid w:val="00854553"/>
    <w:rsid w:val="00854A12"/>
    <w:rsid w:val="00856067"/>
    <w:rsid w:val="008643C9"/>
    <w:rsid w:val="008743F3"/>
    <w:rsid w:val="0087444A"/>
    <w:rsid w:val="00875139"/>
    <w:rsid w:val="00875410"/>
    <w:rsid w:val="00890565"/>
    <w:rsid w:val="0089273B"/>
    <w:rsid w:val="008940C2"/>
    <w:rsid w:val="00895398"/>
    <w:rsid w:val="008A29A4"/>
    <w:rsid w:val="008A2E04"/>
    <w:rsid w:val="008B1318"/>
    <w:rsid w:val="008B3112"/>
    <w:rsid w:val="008B5290"/>
    <w:rsid w:val="008B5D95"/>
    <w:rsid w:val="008B6A3D"/>
    <w:rsid w:val="008C071A"/>
    <w:rsid w:val="008C4493"/>
    <w:rsid w:val="008E0F52"/>
    <w:rsid w:val="008E35E5"/>
    <w:rsid w:val="008E5765"/>
    <w:rsid w:val="008E59E2"/>
    <w:rsid w:val="008F2626"/>
    <w:rsid w:val="008F3F0A"/>
    <w:rsid w:val="008F43DA"/>
    <w:rsid w:val="008F5271"/>
    <w:rsid w:val="008F7B7A"/>
    <w:rsid w:val="0090000A"/>
    <w:rsid w:val="009064F5"/>
    <w:rsid w:val="00915B81"/>
    <w:rsid w:val="00915B97"/>
    <w:rsid w:val="009213BD"/>
    <w:rsid w:val="00922037"/>
    <w:rsid w:val="00925144"/>
    <w:rsid w:val="00930FB1"/>
    <w:rsid w:val="009364D3"/>
    <w:rsid w:val="00936A04"/>
    <w:rsid w:val="00940FE3"/>
    <w:rsid w:val="009431EA"/>
    <w:rsid w:val="00953708"/>
    <w:rsid w:val="009568DD"/>
    <w:rsid w:val="00957299"/>
    <w:rsid w:val="00967356"/>
    <w:rsid w:val="009702F3"/>
    <w:rsid w:val="00970CD1"/>
    <w:rsid w:val="009758A7"/>
    <w:rsid w:val="00977F4C"/>
    <w:rsid w:val="00985EF7"/>
    <w:rsid w:val="009911FC"/>
    <w:rsid w:val="0099340E"/>
    <w:rsid w:val="0099456E"/>
    <w:rsid w:val="0099740C"/>
    <w:rsid w:val="00997CF4"/>
    <w:rsid w:val="00997F4B"/>
    <w:rsid w:val="009A0804"/>
    <w:rsid w:val="009A307C"/>
    <w:rsid w:val="009A65FF"/>
    <w:rsid w:val="009B1746"/>
    <w:rsid w:val="009B79BE"/>
    <w:rsid w:val="009C17BE"/>
    <w:rsid w:val="009C202D"/>
    <w:rsid w:val="009C2CBA"/>
    <w:rsid w:val="009C2DD2"/>
    <w:rsid w:val="009C4AE9"/>
    <w:rsid w:val="009C51D5"/>
    <w:rsid w:val="009C5D2B"/>
    <w:rsid w:val="009D0DB8"/>
    <w:rsid w:val="009D7152"/>
    <w:rsid w:val="009E06A6"/>
    <w:rsid w:val="009E3680"/>
    <w:rsid w:val="009E43CA"/>
    <w:rsid w:val="009E5AF5"/>
    <w:rsid w:val="009F38ED"/>
    <w:rsid w:val="009F7ACF"/>
    <w:rsid w:val="009F7C4C"/>
    <w:rsid w:val="009F7D66"/>
    <w:rsid w:val="00A046A0"/>
    <w:rsid w:val="00A06C27"/>
    <w:rsid w:val="00A07D66"/>
    <w:rsid w:val="00A10CFD"/>
    <w:rsid w:val="00A203B0"/>
    <w:rsid w:val="00A22807"/>
    <w:rsid w:val="00A25F05"/>
    <w:rsid w:val="00A30B6E"/>
    <w:rsid w:val="00A372DE"/>
    <w:rsid w:val="00A4365E"/>
    <w:rsid w:val="00A43FE3"/>
    <w:rsid w:val="00A44AF1"/>
    <w:rsid w:val="00A457F6"/>
    <w:rsid w:val="00A45E57"/>
    <w:rsid w:val="00A46202"/>
    <w:rsid w:val="00A5064F"/>
    <w:rsid w:val="00A61D45"/>
    <w:rsid w:val="00A62F37"/>
    <w:rsid w:val="00A675D0"/>
    <w:rsid w:val="00A717DF"/>
    <w:rsid w:val="00A8084D"/>
    <w:rsid w:val="00A83F54"/>
    <w:rsid w:val="00A85DE8"/>
    <w:rsid w:val="00A8670C"/>
    <w:rsid w:val="00A90FA0"/>
    <w:rsid w:val="00A91238"/>
    <w:rsid w:val="00A915A6"/>
    <w:rsid w:val="00A93215"/>
    <w:rsid w:val="00A938E6"/>
    <w:rsid w:val="00AA60C2"/>
    <w:rsid w:val="00AA696A"/>
    <w:rsid w:val="00AA6E10"/>
    <w:rsid w:val="00AA6EBE"/>
    <w:rsid w:val="00AA7569"/>
    <w:rsid w:val="00AB1BC8"/>
    <w:rsid w:val="00AB3660"/>
    <w:rsid w:val="00AB3CAD"/>
    <w:rsid w:val="00AC02C1"/>
    <w:rsid w:val="00AC0AB6"/>
    <w:rsid w:val="00AC4DFC"/>
    <w:rsid w:val="00AD0329"/>
    <w:rsid w:val="00AD3455"/>
    <w:rsid w:val="00AD363A"/>
    <w:rsid w:val="00AD3CAD"/>
    <w:rsid w:val="00AD5569"/>
    <w:rsid w:val="00AE14CA"/>
    <w:rsid w:val="00AE428F"/>
    <w:rsid w:val="00AE6A15"/>
    <w:rsid w:val="00AE6A30"/>
    <w:rsid w:val="00AE75C5"/>
    <w:rsid w:val="00AE7DFF"/>
    <w:rsid w:val="00AF06B0"/>
    <w:rsid w:val="00AF1ED1"/>
    <w:rsid w:val="00AF2B96"/>
    <w:rsid w:val="00AF3C0C"/>
    <w:rsid w:val="00AF3F7B"/>
    <w:rsid w:val="00AF6267"/>
    <w:rsid w:val="00AF666A"/>
    <w:rsid w:val="00AF7573"/>
    <w:rsid w:val="00AF7C04"/>
    <w:rsid w:val="00B04F3D"/>
    <w:rsid w:val="00B10192"/>
    <w:rsid w:val="00B11BC2"/>
    <w:rsid w:val="00B12136"/>
    <w:rsid w:val="00B1513F"/>
    <w:rsid w:val="00B245AB"/>
    <w:rsid w:val="00B266B0"/>
    <w:rsid w:val="00B272D4"/>
    <w:rsid w:val="00B3000E"/>
    <w:rsid w:val="00B30970"/>
    <w:rsid w:val="00B326A8"/>
    <w:rsid w:val="00B33EDD"/>
    <w:rsid w:val="00B37681"/>
    <w:rsid w:val="00B3769F"/>
    <w:rsid w:val="00B41BAD"/>
    <w:rsid w:val="00B4321B"/>
    <w:rsid w:val="00B44932"/>
    <w:rsid w:val="00B455DB"/>
    <w:rsid w:val="00B5644B"/>
    <w:rsid w:val="00B57CEF"/>
    <w:rsid w:val="00B624B7"/>
    <w:rsid w:val="00B63337"/>
    <w:rsid w:val="00B654A6"/>
    <w:rsid w:val="00B7267A"/>
    <w:rsid w:val="00B734FB"/>
    <w:rsid w:val="00B80D90"/>
    <w:rsid w:val="00B82613"/>
    <w:rsid w:val="00B83F8E"/>
    <w:rsid w:val="00B9198D"/>
    <w:rsid w:val="00B919E9"/>
    <w:rsid w:val="00B93008"/>
    <w:rsid w:val="00B930FE"/>
    <w:rsid w:val="00B94E0E"/>
    <w:rsid w:val="00B95252"/>
    <w:rsid w:val="00B9784D"/>
    <w:rsid w:val="00B97CA3"/>
    <w:rsid w:val="00BA105A"/>
    <w:rsid w:val="00BA562C"/>
    <w:rsid w:val="00BA66AA"/>
    <w:rsid w:val="00BA6F8A"/>
    <w:rsid w:val="00BB1D58"/>
    <w:rsid w:val="00BB1ED9"/>
    <w:rsid w:val="00BB2EAC"/>
    <w:rsid w:val="00BB3E2B"/>
    <w:rsid w:val="00BB55AD"/>
    <w:rsid w:val="00BB7260"/>
    <w:rsid w:val="00BC07D4"/>
    <w:rsid w:val="00BC19F6"/>
    <w:rsid w:val="00BC22E9"/>
    <w:rsid w:val="00BD03E1"/>
    <w:rsid w:val="00BD4F01"/>
    <w:rsid w:val="00BD762B"/>
    <w:rsid w:val="00BE02B4"/>
    <w:rsid w:val="00BE0EB2"/>
    <w:rsid w:val="00BE177B"/>
    <w:rsid w:val="00BE6EF8"/>
    <w:rsid w:val="00BF0CB1"/>
    <w:rsid w:val="00BF10BC"/>
    <w:rsid w:val="00BF12A1"/>
    <w:rsid w:val="00C01257"/>
    <w:rsid w:val="00C048CA"/>
    <w:rsid w:val="00C06400"/>
    <w:rsid w:val="00C12EC3"/>
    <w:rsid w:val="00C1428C"/>
    <w:rsid w:val="00C16923"/>
    <w:rsid w:val="00C250D2"/>
    <w:rsid w:val="00C34827"/>
    <w:rsid w:val="00C404B9"/>
    <w:rsid w:val="00C43EB9"/>
    <w:rsid w:val="00C43FF0"/>
    <w:rsid w:val="00C464F9"/>
    <w:rsid w:val="00C46630"/>
    <w:rsid w:val="00C53BA9"/>
    <w:rsid w:val="00C558E5"/>
    <w:rsid w:val="00C56A15"/>
    <w:rsid w:val="00C62973"/>
    <w:rsid w:val="00C63278"/>
    <w:rsid w:val="00C678A9"/>
    <w:rsid w:val="00C701C8"/>
    <w:rsid w:val="00C71530"/>
    <w:rsid w:val="00C773FE"/>
    <w:rsid w:val="00C77E26"/>
    <w:rsid w:val="00C9187C"/>
    <w:rsid w:val="00C92F78"/>
    <w:rsid w:val="00C94F2D"/>
    <w:rsid w:val="00C950D2"/>
    <w:rsid w:val="00C96C4B"/>
    <w:rsid w:val="00C96D15"/>
    <w:rsid w:val="00C96F79"/>
    <w:rsid w:val="00CA16A2"/>
    <w:rsid w:val="00CA2E77"/>
    <w:rsid w:val="00CA3288"/>
    <w:rsid w:val="00CA4543"/>
    <w:rsid w:val="00CB0788"/>
    <w:rsid w:val="00CB09DA"/>
    <w:rsid w:val="00CB3DF7"/>
    <w:rsid w:val="00CB4FA1"/>
    <w:rsid w:val="00CB640F"/>
    <w:rsid w:val="00CB6617"/>
    <w:rsid w:val="00CB682F"/>
    <w:rsid w:val="00CC3A60"/>
    <w:rsid w:val="00CC7F29"/>
    <w:rsid w:val="00CD1A7E"/>
    <w:rsid w:val="00CD39B3"/>
    <w:rsid w:val="00CE04AF"/>
    <w:rsid w:val="00CE22F1"/>
    <w:rsid w:val="00CE38C8"/>
    <w:rsid w:val="00CE4A80"/>
    <w:rsid w:val="00CF47E7"/>
    <w:rsid w:val="00CF5D28"/>
    <w:rsid w:val="00D013BD"/>
    <w:rsid w:val="00D01D5C"/>
    <w:rsid w:val="00D02F1A"/>
    <w:rsid w:val="00D064E8"/>
    <w:rsid w:val="00D14587"/>
    <w:rsid w:val="00D2044F"/>
    <w:rsid w:val="00D2153F"/>
    <w:rsid w:val="00D21C18"/>
    <w:rsid w:val="00D25D33"/>
    <w:rsid w:val="00D273DE"/>
    <w:rsid w:val="00D352AF"/>
    <w:rsid w:val="00D406D0"/>
    <w:rsid w:val="00D42F60"/>
    <w:rsid w:val="00D4486E"/>
    <w:rsid w:val="00D453BD"/>
    <w:rsid w:val="00D457A5"/>
    <w:rsid w:val="00D457DB"/>
    <w:rsid w:val="00D47500"/>
    <w:rsid w:val="00D47C16"/>
    <w:rsid w:val="00D50C12"/>
    <w:rsid w:val="00D53830"/>
    <w:rsid w:val="00D6291D"/>
    <w:rsid w:val="00D704F1"/>
    <w:rsid w:val="00D73C57"/>
    <w:rsid w:val="00D74F7A"/>
    <w:rsid w:val="00D75D6D"/>
    <w:rsid w:val="00D7729B"/>
    <w:rsid w:val="00D86D4F"/>
    <w:rsid w:val="00D874DF"/>
    <w:rsid w:val="00D9360E"/>
    <w:rsid w:val="00D93EE5"/>
    <w:rsid w:val="00D9415C"/>
    <w:rsid w:val="00DA11E1"/>
    <w:rsid w:val="00DA1DD7"/>
    <w:rsid w:val="00DA1F68"/>
    <w:rsid w:val="00DA2A6B"/>
    <w:rsid w:val="00DA6854"/>
    <w:rsid w:val="00DA7DBC"/>
    <w:rsid w:val="00DB0D2A"/>
    <w:rsid w:val="00DB3A47"/>
    <w:rsid w:val="00DB5BC1"/>
    <w:rsid w:val="00DB6E30"/>
    <w:rsid w:val="00DC6504"/>
    <w:rsid w:val="00DD229E"/>
    <w:rsid w:val="00DD55E0"/>
    <w:rsid w:val="00DE2441"/>
    <w:rsid w:val="00DE2B3E"/>
    <w:rsid w:val="00DE3DBB"/>
    <w:rsid w:val="00DE426E"/>
    <w:rsid w:val="00E03C39"/>
    <w:rsid w:val="00E0576C"/>
    <w:rsid w:val="00E06116"/>
    <w:rsid w:val="00E14ACD"/>
    <w:rsid w:val="00E15CC3"/>
    <w:rsid w:val="00E37EB2"/>
    <w:rsid w:val="00E41CD2"/>
    <w:rsid w:val="00E470AE"/>
    <w:rsid w:val="00E47513"/>
    <w:rsid w:val="00E500CD"/>
    <w:rsid w:val="00E503AB"/>
    <w:rsid w:val="00E50BD6"/>
    <w:rsid w:val="00E50D3F"/>
    <w:rsid w:val="00E51B48"/>
    <w:rsid w:val="00E52947"/>
    <w:rsid w:val="00E53E84"/>
    <w:rsid w:val="00E62F93"/>
    <w:rsid w:val="00E6507A"/>
    <w:rsid w:val="00E6576B"/>
    <w:rsid w:val="00E71A62"/>
    <w:rsid w:val="00E75ED9"/>
    <w:rsid w:val="00E817E0"/>
    <w:rsid w:val="00E81D2B"/>
    <w:rsid w:val="00E84313"/>
    <w:rsid w:val="00E85307"/>
    <w:rsid w:val="00E87933"/>
    <w:rsid w:val="00E87E53"/>
    <w:rsid w:val="00E946A6"/>
    <w:rsid w:val="00E95590"/>
    <w:rsid w:val="00E96D5C"/>
    <w:rsid w:val="00EA0C24"/>
    <w:rsid w:val="00EA1481"/>
    <w:rsid w:val="00EA1D43"/>
    <w:rsid w:val="00EA338D"/>
    <w:rsid w:val="00EA447D"/>
    <w:rsid w:val="00EA657E"/>
    <w:rsid w:val="00EC12D2"/>
    <w:rsid w:val="00EC1A61"/>
    <w:rsid w:val="00EC3155"/>
    <w:rsid w:val="00EC4199"/>
    <w:rsid w:val="00EC4284"/>
    <w:rsid w:val="00EC4FB5"/>
    <w:rsid w:val="00EC5660"/>
    <w:rsid w:val="00EC664B"/>
    <w:rsid w:val="00ED4101"/>
    <w:rsid w:val="00ED4A14"/>
    <w:rsid w:val="00ED6ACD"/>
    <w:rsid w:val="00ED761D"/>
    <w:rsid w:val="00EE47ED"/>
    <w:rsid w:val="00EE56E9"/>
    <w:rsid w:val="00EE76A9"/>
    <w:rsid w:val="00EE7D57"/>
    <w:rsid w:val="00EE7FA7"/>
    <w:rsid w:val="00EF111C"/>
    <w:rsid w:val="00EF21C3"/>
    <w:rsid w:val="00EF2CD7"/>
    <w:rsid w:val="00EF4A62"/>
    <w:rsid w:val="00F011A0"/>
    <w:rsid w:val="00F05B0C"/>
    <w:rsid w:val="00F104FE"/>
    <w:rsid w:val="00F14633"/>
    <w:rsid w:val="00F15225"/>
    <w:rsid w:val="00F157E9"/>
    <w:rsid w:val="00F242AD"/>
    <w:rsid w:val="00F27622"/>
    <w:rsid w:val="00F32B1E"/>
    <w:rsid w:val="00F32C1B"/>
    <w:rsid w:val="00F341AD"/>
    <w:rsid w:val="00F406F0"/>
    <w:rsid w:val="00F42192"/>
    <w:rsid w:val="00F4369B"/>
    <w:rsid w:val="00F5201E"/>
    <w:rsid w:val="00F532E8"/>
    <w:rsid w:val="00F537FF"/>
    <w:rsid w:val="00F605CE"/>
    <w:rsid w:val="00F60715"/>
    <w:rsid w:val="00F74CA1"/>
    <w:rsid w:val="00F750D7"/>
    <w:rsid w:val="00F77F5F"/>
    <w:rsid w:val="00F8449B"/>
    <w:rsid w:val="00F9127E"/>
    <w:rsid w:val="00F92427"/>
    <w:rsid w:val="00F924F4"/>
    <w:rsid w:val="00F94182"/>
    <w:rsid w:val="00F94651"/>
    <w:rsid w:val="00F975AE"/>
    <w:rsid w:val="00FA07ED"/>
    <w:rsid w:val="00FA12BD"/>
    <w:rsid w:val="00FA1739"/>
    <w:rsid w:val="00FA63FF"/>
    <w:rsid w:val="00FA6E7F"/>
    <w:rsid w:val="00FA7114"/>
    <w:rsid w:val="00FB2379"/>
    <w:rsid w:val="00FC0F9C"/>
    <w:rsid w:val="00FC3AEE"/>
    <w:rsid w:val="00FC7295"/>
    <w:rsid w:val="00FD639C"/>
    <w:rsid w:val="00FE002E"/>
    <w:rsid w:val="00FE074D"/>
    <w:rsid w:val="00FE5EFD"/>
    <w:rsid w:val="00FE6B50"/>
    <w:rsid w:val="00FF16F2"/>
    <w:rsid w:val="00FF4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F6EC279-296D-402F-B957-19BBA8217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5E94"/>
    <w:pPr>
      <w:spacing w:after="180"/>
    </w:pPr>
    <w:rPr>
      <w:rFonts w:ascii="Times New Roman" w:hAnsi="Times New Roman"/>
      <w:lang w:val="en-GB"/>
    </w:rPr>
  </w:style>
  <w:style w:type="paragraph" w:styleId="Heading1">
    <w:name w:val="heading 1"/>
    <w:aliases w:val="H1,h1,Heading 1 3GPP"/>
    <w:next w:val="Normal"/>
    <w:link w:val="Heading1Char"/>
    <w:qFormat/>
    <w:rsid w:val="00841B0D"/>
    <w:pPr>
      <w:keepNext/>
      <w:keepLines/>
      <w:numPr>
        <w:numId w:val="41"/>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841B0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841B0D"/>
    <w:pPr>
      <w:numPr>
        <w:ilvl w:val="2"/>
      </w:numPr>
      <w:spacing w:before="120"/>
      <w:outlineLvl w:val="2"/>
    </w:pPr>
    <w:rPr>
      <w:sz w:val="28"/>
    </w:rPr>
  </w:style>
  <w:style w:type="paragraph" w:styleId="Heading4">
    <w:name w:val="heading 4"/>
    <w:basedOn w:val="Heading3"/>
    <w:next w:val="Normal"/>
    <w:qFormat/>
    <w:rsid w:val="00841B0D"/>
    <w:pPr>
      <w:numPr>
        <w:ilvl w:val="3"/>
      </w:numPr>
      <w:outlineLvl w:val="3"/>
    </w:pPr>
    <w:rPr>
      <w:sz w:val="24"/>
    </w:rPr>
  </w:style>
  <w:style w:type="paragraph" w:styleId="Heading5">
    <w:name w:val="heading 5"/>
    <w:basedOn w:val="Heading4"/>
    <w:next w:val="Normal"/>
    <w:qFormat/>
    <w:rsid w:val="00841B0D"/>
    <w:pPr>
      <w:numPr>
        <w:ilvl w:val="4"/>
      </w:numPr>
      <w:outlineLvl w:val="4"/>
    </w:pPr>
    <w:rPr>
      <w:sz w:val="22"/>
    </w:rPr>
  </w:style>
  <w:style w:type="paragraph" w:styleId="Heading6">
    <w:name w:val="heading 6"/>
    <w:basedOn w:val="H6"/>
    <w:next w:val="Normal"/>
    <w:qFormat/>
    <w:rsid w:val="00841B0D"/>
    <w:pPr>
      <w:numPr>
        <w:ilvl w:val="5"/>
      </w:numPr>
      <w:outlineLvl w:val="5"/>
    </w:pPr>
  </w:style>
  <w:style w:type="paragraph" w:styleId="Heading7">
    <w:name w:val="heading 7"/>
    <w:basedOn w:val="H6"/>
    <w:next w:val="Normal"/>
    <w:link w:val="Heading7Char"/>
    <w:qFormat/>
    <w:rsid w:val="00841B0D"/>
    <w:pPr>
      <w:numPr>
        <w:ilvl w:val="6"/>
      </w:numPr>
      <w:outlineLvl w:val="6"/>
    </w:pPr>
  </w:style>
  <w:style w:type="paragraph" w:styleId="Heading8">
    <w:name w:val="heading 8"/>
    <w:basedOn w:val="Heading1"/>
    <w:next w:val="Normal"/>
    <w:qFormat/>
    <w:rsid w:val="00841B0D"/>
    <w:pPr>
      <w:numPr>
        <w:ilvl w:val="7"/>
      </w:numPr>
      <w:outlineLvl w:val="7"/>
    </w:pPr>
  </w:style>
  <w:style w:type="paragraph" w:styleId="Heading9">
    <w:name w:val="heading 9"/>
    <w:basedOn w:val="Heading8"/>
    <w:next w:val="Normal"/>
    <w:qFormat/>
    <w:rsid w:val="00841B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1B0D"/>
    <w:pPr>
      <w:ind w:left="1985" w:hanging="1985"/>
      <w:outlineLvl w:val="9"/>
    </w:pPr>
    <w:rPr>
      <w:sz w:val="20"/>
    </w:rPr>
  </w:style>
  <w:style w:type="paragraph" w:styleId="TOC8">
    <w:name w:val="toc 8"/>
    <w:basedOn w:val="TOC1"/>
    <w:semiHidden/>
    <w:rsid w:val="00841B0D"/>
    <w:pPr>
      <w:spacing w:before="180"/>
      <w:ind w:left="2693" w:hanging="2693"/>
    </w:pPr>
    <w:rPr>
      <w:b/>
    </w:rPr>
  </w:style>
  <w:style w:type="paragraph" w:styleId="TOC1">
    <w:name w:val="toc 1"/>
    <w:semiHidden/>
    <w:rsid w:val="00841B0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41B0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41B0D"/>
    <w:pPr>
      <w:ind w:left="1701" w:hanging="1701"/>
    </w:pPr>
  </w:style>
  <w:style w:type="paragraph" w:styleId="TOC4">
    <w:name w:val="toc 4"/>
    <w:basedOn w:val="TOC3"/>
    <w:semiHidden/>
    <w:rsid w:val="00841B0D"/>
    <w:pPr>
      <w:ind w:left="1418" w:hanging="1418"/>
    </w:pPr>
  </w:style>
  <w:style w:type="paragraph" w:styleId="TOC3">
    <w:name w:val="toc 3"/>
    <w:basedOn w:val="TOC2"/>
    <w:semiHidden/>
    <w:rsid w:val="00841B0D"/>
    <w:pPr>
      <w:ind w:left="1134" w:hanging="1134"/>
    </w:pPr>
  </w:style>
  <w:style w:type="paragraph" w:styleId="TOC2">
    <w:name w:val="toc 2"/>
    <w:basedOn w:val="TOC1"/>
    <w:semiHidden/>
    <w:rsid w:val="00841B0D"/>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spacing w:after="0"/>
    </w:pPr>
  </w:style>
  <w:style w:type="paragraph" w:customStyle="1" w:styleId="ZH">
    <w:name w:val="ZH"/>
    <w:rsid w:val="00841B0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41B0D"/>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
    <w:link w:val="HeaderChar"/>
    <w:rsid w:val="00841B0D"/>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spacing w:after="0"/>
      <w:ind w:left="454" w:hanging="454"/>
    </w:pPr>
    <w:rPr>
      <w:sz w:val="16"/>
    </w:rPr>
  </w:style>
  <w:style w:type="paragraph" w:customStyle="1" w:styleId="TAH">
    <w:name w:val="TAH"/>
    <w:basedOn w:val="TAC"/>
    <w:link w:val="TAHCar"/>
    <w:rsid w:val="00841B0D"/>
    <w:rPr>
      <w:b/>
    </w:rPr>
  </w:style>
  <w:style w:type="paragraph" w:customStyle="1" w:styleId="TAC">
    <w:name w:val="TAC"/>
    <w:basedOn w:val="TAL"/>
    <w:rsid w:val="00841B0D"/>
    <w:pPr>
      <w:jc w:val="center"/>
    </w:pPr>
  </w:style>
  <w:style w:type="paragraph" w:customStyle="1" w:styleId="TAL">
    <w:name w:val="TAL"/>
    <w:basedOn w:val="Normal"/>
    <w:link w:val="TALCar"/>
    <w:rsid w:val="00841B0D"/>
    <w:pPr>
      <w:keepNext/>
      <w:keepLines/>
      <w:spacing w:after="0"/>
    </w:pPr>
    <w:rPr>
      <w:rFonts w:ascii="Arial" w:hAnsi="Arial"/>
      <w:sz w:val="18"/>
    </w:rPr>
  </w:style>
  <w:style w:type="paragraph" w:customStyle="1" w:styleId="TF">
    <w:name w:val="TF"/>
    <w:basedOn w:val="TH"/>
    <w:rsid w:val="00841B0D"/>
    <w:pPr>
      <w:keepNext w:val="0"/>
      <w:spacing w:before="0" w:after="240"/>
    </w:pPr>
  </w:style>
  <w:style w:type="paragraph" w:customStyle="1" w:styleId="TH">
    <w:name w:val="TH"/>
    <w:basedOn w:val="Normal"/>
    <w:link w:val="THChar"/>
    <w:rsid w:val="00841B0D"/>
    <w:pPr>
      <w:keepNext/>
      <w:keepLines/>
      <w:spacing w:before="60"/>
      <w:jc w:val="center"/>
    </w:pPr>
    <w:rPr>
      <w:rFonts w:ascii="Arial" w:hAnsi="Arial"/>
      <w:b/>
    </w:rPr>
  </w:style>
  <w:style w:type="paragraph" w:customStyle="1" w:styleId="NO">
    <w:name w:val="NO"/>
    <w:basedOn w:val="Normal"/>
    <w:link w:val="NOChar"/>
    <w:rsid w:val="00841B0D"/>
    <w:pPr>
      <w:keepLines/>
      <w:ind w:left="1135" w:hanging="851"/>
    </w:pPr>
  </w:style>
  <w:style w:type="paragraph" w:styleId="TOC9">
    <w:name w:val="toc 9"/>
    <w:basedOn w:val="TOC8"/>
    <w:semiHidden/>
    <w:rsid w:val="00841B0D"/>
    <w:pPr>
      <w:ind w:left="1418" w:hanging="1418"/>
    </w:pPr>
  </w:style>
  <w:style w:type="paragraph" w:customStyle="1" w:styleId="EX">
    <w:name w:val="EX"/>
    <w:basedOn w:val="Normal"/>
    <w:rsid w:val="00841B0D"/>
    <w:pPr>
      <w:keepLines/>
      <w:ind w:left="1702" w:hanging="1418"/>
    </w:pPr>
  </w:style>
  <w:style w:type="paragraph" w:customStyle="1" w:styleId="FP">
    <w:name w:val="FP"/>
    <w:basedOn w:val="Normal"/>
    <w:rsid w:val="00841B0D"/>
    <w:pPr>
      <w:spacing w:after="0"/>
    </w:pPr>
  </w:style>
  <w:style w:type="paragraph" w:customStyle="1" w:styleId="LD">
    <w:name w:val="LD"/>
    <w:rsid w:val="00841B0D"/>
    <w:pPr>
      <w:keepNext/>
      <w:keepLines/>
      <w:spacing w:line="180" w:lineRule="exact"/>
    </w:pPr>
    <w:rPr>
      <w:rFonts w:ascii="Courier New" w:hAnsi="Courier New"/>
      <w:noProof/>
      <w:lang w:val="en-GB"/>
    </w:rPr>
  </w:style>
  <w:style w:type="paragraph" w:customStyle="1" w:styleId="NW">
    <w:name w:val="NW"/>
    <w:basedOn w:val="NO"/>
    <w:rsid w:val="00841B0D"/>
    <w:pPr>
      <w:spacing w:after="0"/>
    </w:pPr>
  </w:style>
  <w:style w:type="paragraph" w:customStyle="1" w:styleId="EW">
    <w:name w:val="EW"/>
    <w:basedOn w:val="EX"/>
    <w:rsid w:val="00841B0D"/>
    <w:pPr>
      <w:spacing w:after="0"/>
    </w:pPr>
  </w:style>
  <w:style w:type="paragraph" w:styleId="TOC6">
    <w:name w:val="toc 6"/>
    <w:basedOn w:val="TOC5"/>
    <w:next w:val="Normal"/>
    <w:semiHidden/>
    <w:rsid w:val="00841B0D"/>
    <w:pPr>
      <w:ind w:left="1985" w:hanging="1985"/>
    </w:pPr>
  </w:style>
  <w:style w:type="paragraph" w:styleId="TOC7">
    <w:name w:val="toc 7"/>
    <w:basedOn w:val="TOC6"/>
    <w:next w:val="Normal"/>
    <w:semiHidden/>
    <w:rsid w:val="00841B0D"/>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841B0D"/>
    <w:pPr>
      <w:keepLines/>
      <w:tabs>
        <w:tab w:val="center" w:pos="4536"/>
        <w:tab w:val="right" w:pos="9072"/>
      </w:tabs>
    </w:pPr>
    <w:rPr>
      <w:noProof/>
    </w:rPr>
  </w:style>
  <w:style w:type="paragraph" w:customStyle="1" w:styleId="NF">
    <w:name w:val="NF"/>
    <w:basedOn w:val="NO"/>
    <w:rsid w:val="00841B0D"/>
    <w:pPr>
      <w:keepNext/>
      <w:spacing w:after="0"/>
    </w:pPr>
    <w:rPr>
      <w:rFonts w:ascii="Arial" w:hAnsi="Arial"/>
      <w:sz w:val="18"/>
    </w:rPr>
  </w:style>
  <w:style w:type="paragraph" w:customStyle="1" w:styleId="PL">
    <w:name w:val="PL"/>
    <w:link w:val="PLChar"/>
    <w:rsid w:val="00841B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41B0D"/>
    <w:pPr>
      <w:jc w:val="right"/>
    </w:pPr>
  </w:style>
  <w:style w:type="paragraph" w:customStyle="1" w:styleId="TAN">
    <w:name w:val="TAN"/>
    <w:basedOn w:val="TAL"/>
    <w:rsid w:val="00841B0D"/>
    <w:pPr>
      <w:ind w:left="851" w:hanging="851"/>
    </w:pPr>
  </w:style>
  <w:style w:type="paragraph" w:customStyle="1" w:styleId="ZA">
    <w:name w:val="ZA"/>
    <w:rsid w:val="00841B0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41B0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41B0D"/>
    <w:pPr>
      <w:framePr w:wrap="notBeside" w:vAnchor="page" w:hAnchor="margin" w:y="15764"/>
      <w:widowControl w:val="0"/>
    </w:pPr>
    <w:rPr>
      <w:rFonts w:ascii="Arial" w:hAnsi="Arial"/>
      <w:noProof/>
      <w:sz w:val="32"/>
      <w:lang w:val="en-GB"/>
    </w:rPr>
  </w:style>
  <w:style w:type="paragraph" w:customStyle="1" w:styleId="ZU">
    <w:name w:val="ZU"/>
    <w:rsid w:val="00841B0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41B0D"/>
    <w:pPr>
      <w:framePr w:wrap="notBeside" w:y="16161"/>
    </w:pPr>
  </w:style>
  <w:style w:type="character" w:customStyle="1" w:styleId="ZGSM">
    <w:name w:val="ZGSM"/>
    <w:rsid w:val="00841B0D"/>
  </w:style>
  <w:style w:type="paragraph" w:styleId="List2">
    <w:name w:val="List 2"/>
    <w:basedOn w:val="List"/>
    <w:rsid w:val="006F33CB"/>
    <w:pPr>
      <w:ind w:left="851"/>
    </w:pPr>
  </w:style>
  <w:style w:type="paragraph" w:customStyle="1" w:styleId="ZG">
    <w:name w:val="ZG"/>
    <w:rsid w:val="00841B0D"/>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841B0D"/>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1"/>
    <w:rsid w:val="00841B0D"/>
    <w:pPr>
      <w:ind w:left="568" w:hanging="284"/>
    </w:pPr>
  </w:style>
  <w:style w:type="paragraph" w:customStyle="1" w:styleId="B2">
    <w:name w:val="B2"/>
    <w:basedOn w:val="Normal"/>
    <w:rsid w:val="00841B0D"/>
    <w:pPr>
      <w:ind w:left="851" w:hanging="284"/>
    </w:pPr>
  </w:style>
  <w:style w:type="paragraph" w:customStyle="1" w:styleId="B3">
    <w:name w:val="B3"/>
    <w:basedOn w:val="Normal"/>
    <w:rsid w:val="00841B0D"/>
    <w:pPr>
      <w:ind w:left="1135" w:hanging="284"/>
    </w:pPr>
  </w:style>
  <w:style w:type="paragraph" w:customStyle="1" w:styleId="B4">
    <w:name w:val="B4"/>
    <w:basedOn w:val="Normal"/>
    <w:rsid w:val="00841B0D"/>
    <w:pPr>
      <w:ind w:left="1418" w:hanging="284"/>
    </w:pPr>
  </w:style>
  <w:style w:type="paragraph" w:customStyle="1" w:styleId="B5">
    <w:name w:val="B5"/>
    <w:basedOn w:val="Normal"/>
    <w:rsid w:val="00841B0D"/>
    <w:pPr>
      <w:ind w:left="1702" w:hanging="284"/>
    </w:pPr>
  </w:style>
  <w:style w:type="paragraph" w:styleId="Footer">
    <w:name w:val="footer"/>
    <w:basedOn w:val="Header"/>
    <w:rsid w:val="00841B0D"/>
    <w:pPr>
      <w:jc w:val="center"/>
    </w:pPr>
    <w:rPr>
      <w:i/>
    </w:rPr>
  </w:style>
  <w:style w:type="paragraph" w:customStyle="1" w:styleId="ZTD">
    <w:name w:val="ZTD"/>
    <w:basedOn w:val="ZB"/>
    <w:rsid w:val="00841B0D"/>
    <w:pPr>
      <w:framePr w:hRule="auto" w:wrap="notBeside" w:y="852"/>
    </w:pPr>
    <w:rPr>
      <w:i w:val="0"/>
      <w:sz w:val="40"/>
    </w:rPr>
  </w:style>
  <w:style w:type="paragraph" w:customStyle="1" w:styleId="CRCoverPage">
    <w:name w:val="CR Cover Page"/>
    <w:rsid w:val="00841B0D"/>
    <w:pPr>
      <w:spacing w:after="120"/>
    </w:pPr>
    <w:rPr>
      <w:rFonts w:ascii="Arial"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style>
  <w:style w:type="paragraph" w:styleId="BodyText2">
    <w:name w:val="Body Text 2"/>
    <w:basedOn w:val="Normal"/>
    <w:rsid w:val="006F33CB"/>
    <w:rPr>
      <w:color w:val="FFFF00"/>
      <w:lang w:eastAsia="ja-JP"/>
    </w:rPr>
  </w:style>
  <w:style w:type="paragraph" w:customStyle="1" w:styleId="00BodyText">
    <w:name w:val="00 BodyText"/>
    <w:basedOn w:val="Normal"/>
    <w:rsid w:val="00841B0D"/>
    <w:pPr>
      <w:spacing w:after="220"/>
    </w:pPr>
    <w:rPr>
      <w:rFonts w:ascii="Arial" w:hAnsi="Arial"/>
      <w:sz w:val="22"/>
      <w:lang w:val="en-US"/>
    </w:rPr>
  </w:style>
  <w:style w:type="paragraph" w:customStyle="1" w:styleId="11BodyText">
    <w:name w:val="11 BodyText"/>
    <w:basedOn w:val="Normal"/>
    <w:rsid w:val="006F33CB"/>
    <w:pPr>
      <w:spacing w:after="220"/>
      <w:ind w:left="1298"/>
    </w:pPr>
    <w:rPr>
      <w:rFonts w:ascii="Arial" w:hAnsi="Arial"/>
      <w:sz w:val="22"/>
      <w:lang w:val="en-US"/>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841B0D"/>
  </w:style>
  <w:style w:type="paragraph" w:customStyle="1" w:styleId="Guidance">
    <w:name w:val="Guidance"/>
    <w:basedOn w:val="Normal"/>
    <w:rsid w:val="00841B0D"/>
    <w:rPr>
      <w:i/>
      <w:color w:val="0000FF"/>
    </w:rPr>
  </w:style>
  <w:style w:type="character" w:customStyle="1" w:styleId="HeaderChar">
    <w:name w:val="Header Char"/>
    <w:aliases w:val="header odd Char"/>
    <w:link w:val="Header"/>
    <w:rsid w:val="00841B0D"/>
    <w:rPr>
      <w:rFonts w:ascii="Arial" w:hAnsi="Arial"/>
      <w:b/>
      <w:noProof/>
      <w:sz w:val="18"/>
      <w:lang w:val="en-GB" w:eastAsia="ja-JP" w:bidi="ar-SA"/>
    </w:rPr>
  </w:style>
  <w:style w:type="character" w:customStyle="1" w:styleId="PLChar">
    <w:name w:val="PL Char"/>
    <w:link w:val="PL"/>
    <w:rsid w:val="00093AB5"/>
    <w:rPr>
      <w:rFonts w:ascii="Courier New" w:hAnsi="Courier New"/>
      <w:noProof/>
      <w:sz w:val="16"/>
      <w:lang w:val="en-GB"/>
    </w:rPr>
  </w:style>
  <w:style w:type="table" w:styleId="TableGrid">
    <w:name w:val="Table Grid"/>
    <w:basedOn w:val="TableNormal"/>
    <w:rsid w:val="00740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6B50"/>
    <w:rPr>
      <w:rFonts w:ascii="Arial" w:hAnsi="Arial"/>
      <w:b/>
      <w:lang w:val="en-GB"/>
    </w:rPr>
  </w:style>
  <w:style w:type="paragraph" w:customStyle="1" w:styleId="U2-Bullet2">
    <w:name w:val="U2-Bullet 2"/>
    <w:basedOn w:val="U-Bullet"/>
    <w:rsid w:val="0031678A"/>
    <w:pPr>
      <w:numPr>
        <w:ilvl w:val="1"/>
      </w:numPr>
      <w:tabs>
        <w:tab w:val="left" w:pos="2160"/>
      </w:tabs>
    </w:pPr>
  </w:style>
  <w:style w:type="paragraph" w:customStyle="1" w:styleId="U3-Bullet3">
    <w:name w:val="U3-Bullet 3"/>
    <w:basedOn w:val="U2-Bullet2"/>
    <w:rsid w:val="0031678A"/>
    <w:pPr>
      <w:numPr>
        <w:ilvl w:val="2"/>
      </w:numPr>
    </w:pPr>
    <w:rPr>
      <w:lang w:eastAsia="ja-JP"/>
    </w:rPr>
  </w:style>
  <w:style w:type="paragraph" w:customStyle="1" w:styleId="U4-Bullet4">
    <w:name w:val="U4-Bullet 4"/>
    <w:basedOn w:val="U3-Bullet3"/>
    <w:rsid w:val="0031678A"/>
    <w:pPr>
      <w:numPr>
        <w:ilvl w:val="3"/>
      </w:numPr>
    </w:pPr>
    <w:rPr>
      <w:szCs w:val="24"/>
    </w:rPr>
  </w:style>
  <w:style w:type="paragraph" w:customStyle="1" w:styleId="U-Bullet">
    <w:name w:val="U-Bullet"/>
    <w:qFormat/>
    <w:rsid w:val="0031678A"/>
    <w:pPr>
      <w:numPr>
        <w:numId w:val="30"/>
      </w:numPr>
      <w:spacing w:before="120" w:after="40"/>
    </w:pPr>
    <w:rPr>
      <w:rFonts w:ascii="Times New Roman" w:hAnsi="Times New Roman"/>
      <w:sz w:val="22"/>
    </w:rPr>
  </w:style>
  <w:style w:type="character" w:customStyle="1" w:styleId="TAHCar">
    <w:name w:val="TAH Car"/>
    <w:link w:val="TAH"/>
    <w:rsid w:val="0031678A"/>
    <w:rPr>
      <w:rFonts w:ascii="Arial" w:hAnsi="Arial"/>
      <w:b/>
      <w:sz w:val="18"/>
      <w:lang w:val="en-GB"/>
    </w:rPr>
  </w:style>
  <w:style w:type="character" w:customStyle="1" w:styleId="B1Char1">
    <w:name w:val="B1 Char1"/>
    <w:link w:val="B1"/>
    <w:rsid w:val="0031678A"/>
    <w:rPr>
      <w:rFonts w:ascii="Times New Roman" w:hAnsi="Times New Roman"/>
      <w:lang w:val="en-GB"/>
    </w:rPr>
  </w:style>
  <w:style w:type="character" w:customStyle="1" w:styleId="TALCar">
    <w:name w:val="TAL Car"/>
    <w:link w:val="TAL"/>
    <w:rsid w:val="0031678A"/>
    <w:rPr>
      <w:rFonts w:ascii="Arial" w:hAnsi="Arial"/>
      <w:sz w:val="18"/>
      <w:lang w:val="en-GB"/>
    </w:rPr>
  </w:style>
  <w:style w:type="character" w:customStyle="1" w:styleId="Heading7Char">
    <w:name w:val="Heading 7 Char"/>
    <w:link w:val="Heading7"/>
    <w:rsid w:val="00750CCA"/>
    <w:rPr>
      <w:rFonts w:ascii="Arial" w:hAnsi="Arial"/>
      <w:lang w:val="en-GB"/>
    </w:rPr>
  </w:style>
  <w:style w:type="character" w:customStyle="1" w:styleId="NOChar">
    <w:name w:val="NO Char"/>
    <w:link w:val="NO"/>
    <w:rsid w:val="00D457DB"/>
    <w:rPr>
      <w:rFonts w:ascii="Times New Roman" w:hAnsi="Times New Roman"/>
      <w:lang w:val="en-GB"/>
    </w:rPr>
  </w:style>
  <w:style w:type="paragraph" w:styleId="ListParagraph">
    <w:name w:val="List Paragraph"/>
    <w:basedOn w:val="Normal"/>
    <w:uiPriority w:val="34"/>
    <w:qFormat/>
    <w:rsid w:val="003F15D1"/>
    <w:pPr>
      <w:spacing w:after="0"/>
      <w:ind w:left="720"/>
    </w:pPr>
    <w:rPr>
      <w:rFonts w:ascii="Calibri" w:eastAsia="Calibri" w:hAnsi="Calibri"/>
      <w:sz w:val="22"/>
      <w:szCs w:val="22"/>
      <w:lang w:val="en-US"/>
    </w:rPr>
  </w:style>
  <w:style w:type="character" w:customStyle="1" w:styleId="Doc-titleChar">
    <w:name w:val="Doc-title Char"/>
    <w:link w:val="Doc-title"/>
    <w:locked/>
    <w:rsid w:val="0099740C"/>
    <w:rPr>
      <w:rFonts w:ascii="Arial" w:hAnsi="Arial" w:cs="Arial"/>
      <w:szCs w:val="24"/>
      <w:lang w:val="en-GB" w:eastAsia="en-GB"/>
    </w:rPr>
  </w:style>
  <w:style w:type="paragraph" w:customStyle="1" w:styleId="Doc-title">
    <w:name w:val="Doc-title"/>
    <w:basedOn w:val="Normal"/>
    <w:next w:val="Doc-text2"/>
    <w:link w:val="Doc-titleChar"/>
    <w:rsid w:val="0099740C"/>
    <w:pPr>
      <w:spacing w:after="0"/>
      <w:ind w:left="1260" w:hanging="1260"/>
    </w:pPr>
    <w:rPr>
      <w:rFonts w:ascii="Arial" w:hAnsi="Arial" w:cs="Arial"/>
      <w:szCs w:val="24"/>
      <w:lang w:eastAsia="en-GB"/>
    </w:rPr>
  </w:style>
  <w:style w:type="paragraph" w:styleId="Revision">
    <w:name w:val="Revision"/>
    <w:hidden/>
    <w:uiPriority w:val="99"/>
    <w:semiHidden/>
    <w:rsid w:val="00102A72"/>
    <w:rPr>
      <w:rFonts w:ascii="Times New Roman" w:hAnsi="Times New Roman"/>
      <w:lang w:val="en-GB"/>
    </w:rPr>
  </w:style>
  <w:style w:type="character" w:customStyle="1" w:styleId="Heading1Char">
    <w:name w:val="Heading 1 Char"/>
    <w:aliases w:val="H1 Char,h1 Char,Heading 1 3GPP Char"/>
    <w:basedOn w:val="DefaultParagraphFont"/>
    <w:link w:val="Heading1"/>
    <w:rsid w:val="0063159E"/>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1B3AE5"/>
    <w:rPr>
      <w:rFonts w:ascii="Arial" w:hAnsi="Arial"/>
      <w:sz w:val="32"/>
      <w:lang w:val="en-GB"/>
    </w:rPr>
  </w:style>
  <w:style w:type="character" w:styleId="FollowedHyperlink">
    <w:name w:val="FollowedHyperlink"/>
    <w:basedOn w:val="DefaultParagraphFont"/>
    <w:rsid w:val="00BE17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4800">
      <w:bodyDiv w:val="1"/>
      <w:marLeft w:val="0"/>
      <w:marRight w:val="0"/>
      <w:marTop w:val="0"/>
      <w:marBottom w:val="0"/>
      <w:divBdr>
        <w:top w:val="none" w:sz="0" w:space="0" w:color="auto"/>
        <w:left w:val="none" w:sz="0" w:space="0" w:color="auto"/>
        <w:bottom w:val="none" w:sz="0" w:space="0" w:color="auto"/>
        <w:right w:val="none" w:sz="0" w:space="0" w:color="auto"/>
      </w:divBdr>
    </w:div>
    <w:div w:id="644546963">
      <w:bodyDiv w:val="1"/>
      <w:marLeft w:val="0"/>
      <w:marRight w:val="0"/>
      <w:marTop w:val="0"/>
      <w:marBottom w:val="0"/>
      <w:divBdr>
        <w:top w:val="none" w:sz="0" w:space="0" w:color="auto"/>
        <w:left w:val="none" w:sz="0" w:space="0" w:color="auto"/>
        <w:bottom w:val="none" w:sz="0" w:space="0" w:color="auto"/>
        <w:right w:val="none" w:sz="0" w:space="0" w:color="auto"/>
      </w:divBdr>
    </w:div>
    <w:div w:id="697389396">
      <w:bodyDiv w:val="1"/>
      <w:marLeft w:val="0"/>
      <w:marRight w:val="0"/>
      <w:marTop w:val="0"/>
      <w:marBottom w:val="0"/>
      <w:divBdr>
        <w:top w:val="none" w:sz="0" w:space="0" w:color="auto"/>
        <w:left w:val="none" w:sz="0" w:space="0" w:color="auto"/>
        <w:bottom w:val="none" w:sz="0" w:space="0" w:color="auto"/>
        <w:right w:val="none" w:sz="0" w:space="0" w:color="auto"/>
      </w:divBdr>
      <w:divsChild>
        <w:div w:id="1655984058">
          <w:marLeft w:val="907"/>
          <w:marRight w:val="0"/>
          <w:marTop w:val="0"/>
          <w:marBottom w:val="60"/>
          <w:divBdr>
            <w:top w:val="none" w:sz="0" w:space="0" w:color="auto"/>
            <w:left w:val="none" w:sz="0" w:space="0" w:color="auto"/>
            <w:bottom w:val="none" w:sz="0" w:space="0" w:color="auto"/>
            <w:right w:val="none" w:sz="0" w:space="0" w:color="auto"/>
          </w:divBdr>
        </w:div>
      </w:divsChild>
    </w:div>
    <w:div w:id="83526767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398286531">
      <w:bodyDiv w:val="1"/>
      <w:marLeft w:val="0"/>
      <w:marRight w:val="0"/>
      <w:marTop w:val="0"/>
      <w:marBottom w:val="0"/>
      <w:divBdr>
        <w:top w:val="none" w:sz="0" w:space="0" w:color="auto"/>
        <w:left w:val="none" w:sz="0" w:space="0" w:color="auto"/>
        <w:bottom w:val="none" w:sz="0" w:space="0" w:color="auto"/>
        <w:right w:val="none" w:sz="0" w:space="0" w:color="auto"/>
      </w:divBdr>
    </w:div>
    <w:div w:id="1417364461">
      <w:bodyDiv w:val="1"/>
      <w:marLeft w:val="0"/>
      <w:marRight w:val="0"/>
      <w:marTop w:val="0"/>
      <w:marBottom w:val="0"/>
      <w:divBdr>
        <w:top w:val="none" w:sz="0" w:space="0" w:color="auto"/>
        <w:left w:val="none" w:sz="0" w:space="0" w:color="auto"/>
        <w:bottom w:val="none" w:sz="0" w:space="0" w:color="auto"/>
        <w:right w:val="none" w:sz="0" w:space="0" w:color="auto"/>
      </w:divBdr>
    </w:div>
    <w:div w:id="1684238307">
      <w:bodyDiv w:val="1"/>
      <w:marLeft w:val="0"/>
      <w:marRight w:val="0"/>
      <w:marTop w:val="0"/>
      <w:marBottom w:val="0"/>
      <w:divBdr>
        <w:top w:val="none" w:sz="0" w:space="0" w:color="auto"/>
        <w:left w:val="none" w:sz="0" w:space="0" w:color="auto"/>
        <w:bottom w:val="none" w:sz="0" w:space="0" w:color="auto"/>
        <w:right w:val="none" w:sz="0" w:space="0" w:color="auto"/>
      </w:divBdr>
    </w:div>
    <w:div w:id="1790319192">
      <w:bodyDiv w:val="1"/>
      <w:marLeft w:val="0"/>
      <w:marRight w:val="0"/>
      <w:marTop w:val="0"/>
      <w:marBottom w:val="0"/>
      <w:divBdr>
        <w:top w:val="none" w:sz="0" w:space="0" w:color="auto"/>
        <w:left w:val="none" w:sz="0" w:space="0" w:color="auto"/>
        <w:bottom w:val="none" w:sz="0" w:space="0" w:color="auto"/>
        <w:right w:val="none" w:sz="0" w:space="0" w:color="auto"/>
      </w:divBdr>
    </w:div>
    <w:div w:id="1974746439">
      <w:bodyDiv w:val="1"/>
      <w:marLeft w:val="0"/>
      <w:marRight w:val="0"/>
      <w:marTop w:val="0"/>
      <w:marBottom w:val="0"/>
      <w:divBdr>
        <w:top w:val="none" w:sz="0" w:space="0" w:color="auto"/>
        <w:left w:val="none" w:sz="0" w:space="0" w:color="auto"/>
        <w:bottom w:val="none" w:sz="0" w:space="0" w:color="auto"/>
        <w:right w:val="none" w:sz="0" w:space="0" w:color="auto"/>
      </w:divBdr>
    </w:div>
    <w:div w:id="200370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1/Docs/R2-153790.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2_RL2/TSGR2_79bis/Docs/R2-124406.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2_RL2/TSGR2_79bis/Docs/R2-124405.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tp://ftp.3gpp.org/tsg_ran/WG2_RL2/TSGR2_79bis/Docs/R2-124404.zip" TargetMode="External"/><Relationship Id="rId4" Type="http://schemas.openxmlformats.org/officeDocument/2006/relationships/settings" Target="settings.xml"/><Relationship Id="rId9" Type="http://schemas.openxmlformats.org/officeDocument/2006/relationships/hyperlink" Target="http://www.3gpp.org/ftp/tsg_ran/WG2_RL2/TSGR2_89bis/Docs/R2-151546.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5F47E-963A-4CC0-8A36-FF705320C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5</Pages>
  <Words>2602</Words>
  <Characters>14833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17401</CharactersWithSpaces>
  <SharedDoc>false</SharedDoc>
  <HLinks>
    <vt:vector size="18" baseType="variant">
      <vt:variant>
        <vt:i4>4259886</vt:i4>
      </vt:variant>
      <vt:variant>
        <vt:i4>6</vt:i4>
      </vt:variant>
      <vt:variant>
        <vt:i4>0</vt:i4>
      </vt:variant>
      <vt:variant>
        <vt:i4>5</vt:i4>
      </vt:variant>
      <vt:variant>
        <vt:lpwstr>ftp://ftp.3gpp.org/tsg_ran/WG2_RL2/TSGR2_79bis/Docs/R2-124406.zip</vt:lpwstr>
      </vt:variant>
      <vt:variant>
        <vt:lpwstr/>
      </vt:variant>
      <vt:variant>
        <vt:i4>4259885</vt:i4>
      </vt:variant>
      <vt:variant>
        <vt:i4>3</vt:i4>
      </vt:variant>
      <vt:variant>
        <vt:i4>0</vt:i4>
      </vt:variant>
      <vt:variant>
        <vt:i4>5</vt:i4>
      </vt:variant>
      <vt:variant>
        <vt:lpwstr>ftp://ftp.3gpp.org/tsg_ran/WG2_RL2/TSGR2_79bis/Docs/R2-124405.zip</vt:lpwstr>
      </vt:variant>
      <vt:variant>
        <vt:lpwstr/>
      </vt:variant>
      <vt:variant>
        <vt:i4>4259884</vt:i4>
      </vt:variant>
      <vt:variant>
        <vt:i4>0</vt:i4>
      </vt:variant>
      <vt:variant>
        <vt:i4>0</vt:i4>
      </vt:variant>
      <vt:variant>
        <vt:i4>5</vt:i4>
      </vt:variant>
      <vt:variant>
        <vt:lpwstr>ftp://ftp.3gpp.org/tsg_ran/WG2_RL2/TSGR2_79bis/Docs/R2-124404.zip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leenaz@qti.qualcomm.com</dc:creator>
  <cp:keywords>3GPP, RAN2</cp:keywords>
  <dc:description/>
  <cp:lastModifiedBy>Qualcomm</cp:lastModifiedBy>
  <cp:revision>18</cp:revision>
  <cp:lastPrinted>2004-04-15T00:17:00Z</cp:lastPrinted>
  <dcterms:created xsi:type="dcterms:W3CDTF">2015-08-14T23:22:00Z</dcterms:created>
  <dcterms:modified xsi:type="dcterms:W3CDTF">2015-08-15T00:34:00Z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828312429</vt:i4>
  </property>
  <property fmtid="{D5CDD505-2E9C-101B-9397-08002B2CF9AE}" pid="3" name="_NewReviewCycle">
    <vt:lpwstr/>
  </property>
  <property fmtid="{D5CDD505-2E9C-101B-9397-08002B2CF9AE}" pid="4" name="_EmailSubject">
    <vt:lpwstr>Towards RAN2#91</vt:lpwstr>
  </property>
  <property fmtid="{D5CDD505-2E9C-101B-9397-08002B2CF9AE}" pid="5" name="_AuthorEmail">
    <vt:lpwstr>leenaz@qti.qualcomm.com</vt:lpwstr>
  </property>
  <property fmtid="{D5CDD505-2E9C-101B-9397-08002B2CF9AE}" pid="6" name="_AuthorEmailDisplayName">
    <vt:lpwstr>Zacharias, Leena</vt:lpwstr>
  </property>
  <property fmtid="{D5CDD505-2E9C-101B-9397-08002B2CF9AE}" pid="7" name="_ReviewingToolsShownOnce">
    <vt:lpwstr/>
  </property>
</Properties>
</file>