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03E0" w:rsidRDefault="00A403E0">
      <w:pPr>
        <w:pStyle w:val="Header"/>
        <w:tabs>
          <w:tab w:val="right" w:pos="9639"/>
        </w:tabs>
        <w:rPr>
          <w:bCs/>
          <w:noProof w:val="0"/>
          <w:sz w:val="24"/>
          <w:lang w:val="en-GB"/>
        </w:rPr>
      </w:pPr>
    </w:p>
    <w:p w:rsidR="0034111C" w:rsidRPr="00711E13" w:rsidRDefault="0034111C">
      <w:pPr>
        <w:pStyle w:val="Header"/>
        <w:tabs>
          <w:tab w:val="right" w:pos="9639"/>
        </w:tabs>
        <w:rPr>
          <w:bCs/>
          <w:i/>
          <w:noProof w:val="0"/>
          <w:sz w:val="32"/>
          <w:lang w:val="en-GB" w:eastAsia="ja-JP"/>
        </w:rPr>
      </w:pPr>
      <w:r w:rsidRPr="00711E13">
        <w:rPr>
          <w:bCs/>
          <w:noProof w:val="0"/>
          <w:sz w:val="24"/>
          <w:lang w:val="en-GB"/>
        </w:rPr>
        <w:t>3GPP T</w:t>
      </w:r>
      <w:bookmarkStart w:id="0" w:name="_Ref452454252"/>
      <w:bookmarkEnd w:id="0"/>
      <w:r w:rsidRPr="00711E13">
        <w:rPr>
          <w:bCs/>
          <w:noProof w:val="0"/>
          <w:sz w:val="24"/>
          <w:lang w:val="en-GB"/>
        </w:rPr>
        <w:t xml:space="preserve">SG-RAN </w:t>
      </w:r>
      <w:r w:rsidRPr="00711E13">
        <w:rPr>
          <w:noProof w:val="0"/>
          <w:sz w:val="22"/>
          <w:lang w:val="en-GB"/>
        </w:rPr>
        <w:t>WG</w:t>
      </w:r>
      <w:r w:rsidR="00D942AB">
        <w:rPr>
          <w:noProof w:val="0"/>
          <w:sz w:val="22"/>
          <w:lang w:val="en-GB"/>
        </w:rPr>
        <w:t>2</w:t>
      </w:r>
      <w:r w:rsidRPr="00711E13">
        <w:rPr>
          <w:noProof w:val="0"/>
          <w:sz w:val="22"/>
          <w:lang w:val="en-GB"/>
        </w:rPr>
        <w:t xml:space="preserve"> Meeting #</w:t>
      </w:r>
      <w:r w:rsidR="00D942AB">
        <w:rPr>
          <w:noProof w:val="0"/>
          <w:sz w:val="22"/>
          <w:lang w:val="en-GB"/>
        </w:rPr>
        <w:t>6</w:t>
      </w:r>
      <w:r w:rsidR="008660C1">
        <w:rPr>
          <w:noProof w:val="0"/>
          <w:sz w:val="22"/>
          <w:lang w:val="en-GB"/>
        </w:rPr>
        <w:t>7</w:t>
      </w:r>
      <w:r w:rsidRPr="00711E13">
        <w:rPr>
          <w:bCs/>
          <w:noProof w:val="0"/>
          <w:sz w:val="24"/>
          <w:lang w:val="en-GB"/>
        </w:rPr>
        <w:tab/>
      </w:r>
      <w:r w:rsidRPr="00711E13">
        <w:rPr>
          <w:rFonts w:hint="eastAsia"/>
          <w:bCs/>
          <w:noProof w:val="0"/>
          <w:sz w:val="24"/>
          <w:lang w:val="en-GB" w:eastAsia="ja-JP"/>
        </w:rPr>
        <w:t>R</w:t>
      </w:r>
      <w:r w:rsidR="00324FFF">
        <w:rPr>
          <w:bCs/>
          <w:noProof w:val="0"/>
          <w:sz w:val="24"/>
          <w:lang w:val="en-GB" w:eastAsia="ja-JP"/>
        </w:rPr>
        <w:t>2</w:t>
      </w:r>
      <w:r w:rsidRPr="00711E13">
        <w:rPr>
          <w:rFonts w:hint="eastAsia"/>
          <w:bCs/>
          <w:noProof w:val="0"/>
          <w:sz w:val="24"/>
          <w:lang w:val="en-GB" w:eastAsia="ja-JP"/>
        </w:rPr>
        <w:t>-0</w:t>
      </w:r>
      <w:r w:rsidR="0088327E">
        <w:rPr>
          <w:bCs/>
          <w:noProof w:val="0"/>
          <w:sz w:val="24"/>
          <w:lang w:val="en-GB" w:eastAsia="ja-JP"/>
        </w:rPr>
        <w:t>9</w:t>
      </w:r>
      <w:r w:rsidR="00EC2E74">
        <w:rPr>
          <w:bCs/>
          <w:noProof w:val="0"/>
          <w:sz w:val="24"/>
          <w:lang w:val="en-GB" w:eastAsia="ja-JP"/>
        </w:rPr>
        <w:t>4219</w:t>
      </w:r>
    </w:p>
    <w:p w:rsidR="00EC2E74" w:rsidRPr="00213CD1" w:rsidRDefault="00EC2E74" w:rsidP="00EC2E74">
      <w:pPr>
        <w:pStyle w:val="Header"/>
        <w:tabs>
          <w:tab w:val="right" w:pos="9639"/>
        </w:tabs>
        <w:rPr>
          <w:bCs/>
          <w:noProof w:val="0"/>
          <w:sz w:val="24"/>
          <w:szCs w:val="24"/>
        </w:rPr>
      </w:pPr>
      <w:r w:rsidRPr="00213CD1">
        <w:rPr>
          <w:bCs/>
          <w:noProof w:val="0"/>
          <w:sz w:val="24"/>
          <w:szCs w:val="24"/>
        </w:rPr>
        <w:t>Shen Zhen, China</w:t>
      </w:r>
    </w:p>
    <w:p w:rsidR="00EC2E74" w:rsidRPr="00213CD1" w:rsidRDefault="00EC2E74" w:rsidP="00EC2E74">
      <w:pPr>
        <w:pStyle w:val="Header"/>
        <w:tabs>
          <w:tab w:val="right" w:pos="9639"/>
        </w:tabs>
        <w:rPr>
          <w:bCs/>
          <w:noProof w:val="0"/>
          <w:sz w:val="24"/>
          <w:szCs w:val="24"/>
          <w:lang w:val="en-GB"/>
        </w:rPr>
      </w:pPr>
      <w:r w:rsidRPr="00213CD1">
        <w:rPr>
          <w:bCs/>
          <w:noProof w:val="0"/>
          <w:sz w:val="24"/>
          <w:szCs w:val="24"/>
        </w:rPr>
        <w:t xml:space="preserve">August 24 – 28, 2009 </w:t>
      </w:r>
    </w:p>
    <w:p w:rsidR="0034111C" w:rsidRDefault="0034111C">
      <w:pPr>
        <w:pStyle w:val="Header"/>
        <w:rPr>
          <w:bCs/>
          <w:noProof w:val="0"/>
          <w:sz w:val="24"/>
          <w:lang w:val="en-GB" w:eastAsia="ja-JP"/>
        </w:rPr>
      </w:pPr>
    </w:p>
    <w:p w:rsidR="00EC2E74" w:rsidRPr="00711E13" w:rsidRDefault="00EC2E74">
      <w:pPr>
        <w:pStyle w:val="Header"/>
        <w:rPr>
          <w:bCs/>
          <w:noProof w:val="0"/>
          <w:sz w:val="24"/>
          <w:lang w:val="en-GB" w:eastAsia="ja-JP"/>
        </w:rPr>
      </w:pPr>
    </w:p>
    <w:p w:rsidR="0034111C" w:rsidRPr="00711E13" w:rsidRDefault="0034111C">
      <w:pPr>
        <w:pStyle w:val="CRCoverPage"/>
        <w:rPr>
          <w:rFonts w:cs="Arial"/>
          <w:b/>
          <w:bCs/>
          <w:sz w:val="24"/>
          <w:lang w:eastAsia="ja-JP"/>
        </w:rPr>
      </w:pPr>
      <w:r w:rsidRPr="00711E13">
        <w:rPr>
          <w:rFonts w:cs="Arial"/>
          <w:b/>
          <w:bCs/>
          <w:sz w:val="24"/>
        </w:rPr>
        <w:t>Agenda item:</w:t>
      </w:r>
      <w:r w:rsidRPr="00711E13">
        <w:rPr>
          <w:rFonts w:cs="Arial"/>
          <w:b/>
          <w:bCs/>
          <w:sz w:val="24"/>
        </w:rPr>
        <w:tab/>
      </w:r>
      <w:r w:rsidRPr="00711E13">
        <w:rPr>
          <w:rFonts w:cs="Arial"/>
          <w:b/>
          <w:bCs/>
          <w:sz w:val="24"/>
        </w:rPr>
        <w:tab/>
      </w:r>
      <w:r w:rsidR="00EC2E74">
        <w:rPr>
          <w:rFonts w:cs="Arial"/>
          <w:b/>
          <w:bCs/>
          <w:sz w:val="24"/>
        </w:rPr>
        <w:t>7.3</w:t>
      </w:r>
    </w:p>
    <w:p w:rsidR="0034111C" w:rsidRPr="00711E13" w:rsidRDefault="0034111C">
      <w:pPr>
        <w:tabs>
          <w:tab w:val="left" w:pos="1985"/>
        </w:tabs>
        <w:rPr>
          <w:rFonts w:ascii="Arial" w:hAnsi="Arial" w:cs="Arial"/>
          <w:b/>
          <w:bCs/>
          <w:sz w:val="24"/>
        </w:rPr>
      </w:pPr>
      <w:r w:rsidRPr="00711E13">
        <w:rPr>
          <w:rFonts w:ascii="Arial" w:hAnsi="Arial" w:cs="Arial"/>
          <w:b/>
          <w:bCs/>
          <w:sz w:val="24"/>
        </w:rPr>
        <w:t>Source:</w:t>
      </w:r>
      <w:r w:rsidRPr="00711E13">
        <w:rPr>
          <w:rFonts w:ascii="Arial" w:hAnsi="Arial" w:cs="Arial"/>
          <w:b/>
          <w:bCs/>
          <w:sz w:val="24"/>
        </w:rPr>
        <w:tab/>
      </w:r>
      <w:r w:rsidR="00357E50">
        <w:rPr>
          <w:rFonts w:ascii="Arial" w:hAnsi="Arial" w:cs="Arial"/>
          <w:b/>
          <w:bCs/>
          <w:noProof/>
          <w:sz w:val="24"/>
        </w:rPr>
        <w:t>InterDigital</w:t>
      </w:r>
    </w:p>
    <w:p w:rsidR="0034111C" w:rsidRPr="00711E13" w:rsidRDefault="0034111C">
      <w:pPr>
        <w:ind w:left="1985" w:hanging="1985"/>
        <w:rPr>
          <w:rFonts w:ascii="Arial" w:hAnsi="Arial" w:cs="Arial"/>
          <w:b/>
          <w:bCs/>
          <w:sz w:val="24"/>
        </w:rPr>
      </w:pPr>
      <w:r w:rsidRPr="00711E13">
        <w:rPr>
          <w:rFonts w:ascii="Arial" w:hAnsi="Arial" w:cs="Arial"/>
          <w:b/>
          <w:bCs/>
          <w:sz w:val="24"/>
        </w:rPr>
        <w:t>Title:</w:t>
      </w:r>
      <w:r w:rsidRPr="00711E13">
        <w:rPr>
          <w:rFonts w:ascii="Arial" w:hAnsi="Arial" w:cs="Arial"/>
          <w:b/>
          <w:bCs/>
          <w:sz w:val="24"/>
        </w:rPr>
        <w:tab/>
      </w:r>
      <w:r w:rsidR="00B52367">
        <w:rPr>
          <w:rFonts w:ascii="Arial" w:hAnsi="Arial" w:cs="Arial"/>
          <w:b/>
          <w:bCs/>
          <w:sz w:val="24"/>
        </w:rPr>
        <w:t>Basic Definitions for Carrier Aggregation</w:t>
      </w:r>
    </w:p>
    <w:p w:rsidR="0034111C" w:rsidRPr="00711E13" w:rsidRDefault="007605DA">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w:t>
      </w:r>
    </w:p>
    <w:p w:rsidR="00842869" w:rsidRDefault="00842869" w:rsidP="005307D9"/>
    <w:p w:rsidR="0034111C" w:rsidRPr="00711E13" w:rsidRDefault="00C560D3">
      <w:pPr>
        <w:pStyle w:val="Heading1"/>
      </w:pPr>
      <w:r>
        <w:t>1</w:t>
      </w:r>
      <w:r w:rsidR="0088327E">
        <w:tab/>
      </w:r>
      <w:r w:rsidR="000823EF">
        <w:t>Introduction</w:t>
      </w:r>
    </w:p>
    <w:p w:rsidR="00BF44B8" w:rsidRDefault="00BF44B8" w:rsidP="008A508F">
      <w:pPr>
        <w:jc w:val="both"/>
      </w:pPr>
      <w:r>
        <w:t>In this contribution we review the RAN1 terminology agreements to make sure these definitions are well understood and to see if any further definitions would be useful in RAN2 discussions.</w:t>
      </w:r>
    </w:p>
    <w:p w:rsidR="00A403E0" w:rsidRDefault="00A403E0" w:rsidP="008A508F">
      <w:pPr>
        <w:jc w:val="both"/>
      </w:pPr>
    </w:p>
    <w:p w:rsidR="009D6496" w:rsidRPr="009D6496" w:rsidRDefault="00BF44B8" w:rsidP="009D6496">
      <w:pPr>
        <w:pStyle w:val="Heading1"/>
      </w:pPr>
      <w:r>
        <w:t>2</w:t>
      </w:r>
      <w:r>
        <w:tab/>
        <w:t>Component carrier definitions from RAN1</w:t>
      </w:r>
    </w:p>
    <w:p w:rsidR="00C4301A" w:rsidRDefault="00B52367" w:rsidP="008A508F">
      <w:pPr>
        <w:jc w:val="both"/>
        <w:rPr>
          <w:lang w:val="en-US"/>
        </w:rPr>
      </w:pPr>
      <w:r>
        <w:rPr>
          <w:lang w:val="en-US"/>
        </w:rPr>
        <w:t xml:space="preserve">In [1] </w:t>
      </w:r>
      <w:r w:rsidR="00695076">
        <w:rPr>
          <w:lang w:val="en-US"/>
        </w:rPr>
        <w:t xml:space="preserve">and [2] </w:t>
      </w:r>
      <w:r>
        <w:rPr>
          <w:lang w:val="en-US"/>
        </w:rPr>
        <w:t>the following component carrier definitions were agreed at RAN1 #57bis:</w:t>
      </w:r>
    </w:p>
    <w:p w:rsidR="00A403E0" w:rsidRDefault="00A403E0" w:rsidP="00B52367">
      <w:pPr>
        <w:pStyle w:val="BodyText"/>
        <w:rPr>
          <w:b/>
          <w:bCs/>
        </w:rPr>
      </w:pPr>
    </w:p>
    <w:p w:rsidR="00B52367" w:rsidRPr="00B52367" w:rsidRDefault="00B52367" w:rsidP="00B52367">
      <w:pPr>
        <w:pStyle w:val="BodyText"/>
      </w:pPr>
      <w:r w:rsidRPr="00B52367">
        <w:rPr>
          <w:b/>
          <w:bCs/>
        </w:rPr>
        <w:t>Backwards compatible carrier</w:t>
      </w:r>
      <w:r w:rsidRPr="00B52367">
        <w:t>:</w:t>
      </w:r>
    </w:p>
    <w:p w:rsidR="00B52367" w:rsidRPr="00B52367" w:rsidRDefault="00B52367" w:rsidP="00B52367">
      <w:pPr>
        <w:pStyle w:val="BodyText"/>
        <w:numPr>
          <w:ilvl w:val="0"/>
          <w:numId w:val="33"/>
        </w:numPr>
        <w:overflowPunct/>
        <w:autoSpaceDE/>
        <w:autoSpaceDN/>
        <w:adjustRightInd/>
        <w:jc w:val="both"/>
        <w:textAlignment w:val="auto"/>
      </w:pPr>
      <w:r w:rsidRPr="00B52367">
        <w:t xml:space="preserve">A carrier accessible to UEs of all existing LTE releases. </w:t>
      </w:r>
    </w:p>
    <w:p w:rsidR="00B52367" w:rsidRPr="00B52367" w:rsidRDefault="00B52367" w:rsidP="00B52367">
      <w:pPr>
        <w:pStyle w:val="BodyText"/>
        <w:numPr>
          <w:ilvl w:val="0"/>
          <w:numId w:val="33"/>
        </w:numPr>
        <w:overflowPunct/>
        <w:autoSpaceDE/>
        <w:autoSpaceDN/>
        <w:adjustRightInd/>
        <w:jc w:val="both"/>
        <w:textAlignment w:val="auto"/>
      </w:pPr>
      <w:r w:rsidRPr="00B52367">
        <w:t xml:space="preserve">Can be operated as a single carrier (stand-alone) or as a part of carrier aggregation. </w:t>
      </w:r>
    </w:p>
    <w:p w:rsidR="00B52367" w:rsidRPr="00B52367" w:rsidRDefault="00B52367" w:rsidP="00B52367">
      <w:pPr>
        <w:pStyle w:val="BodyText"/>
        <w:numPr>
          <w:ilvl w:val="0"/>
          <w:numId w:val="33"/>
        </w:numPr>
        <w:overflowPunct/>
        <w:autoSpaceDE/>
        <w:autoSpaceDN/>
        <w:adjustRightInd/>
        <w:jc w:val="both"/>
        <w:textAlignment w:val="auto"/>
      </w:pPr>
      <w:r w:rsidRPr="00B52367">
        <w:t>For FDD, backwards compatible carriers always occur in pairs, i.e. DL and UL.</w:t>
      </w:r>
    </w:p>
    <w:p w:rsidR="00B52367" w:rsidRPr="00B52367" w:rsidRDefault="00B52367" w:rsidP="00B52367">
      <w:pPr>
        <w:pStyle w:val="BodyText"/>
      </w:pPr>
      <w:r w:rsidRPr="00B52367">
        <w:rPr>
          <w:b/>
          <w:bCs/>
        </w:rPr>
        <w:t>Non-backwards compatible carrier</w:t>
      </w:r>
      <w:r w:rsidRPr="00B52367">
        <w:t xml:space="preserve">: </w:t>
      </w:r>
    </w:p>
    <w:p w:rsidR="00B52367" w:rsidRPr="00B52367" w:rsidRDefault="00B52367" w:rsidP="00B52367">
      <w:pPr>
        <w:pStyle w:val="BodyText"/>
        <w:numPr>
          <w:ilvl w:val="0"/>
          <w:numId w:val="34"/>
        </w:numPr>
        <w:overflowPunct/>
        <w:autoSpaceDE/>
        <w:autoSpaceDN/>
        <w:adjustRightInd/>
        <w:jc w:val="both"/>
        <w:textAlignment w:val="auto"/>
      </w:pPr>
      <w:r w:rsidRPr="00B52367">
        <w:t xml:space="preserve">If specified, a carrier not accessible to UEs of earlier LTE releases, but accessible to UEs of the release defining such a carrier. </w:t>
      </w:r>
    </w:p>
    <w:p w:rsidR="00B52367" w:rsidRPr="00B52367" w:rsidRDefault="00B52367" w:rsidP="00B52367">
      <w:pPr>
        <w:pStyle w:val="BodyText"/>
        <w:numPr>
          <w:ilvl w:val="0"/>
          <w:numId w:val="34"/>
        </w:numPr>
        <w:overflowPunct/>
        <w:autoSpaceDE/>
        <w:autoSpaceDN/>
        <w:adjustRightInd/>
        <w:jc w:val="both"/>
        <w:textAlignment w:val="auto"/>
      </w:pPr>
      <w:r w:rsidRPr="00B52367">
        <w:t xml:space="preserve">Can be operated as a single carrier (stand-alone) if the non-backwards compatibility originates from the duplex distance, or otherwise as a part of carrier aggregation. </w:t>
      </w:r>
    </w:p>
    <w:p w:rsidR="00B52367" w:rsidRPr="00B52367" w:rsidRDefault="00B52367" w:rsidP="00B52367">
      <w:pPr>
        <w:pStyle w:val="BodyText"/>
      </w:pPr>
      <w:r w:rsidRPr="00B52367">
        <w:rPr>
          <w:b/>
          <w:bCs/>
        </w:rPr>
        <w:t>Extension carrier</w:t>
      </w:r>
      <w:r w:rsidRPr="00B52367">
        <w:t xml:space="preserve">: </w:t>
      </w:r>
    </w:p>
    <w:p w:rsidR="00B52367" w:rsidRPr="00B52367" w:rsidRDefault="00B52367" w:rsidP="00B52367">
      <w:pPr>
        <w:pStyle w:val="BodyText"/>
        <w:numPr>
          <w:ilvl w:val="0"/>
          <w:numId w:val="35"/>
        </w:numPr>
        <w:overflowPunct/>
        <w:autoSpaceDE/>
        <w:autoSpaceDN/>
        <w:adjustRightInd/>
        <w:jc w:val="both"/>
        <w:textAlignment w:val="auto"/>
      </w:pPr>
      <w:r w:rsidRPr="00B52367">
        <w:t>If specified, a carrier that cannot be operated as a single carrier (stand-alone), but must be a part of a component carrier set where at least one of the carriers in the set is a stand-alone-capable carrier.</w:t>
      </w:r>
    </w:p>
    <w:p w:rsidR="00B52367" w:rsidRPr="00B52367" w:rsidRDefault="00B52367" w:rsidP="00B52367">
      <w:pPr>
        <w:pStyle w:val="BodyText"/>
        <w:rPr>
          <w:b/>
          <w:bCs/>
        </w:rPr>
      </w:pPr>
      <w:r w:rsidRPr="00B52367">
        <w:rPr>
          <w:b/>
          <w:bCs/>
        </w:rPr>
        <w:t>UE DL Component Carrier Set:</w:t>
      </w:r>
    </w:p>
    <w:p w:rsidR="00B52367" w:rsidRPr="00B52367" w:rsidRDefault="00B52367" w:rsidP="00B52367">
      <w:pPr>
        <w:pStyle w:val="BodyText"/>
        <w:numPr>
          <w:ilvl w:val="0"/>
          <w:numId w:val="35"/>
        </w:numPr>
        <w:overflowPunct/>
        <w:autoSpaceDE/>
        <w:autoSpaceDN/>
        <w:adjustRightInd/>
        <w:jc w:val="both"/>
        <w:textAlignment w:val="auto"/>
      </w:pPr>
      <w:r w:rsidRPr="00B52367">
        <w:t>The set of DL component carriers configured by dedicated signaling on which a UE may be scheduled to receive the PDSCH in the DL.</w:t>
      </w:r>
    </w:p>
    <w:p w:rsidR="00B52367" w:rsidRPr="00B52367" w:rsidRDefault="00B52367" w:rsidP="00B52367">
      <w:pPr>
        <w:pStyle w:val="BodyText"/>
        <w:rPr>
          <w:b/>
          <w:bCs/>
        </w:rPr>
      </w:pPr>
      <w:r w:rsidRPr="00B52367">
        <w:rPr>
          <w:b/>
          <w:bCs/>
        </w:rPr>
        <w:t xml:space="preserve">UE UL Component Carrier Set: </w:t>
      </w:r>
    </w:p>
    <w:p w:rsidR="00B52367" w:rsidRPr="00B52367" w:rsidRDefault="00B52367" w:rsidP="00B52367">
      <w:pPr>
        <w:pStyle w:val="BodyText"/>
        <w:numPr>
          <w:ilvl w:val="0"/>
          <w:numId w:val="35"/>
        </w:numPr>
        <w:overflowPunct/>
        <w:autoSpaceDE/>
        <w:autoSpaceDN/>
        <w:adjustRightInd/>
        <w:jc w:val="both"/>
        <w:textAlignment w:val="auto"/>
      </w:pPr>
      <w:r w:rsidRPr="00B52367">
        <w:t>The set of UL component carriers on which a UE may be scheduled to transmit the PUSCH in the UL.</w:t>
      </w:r>
    </w:p>
    <w:p w:rsidR="00B52367" w:rsidRPr="00B52367" w:rsidRDefault="00B52367" w:rsidP="00B52367">
      <w:pPr>
        <w:pStyle w:val="BodyText"/>
        <w:numPr>
          <w:ilvl w:val="0"/>
          <w:numId w:val="35"/>
        </w:numPr>
        <w:overflowPunct/>
        <w:autoSpaceDE/>
        <w:autoSpaceDN/>
        <w:adjustRightInd/>
        <w:jc w:val="both"/>
        <w:textAlignment w:val="auto"/>
      </w:pPr>
      <w:r w:rsidRPr="00B52367">
        <w:t>FFS whether the definition of the UL CC set will be needed in the specfications</w:t>
      </w:r>
    </w:p>
    <w:p w:rsidR="00A403E0" w:rsidRDefault="00A403E0" w:rsidP="00357E50">
      <w:bookmarkStart w:id="1" w:name="OLE_LINK3"/>
    </w:p>
    <w:bookmarkEnd w:id="1"/>
    <w:p w:rsidR="00A403E0" w:rsidRDefault="00BF44B8" w:rsidP="003C04C3">
      <w:pPr>
        <w:pStyle w:val="Heading1"/>
      </w:pPr>
      <w:r>
        <w:lastRenderedPageBreak/>
        <w:t>3</w:t>
      </w:r>
      <w:r w:rsidR="00C560D3">
        <w:tab/>
        <w:t>Possible Clarifications</w:t>
      </w:r>
    </w:p>
    <w:p w:rsidR="003C04C3" w:rsidRDefault="003C04C3" w:rsidP="008660C1"/>
    <w:p w:rsidR="00112AFA" w:rsidRDefault="00C7393F" w:rsidP="008660C1">
      <w:r>
        <w:t xml:space="preserve">The </w:t>
      </w:r>
      <w:r w:rsidR="00C61A1C">
        <w:rPr>
          <w:b/>
        </w:rPr>
        <w:t>Backward Compatible Carrier</w:t>
      </w:r>
      <w:r w:rsidR="00C61A1C">
        <w:t xml:space="preserve"> defines a LTE release 8 </w:t>
      </w:r>
      <w:r w:rsidR="00531B44">
        <w:t xml:space="preserve">compatible </w:t>
      </w:r>
      <w:r w:rsidR="00C61A1C">
        <w:t xml:space="preserve">carrier and the </w:t>
      </w:r>
      <w:r w:rsidR="00C61A1C">
        <w:rPr>
          <w:b/>
        </w:rPr>
        <w:t>Non-Backward Compatible Carrier</w:t>
      </w:r>
      <w:r w:rsidR="00C61A1C">
        <w:t xml:space="preserve"> defines a release 10 </w:t>
      </w:r>
      <w:r w:rsidR="00531B44">
        <w:t xml:space="preserve">compatilbe </w:t>
      </w:r>
      <w:r w:rsidR="00C61A1C">
        <w:t xml:space="preserve">carrier not available to earlier LTE releases. These definitions do not seem </w:t>
      </w:r>
      <w:r w:rsidR="00531B44">
        <w:t xml:space="preserve">to </w:t>
      </w:r>
      <w:r w:rsidR="00C61A1C">
        <w:t>leave any room for misunderstanding</w:t>
      </w:r>
      <w:r w:rsidR="00531B44">
        <w:t>,</w:t>
      </w:r>
      <w:r w:rsidR="00C61A1C">
        <w:t xml:space="preserve"> and should not </w:t>
      </w:r>
      <w:r w:rsidR="00A403E0">
        <w:t>need any further clarification</w:t>
      </w:r>
      <w:r w:rsidR="006830A2">
        <w:t>.</w:t>
      </w:r>
    </w:p>
    <w:p w:rsidR="0073705F" w:rsidRPr="0073705F" w:rsidRDefault="00C61A1C" w:rsidP="008660C1">
      <w:r>
        <w:t xml:space="preserve">The </w:t>
      </w:r>
      <w:r>
        <w:rPr>
          <w:b/>
        </w:rPr>
        <w:t xml:space="preserve">Extension Carrier </w:t>
      </w:r>
      <w:r>
        <w:t xml:space="preserve">definition is not so obvious. This carrier type </w:t>
      </w:r>
      <w:r w:rsidR="009200E2">
        <w:t xml:space="preserve">cannot be operated standalone, and requires </w:t>
      </w:r>
      <w:r w:rsidR="00531B44">
        <w:t xml:space="preserve">use of </w:t>
      </w:r>
      <w:r w:rsidR="009200E2">
        <w:t xml:space="preserve">an additional standalone capable carrier (i.e either a backward compatible or non-backward compatible carrier). This definition </w:t>
      </w:r>
      <w:r w:rsidR="00EB10FA">
        <w:t>is fine when considering only one UE, but is not complete</w:t>
      </w:r>
      <w:r w:rsidR="008E68E7">
        <w:t>. Can for example a particular component carrier be an Extension Carrier for one UE, but be a Backward Compatable or Non-Backward Compatable Carrier for another UE</w:t>
      </w:r>
      <w:r w:rsidR="00565FAE">
        <w:t>? This leads to two possible interpretations</w:t>
      </w:r>
      <w:r w:rsidR="00597D34">
        <w:t xml:space="preserve"> to choose from</w:t>
      </w:r>
      <w:r w:rsidR="003F7A00">
        <w:t>. Ou</w:t>
      </w:r>
      <w:r w:rsidR="00714134">
        <w:t>r understanding is alternative A is the correct interpretation</w:t>
      </w:r>
      <w:r w:rsidR="003F7A00">
        <w:t>, but this is not clear from the RAN1 definition.</w:t>
      </w:r>
    </w:p>
    <w:p w:rsidR="00AA60BB" w:rsidRPr="00AA60BB" w:rsidRDefault="00AA60BB" w:rsidP="008660C1">
      <w:r>
        <w:rPr>
          <w:b/>
        </w:rPr>
        <w:t xml:space="preserve">Clarification Proposal 1 (alternative </w:t>
      </w:r>
      <w:r w:rsidR="00714134">
        <w:rPr>
          <w:b/>
        </w:rPr>
        <w:t>A</w:t>
      </w:r>
      <w:r>
        <w:rPr>
          <w:b/>
        </w:rPr>
        <w:t xml:space="preserve">): </w:t>
      </w:r>
      <w:r>
        <w:t xml:space="preserve">A carrier configured as an </w:t>
      </w:r>
      <w:r>
        <w:rPr>
          <w:b/>
        </w:rPr>
        <w:t>Extension Carrier</w:t>
      </w:r>
      <w:r>
        <w:t xml:space="preserve"> is seen by all LTE-A UEs as an </w:t>
      </w:r>
      <w:r>
        <w:rPr>
          <w:b/>
        </w:rPr>
        <w:t>Extension Carrier.</w:t>
      </w:r>
      <w:r>
        <w:t xml:space="preserve"> </w:t>
      </w:r>
    </w:p>
    <w:p w:rsidR="0073705F" w:rsidRPr="0073705F" w:rsidRDefault="0073705F" w:rsidP="008660C1">
      <w:r>
        <w:rPr>
          <w:b/>
        </w:rPr>
        <w:t>Clarification Proposal 1</w:t>
      </w:r>
      <w:r w:rsidR="00A403E0">
        <w:rPr>
          <w:b/>
        </w:rPr>
        <w:t xml:space="preserve"> </w:t>
      </w:r>
      <w:r w:rsidR="005618CC">
        <w:rPr>
          <w:b/>
        </w:rPr>
        <w:t xml:space="preserve">(alternative </w:t>
      </w:r>
      <w:r w:rsidR="00714134">
        <w:rPr>
          <w:b/>
        </w:rPr>
        <w:t>B</w:t>
      </w:r>
      <w:r w:rsidR="005618CC">
        <w:rPr>
          <w:b/>
        </w:rPr>
        <w:t>)</w:t>
      </w:r>
      <w:r>
        <w:rPr>
          <w:b/>
        </w:rPr>
        <w:t xml:space="preserve">: </w:t>
      </w:r>
      <w:r w:rsidR="00565FAE">
        <w:t xml:space="preserve">An </w:t>
      </w:r>
      <w:r w:rsidR="00565FAE">
        <w:rPr>
          <w:b/>
        </w:rPr>
        <w:t>Extension Carrier</w:t>
      </w:r>
      <w:r w:rsidR="00565FAE">
        <w:t xml:space="preserve"> of one </w:t>
      </w:r>
      <w:r w:rsidR="003F7A00">
        <w:t xml:space="preserve">LTE-A </w:t>
      </w:r>
      <w:r w:rsidR="00565FAE">
        <w:t xml:space="preserve">UE may be a </w:t>
      </w:r>
      <w:r w:rsidR="00565FAE">
        <w:rPr>
          <w:b/>
        </w:rPr>
        <w:t>Backward Compatible</w:t>
      </w:r>
      <w:r w:rsidR="00565FAE">
        <w:t xml:space="preserve"> or </w:t>
      </w:r>
      <w:r w:rsidR="00565FAE">
        <w:rPr>
          <w:b/>
        </w:rPr>
        <w:t xml:space="preserve">Non-Backward Compatible </w:t>
      </w:r>
      <w:r w:rsidR="00565FAE">
        <w:t>carrier of another UE.</w:t>
      </w:r>
    </w:p>
    <w:p w:rsidR="003F7A00" w:rsidRDefault="003F7A00" w:rsidP="008660C1"/>
    <w:p w:rsidR="00DD246F" w:rsidRDefault="0073705F" w:rsidP="008660C1">
      <w:r>
        <w:t xml:space="preserve">RAN1 has also defined a </w:t>
      </w:r>
      <w:r>
        <w:rPr>
          <w:b/>
        </w:rPr>
        <w:t>UE DL Component Carrier Set</w:t>
      </w:r>
      <w:r>
        <w:t xml:space="preserve"> as the set of component carriers that a UE may </w:t>
      </w:r>
      <w:r w:rsidR="00565FAE">
        <w:t>receive PDSCH.</w:t>
      </w:r>
      <w:r w:rsidR="004B2F5F">
        <w:t xml:space="preserve"> </w:t>
      </w:r>
      <w:r w:rsidR="00DD246F">
        <w:t xml:space="preserve">This may be the complete set of DL component </w:t>
      </w:r>
      <w:r w:rsidR="003C27BA">
        <w:t xml:space="preserve">carriers a UE is configured to receive. </w:t>
      </w:r>
      <w:r w:rsidR="00597D34">
        <w:t>But i</w:t>
      </w:r>
      <w:r w:rsidR="003C27BA">
        <w:t xml:space="preserve">t may also be possible that PDCCH is configured for a UE </w:t>
      </w:r>
      <w:r w:rsidR="00C560D3">
        <w:t xml:space="preserve">on a component carrier that is not used for </w:t>
      </w:r>
      <w:r w:rsidR="005618CC">
        <w:t xml:space="preserve">PDSCH </w:t>
      </w:r>
      <w:r w:rsidR="00C560D3">
        <w:t>reception.</w:t>
      </w:r>
      <w:r w:rsidR="00714134">
        <w:t xml:space="preserve"> Both of these understandings are possible from the RAN1 definition. Our understanding is alternative A is the correct interpretation, but this is not clear from the RAN1 definition.  </w:t>
      </w:r>
    </w:p>
    <w:p w:rsidR="00714134" w:rsidRDefault="00714134" w:rsidP="00714134">
      <w:pPr>
        <w:rPr>
          <w:b/>
        </w:rPr>
      </w:pPr>
      <w:r>
        <w:rPr>
          <w:b/>
        </w:rPr>
        <w:t>Clarification Proposal 2 (alternative A):</w:t>
      </w:r>
      <w:r>
        <w:t xml:space="preserve"> A UE may be configured for PDCCH reception on a component carrier not part of the </w:t>
      </w:r>
      <w:r>
        <w:rPr>
          <w:b/>
        </w:rPr>
        <w:t>UE DL Component Carrier Set.</w:t>
      </w:r>
    </w:p>
    <w:p w:rsidR="0073705F" w:rsidRDefault="00714134" w:rsidP="008660C1">
      <w:r>
        <w:rPr>
          <w:b/>
        </w:rPr>
        <w:t>Clarification Proposal 2 (alternative B)</w:t>
      </w:r>
      <w:r w:rsidR="00DD246F">
        <w:rPr>
          <w:b/>
        </w:rPr>
        <w:t>:</w:t>
      </w:r>
      <w:r w:rsidR="00DD246F">
        <w:t xml:space="preserve"> The </w:t>
      </w:r>
      <w:r w:rsidR="00DD246F">
        <w:rPr>
          <w:b/>
        </w:rPr>
        <w:t xml:space="preserve">UE DL Component Carrier Set </w:t>
      </w:r>
      <w:r w:rsidR="00DD246F">
        <w:t xml:space="preserve">comprises the </w:t>
      </w:r>
      <w:r w:rsidR="003C27BA">
        <w:t xml:space="preserve">full set of DL component carriers </w:t>
      </w:r>
      <w:r w:rsidR="00C560D3">
        <w:t>a UE receives.</w:t>
      </w:r>
    </w:p>
    <w:p w:rsidR="003C04C3" w:rsidRPr="00714134" w:rsidRDefault="003C04C3" w:rsidP="008660C1">
      <w:pPr>
        <w:rPr>
          <w:b/>
        </w:rPr>
      </w:pPr>
    </w:p>
    <w:p w:rsidR="00C560D3" w:rsidRDefault="00A75800" w:rsidP="00C560D3">
      <w:pPr>
        <w:pStyle w:val="Heading1"/>
      </w:pPr>
      <w:r>
        <w:t>3</w:t>
      </w:r>
      <w:r w:rsidR="00C560D3" w:rsidRPr="00711E13">
        <w:tab/>
      </w:r>
      <w:r w:rsidR="00C560D3">
        <w:t>Additional Terminology</w:t>
      </w:r>
      <w:r w:rsidR="00496673">
        <w:t xml:space="preserve"> and Clarifications</w:t>
      </w:r>
    </w:p>
    <w:p w:rsidR="00714134" w:rsidRPr="00714134" w:rsidRDefault="00714134" w:rsidP="00714134">
      <w:pPr>
        <w:rPr>
          <w:i/>
        </w:rPr>
      </w:pPr>
      <w:r>
        <w:t xml:space="preserve">For functions such as DRX it would be useful to define the set of component carriers for which a UE is configured to receive PDCCH. </w:t>
      </w:r>
      <w:r w:rsidRPr="00714134">
        <w:t>Since the eNB performs dynamic scheduling (UL grants and DL assignments) by utilizing the PDCCH we recommend the adoption of the term “Scheduling Carrier Set” to refer to the set of component carriers a UE is configured to receive PDCCH from.</w:t>
      </w:r>
    </w:p>
    <w:p w:rsidR="00714134" w:rsidRDefault="00714134" w:rsidP="00714134">
      <w:r>
        <w:rPr>
          <w:b/>
        </w:rPr>
        <w:t>Proposal 3</w:t>
      </w:r>
      <w:r w:rsidRPr="005626FD">
        <w:rPr>
          <w:b/>
        </w:rPr>
        <w:t xml:space="preserve">: </w:t>
      </w:r>
      <w:r w:rsidRPr="005626FD">
        <w:t xml:space="preserve">Terminology </w:t>
      </w:r>
      <w:r>
        <w:t>needs to</w:t>
      </w:r>
      <w:r w:rsidRPr="005626FD">
        <w:t xml:space="preserve"> be defined for the set of component carriers a UE is configured to receive PDCCH</w:t>
      </w:r>
      <w:r>
        <w:t xml:space="preserve"> from (e.g. “Scheduling Carrier Set”)</w:t>
      </w:r>
      <w:r w:rsidRPr="005626FD">
        <w:t>.</w:t>
      </w:r>
    </w:p>
    <w:p w:rsidR="00915E8E" w:rsidRDefault="00915E8E" w:rsidP="00915E8E"/>
    <w:p w:rsidR="00915E8E" w:rsidRDefault="00915E8E" w:rsidP="00915E8E">
      <w:r>
        <w:t>Similarly, terminology could be defined for the set of component carriers a UE is configured to transmit PUCCH on, unless RAN2 determines that the most efficient configuration would be to have all PUCCH reporting from a common UL carrier.</w:t>
      </w:r>
    </w:p>
    <w:p w:rsidR="00714134" w:rsidRPr="00BD63D0" w:rsidRDefault="00BD63D0" w:rsidP="00D4145F">
      <w:r>
        <w:rPr>
          <w:b/>
        </w:rPr>
        <w:t xml:space="preserve">Proposal 4: </w:t>
      </w:r>
      <w:r>
        <w:t>RAN2 should consider the need to define terminology for the set of Conponent Carriers a UE is configured to transmit PUCCH on (e.g. “Reporting Carrier Set”).</w:t>
      </w:r>
    </w:p>
    <w:p w:rsidR="003C04C3" w:rsidRDefault="003C04C3" w:rsidP="00D4145F"/>
    <w:p w:rsidR="0034658F" w:rsidRDefault="0034658F" w:rsidP="00D4145F">
      <w:r>
        <w:t xml:space="preserve">In RAN2 among other terms we have also </w:t>
      </w:r>
      <w:r w:rsidR="009A3480">
        <w:t xml:space="preserve">discussed and </w:t>
      </w:r>
      <w:r>
        <w:t>reviewed the notions of “cell” and “carrier” [5].</w:t>
      </w:r>
    </w:p>
    <w:p w:rsidR="003C04C3" w:rsidRDefault="009A3480" w:rsidP="00D4145F">
      <w:r>
        <w:t xml:space="preserve">With respect to the definition of “Cell”, we believe </w:t>
      </w:r>
      <w:r w:rsidR="009D1CA9">
        <w:t>(</w:t>
      </w:r>
      <w:r w:rsidR="003C04C3">
        <w:t>as in [3</w:t>
      </w:r>
      <w:r>
        <w:t>]</w:t>
      </w:r>
      <w:r w:rsidR="009D1CA9">
        <w:t>)</w:t>
      </w:r>
      <w:r>
        <w:t xml:space="preserve"> that there is no need to modify the terminology or add new terminology </w:t>
      </w:r>
      <w:r w:rsidR="009D1CA9">
        <w:t>(</w:t>
      </w:r>
      <w:r>
        <w:t>over what is currently in 21.905</w:t>
      </w:r>
      <w:r w:rsidR="009D1CA9">
        <w:t xml:space="preserve">) because of carrier aggregation. Thus a cell can remain </w:t>
      </w:r>
      <w:r>
        <w:t>a “network object that can be uniquely identified by a UE from an identification that is broadcasted</w:t>
      </w:r>
      <w:r w:rsidR="009D1CA9">
        <w:t xml:space="preserve"> over a geographical area”.</w:t>
      </w:r>
    </w:p>
    <w:p w:rsidR="003C04C3" w:rsidRDefault="003C04C3" w:rsidP="00D4145F"/>
    <w:p w:rsidR="00496673" w:rsidRDefault="00496673" w:rsidP="00D4145F">
      <w:r>
        <w:t xml:space="preserve">The concept of “Component carrier” is currently not explicitly defined in </w:t>
      </w:r>
      <w:r w:rsidR="000956F3">
        <w:t xml:space="preserve">21.905 or </w:t>
      </w:r>
      <w:r>
        <w:t>36.912</w:t>
      </w:r>
      <w:r w:rsidR="00086B7D">
        <w:t xml:space="preserve"> – other than to say that each component carrier is limited to a maximum of 110 Resource Blocks. </w:t>
      </w:r>
      <w:r w:rsidR="000956F3">
        <w:t xml:space="preserve">A carrier is traditionally defined as a “modulated waveform” (i.e., a signal), but in the context of 3GPP is more often understood as the contiguous part of the spectrum utilized by this signal. </w:t>
      </w:r>
      <w:r w:rsidR="00086B7D">
        <w:t xml:space="preserve">With this is </w:t>
      </w:r>
      <w:r w:rsidR="000956F3">
        <w:t xml:space="preserve">understanding </w:t>
      </w:r>
      <w:r w:rsidR="00086B7D">
        <w:t xml:space="preserve">it can be considered that a Cell provides a network connection to a UE by </w:t>
      </w:r>
      <w:r w:rsidR="00830CBF">
        <w:t>assigning resources over one or many component carriers.</w:t>
      </w:r>
    </w:p>
    <w:p w:rsidR="00830CBF" w:rsidRDefault="00830CBF" w:rsidP="009A3480">
      <w:r>
        <w:t>In RAN2#66 it has been agreed that “R8 idle mode mobility seems to provide a feasible approach for idle mobility also in a network deploying carrier aggregation”. In R8, idle mode mobility</w:t>
      </w:r>
      <w:r w:rsidR="005338D4">
        <w:t xml:space="preserve"> relies on the UE acquiring the (unique) identity of a </w:t>
      </w:r>
      <w:r w:rsidR="009157BB">
        <w:t xml:space="preserve">unique </w:t>
      </w:r>
      <w:r w:rsidR="005338D4">
        <w:t xml:space="preserve">cell from a single carrier. It seems that allowing a UE to </w:t>
      </w:r>
      <w:r w:rsidR="00F62592">
        <w:t xml:space="preserve">either </w:t>
      </w:r>
      <w:r w:rsidR="005338D4">
        <w:t>acquire the identity of a s</w:t>
      </w:r>
      <w:r w:rsidR="009157BB">
        <w:t xml:space="preserve">ame cell from multiple carriers, or acquiring the identity of multiple cells from a single carrier, </w:t>
      </w:r>
      <w:r w:rsidR="005338D4">
        <w:t xml:space="preserve">would constitute a significant departure from R8 idle mode mobility. </w:t>
      </w:r>
      <w:r w:rsidR="009157BB">
        <w:t xml:space="preserve">Thus we believe that </w:t>
      </w:r>
      <w:r w:rsidR="005338D4">
        <w:t>natural consequence</w:t>
      </w:r>
      <w:r w:rsidR="009157BB">
        <w:t>s</w:t>
      </w:r>
      <w:r w:rsidR="005338D4">
        <w:t xml:space="preserve"> </w:t>
      </w:r>
      <w:r w:rsidR="009157BB">
        <w:t>are</w:t>
      </w:r>
      <w:r w:rsidR="005338D4">
        <w:t xml:space="preserve"> the following:</w:t>
      </w:r>
    </w:p>
    <w:p w:rsidR="005338D4" w:rsidRDefault="009D6496" w:rsidP="009A3480">
      <w:r w:rsidRPr="009D6496">
        <w:rPr>
          <w:b/>
        </w:rPr>
        <w:t xml:space="preserve">Clarification proposal </w:t>
      </w:r>
      <w:r w:rsidR="006D3F5D">
        <w:rPr>
          <w:b/>
        </w:rPr>
        <w:t>5</w:t>
      </w:r>
      <w:r w:rsidR="005338D4">
        <w:t>: A cell broadcasts its identity on a single component carrier</w:t>
      </w:r>
    </w:p>
    <w:p w:rsidR="005338D4" w:rsidRDefault="009D6496" w:rsidP="009A3480">
      <w:r w:rsidRPr="009D6496">
        <w:rPr>
          <w:b/>
        </w:rPr>
        <w:t xml:space="preserve">Clarification proposal </w:t>
      </w:r>
      <w:r w:rsidR="006D3F5D">
        <w:rPr>
          <w:b/>
        </w:rPr>
        <w:t>6</w:t>
      </w:r>
      <w:r w:rsidR="005338D4">
        <w:t xml:space="preserve">: A component carrier </w:t>
      </w:r>
      <w:r w:rsidR="006D3F5D">
        <w:t>may</w:t>
      </w:r>
      <w:r w:rsidR="005338D4">
        <w:t xml:space="preserve"> broadcast the identity of at most 1 cell</w:t>
      </w:r>
    </w:p>
    <w:p w:rsidR="003C04C3" w:rsidRDefault="003C04C3" w:rsidP="009A3480"/>
    <w:p w:rsidR="00A75883" w:rsidRDefault="00F62592" w:rsidP="009A3480">
      <w:r>
        <w:t>Once the UE is in connected mode</w:t>
      </w:r>
      <w:r w:rsidR="007478A0">
        <w:t xml:space="preserve"> and configured for</w:t>
      </w:r>
      <w:r>
        <w:t xml:space="preserve"> Carrier Aggregation </w:t>
      </w:r>
      <w:r w:rsidR="007478A0">
        <w:t>it is necessary to</w:t>
      </w:r>
      <w:r>
        <w:t xml:space="preserve"> make assignment of resources on multiple component carriers. A question that may arise is whether </w:t>
      </w:r>
      <w:r w:rsidR="00B607CE">
        <w:t xml:space="preserve">or not it is allowed that each of these multiple </w:t>
      </w:r>
      <w:r w:rsidR="00A75883">
        <w:t>component carriers</w:t>
      </w:r>
      <w:r w:rsidR="00B607CE">
        <w:t xml:space="preserve"> broadcast</w:t>
      </w:r>
      <w:r w:rsidR="00A75883">
        <w:t>s</w:t>
      </w:r>
      <w:r w:rsidR="00B607CE">
        <w:t xml:space="preserve"> the identity of a different cell. It seems that there would be no </w:t>
      </w:r>
      <w:r w:rsidR="00A75883">
        <w:t>benefit in imposing this</w:t>
      </w:r>
      <w:r w:rsidR="00B607CE">
        <w:t xml:space="preserve"> restric</w:t>
      </w:r>
      <w:r w:rsidR="00A75883">
        <w:t>tion</w:t>
      </w:r>
      <w:r w:rsidR="00B607CE">
        <w:t xml:space="preserve">. </w:t>
      </w:r>
    </w:p>
    <w:p w:rsidR="00A75883" w:rsidRDefault="00A75883" w:rsidP="009A3480">
      <w:r>
        <w:t>For instance, if Cell A broadcasts its identity on Carrier f1, and Cell B broadcasts its identity of Carrier f2, a UE connected to Cell A may be assigned resources on Carrier f2, while another UE connected to Cell B may be assigned resources on Carrier f1.</w:t>
      </w:r>
    </w:p>
    <w:p w:rsidR="00B607CE" w:rsidRDefault="00B607CE" w:rsidP="009A3480">
      <w:r>
        <w:t>Thus we propose to confirm that:</w:t>
      </w:r>
    </w:p>
    <w:p w:rsidR="00B607CE" w:rsidRDefault="009D6496" w:rsidP="009A3480">
      <w:r w:rsidRPr="009D6496">
        <w:rPr>
          <w:b/>
        </w:rPr>
        <w:t xml:space="preserve">Clarification proposal </w:t>
      </w:r>
      <w:r w:rsidR="007478A0">
        <w:rPr>
          <w:b/>
        </w:rPr>
        <w:t>7</w:t>
      </w:r>
      <w:r w:rsidR="00B607CE">
        <w:t xml:space="preserve">: In connected mode, a </w:t>
      </w:r>
      <w:r w:rsidR="00E50CFF">
        <w:t>C</w:t>
      </w:r>
      <w:r w:rsidR="00B607CE">
        <w:t xml:space="preserve">ell may assign resources to a UE on a component carrier broadcasting the identity of a different </w:t>
      </w:r>
      <w:r w:rsidR="00E50CFF">
        <w:t>C</w:t>
      </w:r>
      <w:r w:rsidR="00B607CE">
        <w:t>ell.</w:t>
      </w:r>
    </w:p>
    <w:p w:rsidR="008C5A55" w:rsidRPr="008C5A55" w:rsidRDefault="008C5A55" w:rsidP="009A3480">
      <w:r>
        <w:rPr>
          <w:b/>
        </w:rPr>
        <w:t>Clarification proposal 8:</w:t>
      </w:r>
      <w:r>
        <w:t xml:space="preserve"> When a UE is in connected mode has assigned resources on multiple component carriers, from a UE perspective all of these component carriers are considered to be part of a common cell.</w:t>
      </w:r>
    </w:p>
    <w:p w:rsidR="008C5A55" w:rsidRDefault="008C5A55" w:rsidP="009A3480"/>
    <w:p w:rsidR="00842869" w:rsidRDefault="00AC7AE6" w:rsidP="004F349C">
      <w:pPr>
        <w:pStyle w:val="Heading1"/>
      </w:pPr>
      <w:r>
        <w:t>4</w:t>
      </w:r>
      <w:r w:rsidR="0034111C" w:rsidRPr="00711E13">
        <w:tab/>
      </w:r>
      <w:r w:rsidR="005307D9">
        <w:t>Conclusions and Recommendations</w:t>
      </w:r>
      <w:r w:rsidR="00AC7091">
        <w:t xml:space="preserve"> </w:t>
      </w:r>
    </w:p>
    <w:p w:rsidR="00A47B1B" w:rsidRDefault="00A47B1B" w:rsidP="00357E50">
      <w:r>
        <w:t>The following clarifications and terminology are proposed in this contribution:</w:t>
      </w:r>
    </w:p>
    <w:p w:rsidR="003C04C3" w:rsidRPr="00AA60BB" w:rsidRDefault="003C04C3" w:rsidP="003C04C3">
      <w:r>
        <w:rPr>
          <w:b/>
        </w:rPr>
        <w:t xml:space="preserve">Clarification Proposal 1 (alternative A): </w:t>
      </w:r>
      <w:r>
        <w:t xml:space="preserve">A carrier configured as an </w:t>
      </w:r>
      <w:r>
        <w:rPr>
          <w:b/>
        </w:rPr>
        <w:t>Extension Carrier</w:t>
      </w:r>
      <w:r>
        <w:t xml:space="preserve"> is seen by all LTE-A UEs as an </w:t>
      </w:r>
      <w:r>
        <w:rPr>
          <w:b/>
        </w:rPr>
        <w:t>Extension Carrier.</w:t>
      </w:r>
      <w:r>
        <w:t xml:space="preserve"> </w:t>
      </w:r>
    </w:p>
    <w:p w:rsidR="003C04C3" w:rsidRPr="0073705F" w:rsidRDefault="003C04C3" w:rsidP="003C04C3">
      <w:r>
        <w:rPr>
          <w:b/>
        </w:rPr>
        <w:t xml:space="preserve">Clarification Proposal 1 (alternative B): </w:t>
      </w:r>
      <w:r>
        <w:t xml:space="preserve">An </w:t>
      </w:r>
      <w:r>
        <w:rPr>
          <w:b/>
        </w:rPr>
        <w:t>Extension Carrier</w:t>
      </w:r>
      <w:r>
        <w:t xml:space="preserve"> of one LTE-A UE may be a </w:t>
      </w:r>
      <w:r>
        <w:rPr>
          <w:b/>
        </w:rPr>
        <w:t>Backward Compatible</w:t>
      </w:r>
      <w:r>
        <w:t xml:space="preserve"> or </w:t>
      </w:r>
      <w:r>
        <w:rPr>
          <w:b/>
        </w:rPr>
        <w:t xml:space="preserve">Non-Backward Compatible </w:t>
      </w:r>
      <w:r>
        <w:t>carrier of another UE.</w:t>
      </w:r>
    </w:p>
    <w:p w:rsidR="003C04C3" w:rsidRDefault="003C04C3" w:rsidP="003C04C3">
      <w:pPr>
        <w:rPr>
          <w:b/>
        </w:rPr>
      </w:pPr>
      <w:r>
        <w:rPr>
          <w:b/>
        </w:rPr>
        <w:t>Clarification Proposal 2 (alternative A):</w:t>
      </w:r>
      <w:r>
        <w:t xml:space="preserve"> A UE may be configured for PDCCH reception on a component carrier not part of the </w:t>
      </w:r>
      <w:r>
        <w:rPr>
          <w:b/>
        </w:rPr>
        <w:t>UE DL Component Carrier Set.</w:t>
      </w:r>
    </w:p>
    <w:p w:rsidR="003C04C3" w:rsidRPr="00714134" w:rsidRDefault="003C04C3" w:rsidP="003C04C3">
      <w:pPr>
        <w:rPr>
          <w:b/>
        </w:rPr>
      </w:pPr>
      <w:r>
        <w:rPr>
          <w:b/>
        </w:rPr>
        <w:t>Clarification Proposal 2 (alternative B):</w:t>
      </w:r>
      <w:r>
        <w:t xml:space="preserve"> The </w:t>
      </w:r>
      <w:r>
        <w:rPr>
          <w:b/>
        </w:rPr>
        <w:t xml:space="preserve">UE DL Component Carrier Set </w:t>
      </w:r>
      <w:r>
        <w:t>comprises the full set of DL component carriers a UE receives.</w:t>
      </w:r>
    </w:p>
    <w:p w:rsidR="003C04C3" w:rsidRDefault="003C04C3" w:rsidP="003C04C3">
      <w:r>
        <w:rPr>
          <w:b/>
        </w:rPr>
        <w:t>Proposal 3</w:t>
      </w:r>
      <w:r w:rsidRPr="005626FD">
        <w:rPr>
          <w:b/>
        </w:rPr>
        <w:t xml:space="preserve">: </w:t>
      </w:r>
      <w:r w:rsidRPr="005626FD">
        <w:t xml:space="preserve">Terminology </w:t>
      </w:r>
      <w:r>
        <w:t>needs to</w:t>
      </w:r>
      <w:r w:rsidRPr="005626FD">
        <w:t xml:space="preserve"> be defined for the set of component carriers a UE is configured to receive PDCCH</w:t>
      </w:r>
      <w:r>
        <w:t xml:space="preserve"> from (e.g. “Scheduling Carrier Set”)</w:t>
      </w:r>
      <w:r w:rsidRPr="005626FD">
        <w:t>.</w:t>
      </w:r>
    </w:p>
    <w:p w:rsidR="003C04C3" w:rsidRPr="00BD63D0" w:rsidRDefault="003C04C3" w:rsidP="003C04C3">
      <w:r>
        <w:rPr>
          <w:b/>
        </w:rPr>
        <w:t xml:space="preserve">Proposal 4: </w:t>
      </w:r>
      <w:r>
        <w:t>RAN2 should consider the need to define terminology for the set of Conponent Carriers a UE is configured to transmit PUCCH on (e.g. “Reporting Carrier Set”).</w:t>
      </w:r>
    </w:p>
    <w:p w:rsidR="003C04C3" w:rsidRDefault="003C04C3" w:rsidP="003C04C3">
      <w:r w:rsidRPr="009D6496">
        <w:rPr>
          <w:b/>
        </w:rPr>
        <w:t xml:space="preserve">Clarification proposal </w:t>
      </w:r>
      <w:r>
        <w:rPr>
          <w:b/>
        </w:rPr>
        <w:t>5</w:t>
      </w:r>
      <w:r>
        <w:t>: A cell broadcasts its identity on a single component carrier</w:t>
      </w:r>
    </w:p>
    <w:p w:rsidR="00A47B1B" w:rsidRDefault="003C04C3" w:rsidP="003C04C3">
      <w:r w:rsidRPr="009D6496">
        <w:rPr>
          <w:b/>
        </w:rPr>
        <w:t xml:space="preserve">Clarification proposal </w:t>
      </w:r>
      <w:r>
        <w:rPr>
          <w:b/>
        </w:rPr>
        <w:t>6</w:t>
      </w:r>
      <w:r>
        <w:t>: A component carrier may broadcast the identity of at most 1 cell</w:t>
      </w:r>
    </w:p>
    <w:p w:rsidR="003C04C3" w:rsidRDefault="003C04C3" w:rsidP="003C04C3">
      <w:r w:rsidRPr="009D6496">
        <w:rPr>
          <w:b/>
        </w:rPr>
        <w:t xml:space="preserve">Clarification proposal </w:t>
      </w:r>
      <w:r>
        <w:rPr>
          <w:b/>
        </w:rPr>
        <w:t>7</w:t>
      </w:r>
      <w:r>
        <w:t>: In connected mode, a Cell may assign resources to a UE on a component carrier broadcasting the identity of a different Cell.</w:t>
      </w:r>
    </w:p>
    <w:p w:rsidR="003C04C3" w:rsidRPr="008C5A55" w:rsidRDefault="003C04C3" w:rsidP="003C04C3">
      <w:r>
        <w:rPr>
          <w:b/>
        </w:rPr>
        <w:t>Clarification proposal 8:</w:t>
      </w:r>
      <w:r>
        <w:t xml:space="preserve"> When a UE is in connected mode has assigned resources on multiple component carriers, from a UE perspective all of these component carriers are considered to be part of a common cell.</w:t>
      </w:r>
    </w:p>
    <w:p w:rsidR="003C04C3" w:rsidRPr="00446C19" w:rsidRDefault="003C04C3" w:rsidP="003C04C3"/>
    <w:p w:rsidR="0034111C" w:rsidRPr="00711E13" w:rsidRDefault="0034111C" w:rsidP="009A1645">
      <w:pPr>
        <w:pStyle w:val="Heading1"/>
      </w:pPr>
      <w:r w:rsidRPr="00711E13">
        <w:t>References</w:t>
      </w:r>
    </w:p>
    <w:p w:rsidR="00695076" w:rsidRPr="00695076" w:rsidRDefault="00695076" w:rsidP="000823EF">
      <w:pPr>
        <w:numPr>
          <w:ilvl w:val="0"/>
          <w:numId w:val="1"/>
        </w:numPr>
      </w:pPr>
      <w:r w:rsidRPr="00695076">
        <w:t>R1-</w:t>
      </w:r>
      <w:r w:rsidRPr="00695076">
        <w:rPr>
          <w:bCs/>
        </w:rPr>
        <w:t>092575</w:t>
      </w:r>
      <w:r w:rsidR="001B750E">
        <w:t xml:space="preserve">  </w:t>
      </w:r>
      <w:r w:rsidRPr="00695076">
        <w:t>Summary of email discussion on carrier aggregation terminology</w:t>
      </w:r>
      <w:r>
        <w:t>, Nokia</w:t>
      </w:r>
      <w:r w:rsidRPr="00695076">
        <w:t xml:space="preserve">     </w:t>
      </w:r>
    </w:p>
    <w:p w:rsidR="008660C1" w:rsidRDefault="00695076" w:rsidP="000823EF">
      <w:pPr>
        <w:numPr>
          <w:ilvl w:val="0"/>
          <w:numId w:val="1"/>
        </w:numPr>
      </w:pPr>
      <w:r>
        <w:t>RAN1_57bis Chairman Notes</w:t>
      </w:r>
    </w:p>
    <w:p w:rsidR="00A52649" w:rsidRDefault="00A52649" w:rsidP="003C04C3">
      <w:pPr>
        <w:numPr>
          <w:ilvl w:val="0"/>
          <w:numId w:val="1"/>
        </w:numPr>
      </w:pPr>
      <w:r>
        <w:t>R2-093814</w:t>
      </w:r>
      <w:r>
        <w:tab/>
        <w:t>Carrier aggregation: Scenarios and terminology issues</w:t>
      </w:r>
      <w:r>
        <w:tab/>
        <w:t>Ericsson</w:t>
      </w:r>
    </w:p>
    <w:sectPr w:rsidR="00A52649" w:rsidSect="00184CF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17EC" w:rsidRDefault="008E17EC">
      <w:r>
        <w:separator/>
      </w:r>
    </w:p>
  </w:endnote>
  <w:endnote w:type="continuationSeparator" w:id="1">
    <w:p w:rsidR="008E17EC" w:rsidRDefault="008E17E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imSun">
    <w:altName w:val="Arial Unicode MS"/>
    <w:panose1 w:val="02010600030101010101"/>
    <w:charset w:val="86"/>
    <w:family w:val="auto"/>
    <w:notTrueType/>
    <w:pitch w:val="variable"/>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17EC" w:rsidRDefault="008E17EC">
      <w:r>
        <w:separator/>
      </w:r>
    </w:p>
  </w:footnote>
  <w:footnote w:type="continuationSeparator" w:id="1">
    <w:p w:rsidR="008E17EC" w:rsidRDefault="008E17E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F822032"/>
    <w:lvl w:ilvl="0">
      <w:numFmt w:val="decimal"/>
      <w:lvlText w:val="*"/>
      <w:lvlJc w:val="left"/>
    </w:lvl>
  </w:abstractNum>
  <w:abstractNum w:abstractNumId="1">
    <w:nsid w:val="0A744644"/>
    <w:multiLevelType w:val="hybridMultilevel"/>
    <w:tmpl w:val="CE481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FD7F90"/>
    <w:multiLevelType w:val="hybridMultilevel"/>
    <w:tmpl w:val="0C64B10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F10934"/>
    <w:multiLevelType w:val="hybridMultilevel"/>
    <w:tmpl w:val="9B106486"/>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2CF31D0"/>
    <w:multiLevelType w:val="hybridMultilevel"/>
    <w:tmpl w:val="5B041206"/>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13D87E0B"/>
    <w:multiLevelType w:val="singleLevel"/>
    <w:tmpl w:val="0C09000F"/>
    <w:lvl w:ilvl="0">
      <w:start w:val="1"/>
      <w:numFmt w:val="decimal"/>
      <w:lvlText w:val="%1."/>
      <w:lvlJc w:val="left"/>
      <w:pPr>
        <w:tabs>
          <w:tab w:val="num" w:pos="360"/>
        </w:tabs>
        <w:ind w:left="360" w:hanging="360"/>
      </w:pPr>
    </w:lvl>
  </w:abstractNum>
  <w:abstractNum w:abstractNumId="6">
    <w:nsid w:val="144B3BAB"/>
    <w:multiLevelType w:val="hybridMultilevel"/>
    <w:tmpl w:val="8D44EB2E"/>
    <w:lvl w:ilvl="0" w:tplc="D4FA15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5895D38"/>
    <w:multiLevelType w:val="hybridMultilevel"/>
    <w:tmpl w:val="E8A23EF2"/>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A0437AE"/>
    <w:multiLevelType w:val="hybridMultilevel"/>
    <w:tmpl w:val="E5E62BE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1B8323AB"/>
    <w:multiLevelType w:val="hybridMultilevel"/>
    <w:tmpl w:val="1C80D3E8"/>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0">
    <w:nsid w:val="1DDD5517"/>
    <w:multiLevelType w:val="hybridMultilevel"/>
    <w:tmpl w:val="32D0C47E"/>
    <w:lvl w:ilvl="0" w:tplc="E05851C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C258DB"/>
    <w:multiLevelType w:val="hybridMultilevel"/>
    <w:tmpl w:val="47F4AB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6CB70DA"/>
    <w:multiLevelType w:val="hybridMultilevel"/>
    <w:tmpl w:val="61FEBF7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A070AFB"/>
    <w:multiLevelType w:val="singleLevel"/>
    <w:tmpl w:val="D9E0DEA2"/>
    <w:lvl w:ilvl="0">
      <w:start w:val="1"/>
      <w:numFmt w:val="decimal"/>
      <w:lvlText w:val="[%1]"/>
      <w:legacy w:legacy="1" w:legacySpace="113" w:legacyIndent="397"/>
      <w:lvlJc w:val="left"/>
      <w:pPr>
        <w:ind w:left="397" w:hanging="397"/>
      </w:pPr>
    </w:lvl>
  </w:abstractNum>
  <w:abstractNum w:abstractNumId="14">
    <w:nsid w:val="2A2506B7"/>
    <w:multiLevelType w:val="hybridMultilevel"/>
    <w:tmpl w:val="8CC26DC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B3E2C30"/>
    <w:multiLevelType w:val="hybridMultilevel"/>
    <w:tmpl w:val="F744B120"/>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42164A"/>
    <w:multiLevelType w:val="singleLevel"/>
    <w:tmpl w:val="96665D84"/>
    <w:lvl w:ilvl="0">
      <w:start w:val="1"/>
      <w:numFmt w:val="decimal"/>
      <w:lvlText w:val="%1)"/>
      <w:legacy w:legacy="1" w:legacySpace="0" w:legacyIndent="283"/>
      <w:lvlJc w:val="left"/>
      <w:pPr>
        <w:ind w:left="850" w:hanging="283"/>
      </w:pPr>
    </w:lvl>
  </w:abstractNum>
  <w:abstractNum w:abstractNumId="17">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368B2C93"/>
    <w:multiLevelType w:val="hybridMultilevel"/>
    <w:tmpl w:val="62A614C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9BF055E"/>
    <w:multiLevelType w:val="singleLevel"/>
    <w:tmpl w:val="96665D84"/>
    <w:lvl w:ilvl="0">
      <w:start w:val="1"/>
      <w:numFmt w:val="decimal"/>
      <w:lvlText w:val="%1)"/>
      <w:legacy w:legacy="1" w:legacySpace="0" w:legacyIndent="283"/>
      <w:lvlJc w:val="left"/>
      <w:pPr>
        <w:ind w:left="850" w:hanging="283"/>
      </w:pPr>
    </w:lvl>
  </w:abstractNum>
  <w:abstractNum w:abstractNumId="20">
    <w:nsid w:val="3B9A3C2A"/>
    <w:multiLevelType w:val="singleLevel"/>
    <w:tmpl w:val="96665D84"/>
    <w:lvl w:ilvl="0">
      <w:start w:val="1"/>
      <w:numFmt w:val="decimal"/>
      <w:lvlText w:val="%1)"/>
      <w:legacy w:legacy="1" w:legacySpace="0" w:legacyIndent="283"/>
      <w:lvlJc w:val="left"/>
      <w:pPr>
        <w:ind w:left="850" w:hanging="283"/>
      </w:pPr>
    </w:lvl>
  </w:abstractNum>
  <w:abstractNum w:abstractNumId="21">
    <w:nsid w:val="3BC94596"/>
    <w:multiLevelType w:val="hybridMultilevel"/>
    <w:tmpl w:val="C350820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nsid w:val="3CAF499B"/>
    <w:multiLevelType w:val="hybridMultilevel"/>
    <w:tmpl w:val="D098E40E"/>
    <w:lvl w:ilvl="0" w:tplc="A4282BF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EFC0B7E"/>
    <w:multiLevelType w:val="hybridMultilevel"/>
    <w:tmpl w:val="17580E86"/>
    <w:lvl w:ilvl="0" w:tplc="774ABC9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F381A26"/>
    <w:multiLevelType w:val="hybridMultilevel"/>
    <w:tmpl w:val="9892AE72"/>
    <w:lvl w:ilvl="0" w:tplc="CFF2168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2951E83"/>
    <w:multiLevelType w:val="hybridMultilevel"/>
    <w:tmpl w:val="8D405B1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31C53BC"/>
    <w:multiLevelType w:val="singleLevel"/>
    <w:tmpl w:val="0C09000F"/>
    <w:lvl w:ilvl="0">
      <w:start w:val="1"/>
      <w:numFmt w:val="decimal"/>
      <w:lvlText w:val="%1."/>
      <w:lvlJc w:val="left"/>
      <w:pPr>
        <w:tabs>
          <w:tab w:val="num" w:pos="360"/>
        </w:tabs>
        <w:ind w:left="360" w:hanging="360"/>
      </w:pPr>
    </w:lvl>
  </w:abstractNum>
  <w:abstractNum w:abstractNumId="27">
    <w:nsid w:val="47735013"/>
    <w:multiLevelType w:val="singleLevel"/>
    <w:tmpl w:val="96665D84"/>
    <w:lvl w:ilvl="0">
      <w:start w:val="1"/>
      <w:numFmt w:val="decimal"/>
      <w:lvlText w:val="%1)"/>
      <w:legacy w:legacy="1" w:legacySpace="0" w:legacyIndent="283"/>
      <w:lvlJc w:val="left"/>
      <w:pPr>
        <w:ind w:left="850" w:hanging="283"/>
      </w:pPr>
    </w:lvl>
  </w:abstractNum>
  <w:abstractNum w:abstractNumId="28">
    <w:nsid w:val="48023FB0"/>
    <w:multiLevelType w:val="hybridMultilevel"/>
    <w:tmpl w:val="61FEBF7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B1D625F"/>
    <w:multiLevelType w:val="hybridMultilevel"/>
    <w:tmpl w:val="61FEBF74"/>
    <w:lvl w:ilvl="0" w:tplc="0409000F">
      <w:start w:val="1"/>
      <w:numFmt w:val="decimal"/>
      <w:lvlText w:val="%1."/>
      <w:lvlJc w:val="left"/>
      <w:pPr>
        <w:tabs>
          <w:tab w:val="num" w:pos="720"/>
        </w:tabs>
        <w:ind w:left="720" w:hanging="360"/>
      </w:p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B157223"/>
    <w:multiLevelType w:val="hybridMultilevel"/>
    <w:tmpl w:val="E69475D0"/>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5E216AA0"/>
    <w:multiLevelType w:val="hybridMultilevel"/>
    <w:tmpl w:val="A6524A9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1B4791C"/>
    <w:multiLevelType w:val="hybridMultilevel"/>
    <w:tmpl w:val="09FEBA90"/>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2452AEE"/>
    <w:multiLevelType w:val="hybridMultilevel"/>
    <w:tmpl w:val="73560EA8"/>
    <w:lvl w:ilvl="0" w:tplc="35F8DC30">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1">
      <w:start w:val="1"/>
      <w:numFmt w:val="bullet"/>
      <w:lvlText w:val=""/>
      <w:lvlJc w:val="left"/>
      <w:pPr>
        <w:tabs>
          <w:tab w:val="num" w:pos="1364"/>
        </w:tabs>
        <w:ind w:left="1364" w:hanging="360"/>
      </w:pPr>
      <w:rPr>
        <w:rFonts w:ascii="Symbol" w:hAnsi="Symbol"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nsid w:val="63713D5B"/>
    <w:multiLevelType w:val="hybridMultilevel"/>
    <w:tmpl w:val="FCB40F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FD70D7"/>
    <w:multiLevelType w:val="hybridMultilevel"/>
    <w:tmpl w:val="670CA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BC330F5"/>
    <w:multiLevelType w:val="hybridMultilevel"/>
    <w:tmpl w:val="C2769C2A"/>
    <w:lvl w:ilvl="0" w:tplc="E41213F0">
      <w:start w:val="1"/>
      <w:numFmt w:val="bullet"/>
      <w:pStyle w:val="Char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C3B362E"/>
    <w:multiLevelType w:val="hybridMultilevel"/>
    <w:tmpl w:val="A2DC61F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EF12AC3"/>
    <w:multiLevelType w:val="hybridMultilevel"/>
    <w:tmpl w:val="E8022998"/>
    <w:lvl w:ilvl="0" w:tplc="7E56333C">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25"/>
  </w:num>
  <w:num w:numId="3">
    <w:abstractNumId w:val="23"/>
  </w:num>
  <w:num w:numId="4">
    <w:abstractNumId w:val="15"/>
  </w:num>
  <w:num w:numId="5">
    <w:abstractNumId w:val="29"/>
  </w:num>
  <w:num w:numId="6">
    <w:abstractNumId w:val="12"/>
  </w:num>
  <w:num w:numId="7">
    <w:abstractNumId w:val="28"/>
  </w:num>
  <w:num w:numId="8">
    <w:abstractNumId w:val="2"/>
  </w:num>
  <w:num w:numId="9">
    <w:abstractNumId w:val="37"/>
  </w:num>
  <w:num w:numId="10">
    <w:abstractNumId w:val="7"/>
  </w:num>
  <w:num w:numId="11">
    <w:abstractNumId w:val="14"/>
  </w:num>
  <w:num w:numId="12">
    <w:abstractNumId w:val="18"/>
  </w:num>
  <w:num w:numId="13">
    <w:abstractNumId w:val="20"/>
  </w:num>
  <w:num w:numId="14">
    <w:abstractNumId w:val="32"/>
  </w:num>
  <w:num w:numId="15">
    <w:abstractNumId w:val="0"/>
    <w:lvlOverride w:ilvl="0">
      <w:lvl w:ilvl="0">
        <w:start w:val="1"/>
        <w:numFmt w:val="bullet"/>
        <w:lvlText w:val=""/>
        <w:legacy w:legacy="1" w:legacySpace="0" w:legacyIndent="283"/>
        <w:lvlJc w:val="left"/>
        <w:pPr>
          <w:ind w:left="567" w:hanging="283"/>
        </w:pPr>
        <w:rPr>
          <w:rFonts w:ascii="Helvetica" w:hAnsi="Helvetica" w:hint="default"/>
        </w:rPr>
      </w:lvl>
    </w:lvlOverride>
  </w:num>
  <w:num w:numId="16">
    <w:abstractNumId w:val="19"/>
  </w:num>
  <w:num w:numId="17">
    <w:abstractNumId w:val="16"/>
  </w:num>
  <w:num w:numId="18">
    <w:abstractNumId w:val="35"/>
  </w:num>
  <w:num w:numId="19">
    <w:abstractNumId w:val="27"/>
  </w:num>
  <w:num w:numId="20">
    <w:abstractNumId w:val="26"/>
  </w:num>
  <w:num w:numId="21">
    <w:abstractNumId w:val="5"/>
  </w:num>
  <w:num w:numId="22">
    <w:abstractNumId w:val="9"/>
  </w:num>
  <w:num w:numId="23">
    <w:abstractNumId w:val="34"/>
  </w:num>
  <w:num w:numId="24">
    <w:abstractNumId w:val="11"/>
  </w:num>
  <w:num w:numId="25">
    <w:abstractNumId w:val="33"/>
  </w:num>
  <w:num w:numId="26">
    <w:abstractNumId w:val="31"/>
  </w:num>
  <w:num w:numId="27">
    <w:abstractNumId w:val="13"/>
  </w:num>
  <w:num w:numId="28">
    <w:abstractNumId w:val="10"/>
  </w:num>
  <w:num w:numId="29">
    <w:abstractNumId w:val="21"/>
  </w:num>
  <w:num w:numId="30">
    <w:abstractNumId w:val="22"/>
  </w:num>
  <w:num w:numId="31">
    <w:abstractNumId w:val="1"/>
  </w:num>
  <w:num w:numId="32">
    <w:abstractNumId w:val="6"/>
  </w:num>
  <w:num w:numId="3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num>
  <w:num w:numId="38">
    <w:abstractNumId w:val="38"/>
  </w:num>
  <w:num w:numId="39">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savePreviewPicture/>
  <w:footnotePr>
    <w:numRestart w:val="eachSect"/>
    <w:footnote w:id="0"/>
    <w:footnote w:id="1"/>
  </w:footnotePr>
  <w:endnotePr>
    <w:endnote w:id="0"/>
    <w:endnote w:id="1"/>
  </w:endnotePr>
  <w:compat>
    <w:spaceForUL/>
    <w:balanceSingleByteDoubleByteWidth/>
    <w:doNotLeaveBackslashAlone/>
    <w:ulTrailSpace/>
    <w:doNotExpandShiftReturn/>
  </w:compat>
  <w:rsids>
    <w:rsidRoot w:val="004373D5"/>
    <w:rsid w:val="00000BC4"/>
    <w:rsid w:val="000074C4"/>
    <w:rsid w:val="00011C3A"/>
    <w:rsid w:val="000126D3"/>
    <w:rsid w:val="000151ED"/>
    <w:rsid w:val="00022F39"/>
    <w:rsid w:val="00023F5B"/>
    <w:rsid w:val="00035DFC"/>
    <w:rsid w:val="00037E7B"/>
    <w:rsid w:val="00046C77"/>
    <w:rsid w:val="00055781"/>
    <w:rsid w:val="00066017"/>
    <w:rsid w:val="00074D30"/>
    <w:rsid w:val="0007767D"/>
    <w:rsid w:val="00080068"/>
    <w:rsid w:val="000823EF"/>
    <w:rsid w:val="000843AD"/>
    <w:rsid w:val="000860DB"/>
    <w:rsid w:val="00086B7D"/>
    <w:rsid w:val="000956F3"/>
    <w:rsid w:val="000A18CA"/>
    <w:rsid w:val="000A50F2"/>
    <w:rsid w:val="000A7EBD"/>
    <w:rsid w:val="000B1880"/>
    <w:rsid w:val="000B786C"/>
    <w:rsid w:val="000C1404"/>
    <w:rsid w:val="000C1E13"/>
    <w:rsid w:val="000C4717"/>
    <w:rsid w:val="000D6F60"/>
    <w:rsid w:val="000D7835"/>
    <w:rsid w:val="000E1C06"/>
    <w:rsid w:val="000E24D1"/>
    <w:rsid w:val="000F1BFE"/>
    <w:rsid w:val="000F661A"/>
    <w:rsid w:val="000F6FDF"/>
    <w:rsid w:val="00101DF7"/>
    <w:rsid w:val="001056C1"/>
    <w:rsid w:val="00112AFA"/>
    <w:rsid w:val="001131A4"/>
    <w:rsid w:val="001209BA"/>
    <w:rsid w:val="001210C0"/>
    <w:rsid w:val="00121D2E"/>
    <w:rsid w:val="001244FE"/>
    <w:rsid w:val="00126055"/>
    <w:rsid w:val="001311C6"/>
    <w:rsid w:val="001317EC"/>
    <w:rsid w:val="00140863"/>
    <w:rsid w:val="00142CC0"/>
    <w:rsid w:val="00143EDC"/>
    <w:rsid w:val="00152128"/>
    <w:rsid w:val="0016289D"/>
    <w:rsid w:val="00167309"/>
    <w:rsid w:val="00184CF1"/>
    <w:rsid w:val="00190F0C"/>
    <w:rsid w:val="00195872"/>
    <w:rsid w:val="001968AB"/>
    <w:rsid w:val="001A0F3E"/>
    <w:rsid w:val="001B750E"/>
    <w:rsid w:val="001D6325"/>
    <w:rsid w:val="001F5D89"/>
    <w:rsid w:val="00207A45"/>
    <w:rsid w:val="00216A3A"/>
    <w:rsid w:val="00216AEE"/>
    <w:rsid w:val="002270D6"/>
    <w:rsid w:val="002369FE"/>
    <w:rsid w:val="002507AA"/>
    <w:rsid w:val="00255E0B"/>
    <w:rsid w:val="00256F38"/>
    <w:rsid w:val="00260DBF"/>
    <w:rsid w:val="00273FDC"/>
    <w:rsid w:val="00274890"/>
    <w:rsid w:val="00275AFE"/>
    <w:rsid w:val="002775EA"/>
    <w:rsid w:val="00277786"/>
    <w:rsid w:val="002843CF"/>
    <w:rsid w:val="002B689D"/>
    <w:rsid w:val="002C6256"/>
    <w:rsid w:val="002C711B"/>
    <w:rsid w:val="002E15A5"/>
    <w:rsid w:val="002E423A"/>
    <w:rsid w:val="002F4D9C"/>
    <w:rsid w:val="003216FC"/>
    <w:rsid w:val="00324FFF"/>
    <w:rsid w:val="0033168B"/>
    <w:rsid w:val="0033598D"/>
    <w:rsid w:val="00336BB0"/>
    <w:rsid w:val="0034111C"/>
    <w:rsid w:val="003423CA"/>
    <w:rsid w:val="0034658F"/>
    <w:rsid w:val="003474F5"/>
    <w:rsid w:val="00347997"/>
    <w:rsid w:val="00350FBC"/>
    <w:rsid w:val="003526EA"/>
    <w:rsid w:val="00352D21"/>
    <w:rsid w:val="003535E5"/>
    <w:rsid w:val="00354B96"/>
    <w:rsid w:val="00357810"/>
    <w:rsid w:val="00357E50"/>
    <w:rsid w:val="0036412E"/>
    <w:rsid w:val="00371907"/>
    <w:rsid w:val="0037412B"/>
    <w:rsid w:val="0039378D"/>
    <w:rsid w:val="00397359"/>
    <w:rsid w:val="0039748E"/>
    <w:rsid w:val="003C04C3"/>
    <w:rsid w:val="003C27BA"/>
    <w:rsid w:val="003D181D"/>
    <w:rsid w:val="003D2D43"/>
    <w:rsid w:val="003F05ED"/>
    <w:rsid w:val="003F0D4F"/>
    <w:rsid w:val="003F1A7A"/>
    <w:rsid w:val="003F7A00"/>
    <w:rsid w:val="00406A87"/>
    <w:rsid w:val="00412623"/>
    <w:rsid w:val="00415944"/>
    <w:rsid w:val="00422489"/>
    <w:rsid w:val="004249BA"/>
    <w:rsid w:val="0042520A"/>
    <w:rsid w:val="00426689"/>
    <w:rsid w:val="004305D3"/>
    <w:rsid w:val="00432A2C"/>
    <w:rsid w:val="004373D5"/>
    <w:rsid w:val="00441554"/>
    <w:rsid w:val="00446C19"/>
    <w:rsid w:val="00450441"/>
    <w:rsid w:val="004511BA"/>
    <w:rsid w:val="00453341"/>
    <w:rsid w:val="004576B8"/>
    <w:rsid w:val="0047099F"/>
    <w:rsid w:val="00474D01"/>
    <w:rsid w:val="00486086"/>
    <w:rsid w:val="00496673"/>
    <w:rsid w:val="00496831"/>
    <w:rsid w:val="004B0CBF"/>
    <w:rsid w:val="004B2F5F"/>
    <w:rsid w:val="004C63DE"/>
    <w:rsid w:val="004D588B"/>
    <w:rsid w:val="004E4F30"/>
    <w:rsid w:val="004F0DB4"/>
    <w:rsid w:val="004F349C"/>
    <w:rsid w:val="00500C1B"/>
    <w:rsid w:val="00502137"/>
    <w:rsid w:val="005042DB"/>
    <w:rsid w:val="005055A2"/>
    <w:rsid w:val="0051423C"/>
    <w:rsid w:val="005307D9"/>
    <w:rsid w:val="00531B44"/>
    <w:rsid w:val="005338D4"/>
    <w:rsid w:val="005378B6"/>
    <w:rsid w:val="00542445"/>
    <w:rsid w:val="005618CC"/>
    <w:rsid w:val="005626FD"/>
    <w:rsid w:val="00565FAE"/>
    <w:rsid w:val="005668AE"/>
    <w:rsid w:val="00571793"/>
    <w:rsid w:val="00571CD5"/>
    <w:rsid w:val="00572EE8"/>
    <w:rsid w:val="00574874"/>
    <w:rsid w:val="005818AA"/>
    <w:rsid w:val="005930CF"/>
    <w:rsid w:val="00594BC1"/>
    <w:rsid w:val="005968DE"/>
    <w:rsid w:val="00597D34"/>
    <w:rsid w:val="005A27D8"/>
    <w:rsid w:val="005A758D"/>
    <w:rsid w:val="005B2E7E"/>
    <w:rsid w:val="005B407C"/>
    <w:rsid w:val="005C797C"/>
    <w:rsid w:val="005D03A3"/>
    <w:rsid w:val="005E2655"/>
    <w:rsid w:val="005E6742"/>
    <w:rsid w:val="005F0A30"/>
    <w:rsid w:val="005F1921"/>
    <w:rsid w:val="0060432C"/>
    <w:rsid w:val="00605163"/>
    <w:rsid w:val="00621E99"/>
    <w:rsid w:val="00624CC2"/>
    <w:rsid w:val="00647E7A"/>
    <w:rsid w:val="0065507A"/>
    <w:rsid w:val="006577FE"/>
    <w:rsid w:val="006722AB"/>
    <w:rsid w:val="006745B0"/>
    <w:rsid w:val="006830A2"/>
    <w:rsid w:val="00683783"/>
    <w:rsid w:val="00695076"/>
    <w:rsid w:val="00697195"/>
    <w:rsid w:val="006A0839"/>
    <w:rsid w:val="006A094C"/>
    <w:rsid w:val="006C5BFF"/>
    <w:rsid w:val="006C6F28"/>
    <w:rsid w:val="006D03C4"/>
    <w:rsid w:val="006D3F5D"/>
    <w:rsid w:val="006D68B9"/>
    <w:rsid w:val="006F4FA9"/>
    <w:rsid w:val="006F5622"/>
    <w:rsid w:val="00711E13"/>
    <w:rsid w:val="00714134"/>
    <w:rsid w:val="00733959"/>
    <w:rsid w:val="0073705F"/>
    <w:rsid w:val="00743D70"/>
    <w:rsid w:val="0074628C"/>
    <w:rsid w:val="0074710E"/>
    <w:rsid w:val="007478A0"/>
    <w:rsid w:val="00753360"/>
    <w:rsid w:val="007605DA"/>
    <w:rsid w:val="00766772"/>
    <w:rsid w:val="00770A78"/>
    <w:rsid w:val="00771814"/>
    <w:rsid w:val="0077548E"/>
    <w:rsid w:val="00776376"/>
    <w:rsid w:val="00782CF4"/>
    <w:rsid w:val="0078678B"/>
    <w:rsid w:val="00797B04"/>
    <w:rsid w:val="007B3504"/>
    <w:rsid w:val="007B3B7C"/>
    <w:rsid w:val="007B5A0F"/>
    <w:rsid w:val="007B70B4"/>
    <w:rsid w:val="007C1D9D"/>
    <w:rsid w:val="007C2391"/>
    <w:rsid w:val="007C4EF1"/>
    <w:rsid w:val="007C5B68"/>
    <w:rsid w:val="007C6D32"/>
    <w:rsid w:val="007D0C44"/>
    <w:rsid w:val="007E5121"/>
    <w:rsid w:val="007F0037"/>
    <w:rsid w:val="00807DA8"/>
    <w:rsid w:val="008105CA"/>
    <w:rsid w:val="0081181A"/>
    <w:rsid w:val="008137D7"/>
    <w:rsid w:val="00823A83"/>
    <w:rsid w:val="008246ED"/>
    <w:rsid w:val="0082611A"/>
    <w:rsid w:val="00826DD9"/>
    <w:rsid w:val="00826F41"/>
    <w:rsid w:val="00830CBF"/>
    <w:rsid w:val="00833278"/>
    <w:rsid w:val="00842869"/>
    <w:rsid w:val="00844389"/>
    <w:rsid w:val="00853211"/>
    <w:rsid w:val="00853548"/>
    <w:rsid w:val="00863B9C"/>
    <w:rsid w:val="00864ED1"/>
    <w:rsid w:val="008660C1"/>
    <w:rsid w:val="0088132F"/>
    <w:rsid w:val="0088327E"/>
    <w:rsid w:val="008A22C5"/>
    <w:rsid w:val="008A508F"/>
    <w:rsid w:val="008B50AD"/>
    <w:rsid w:val="008C5A55"/>
    <w:rsid w:val="008C66C9"/>
    <w:rsid w:val="008E17EC"/>
    <w:rsid w:val="008E1AD8"/>
    <w:rsid w:val="008E26FD"/>
    <w:rsid w:val="008E5C5B"/>
    <w:rsid w:val="008E68E7"/>
    <w:rsid w:val="008E7D2D"/>
    <w:rsid w:val="008F01D8"/>
    <w:rsid w:val="008F0EEB"/>
    <w:rsid w:val="008F2326"/>
    <w:rsid w:val="008F27F4"/>
    <w:rsid w:val="009032B7"/>
    <w:rsid w:val="0090475F"/>
    <w:rsid w:val="009049D0"/>
    <w:rsid w:val="009157BB"/>
    <w:rsid w:val="00915E8E"/>
    <w:rsid w:val="009200E2"/>
    <w:rsid w:val="00930577"/>
    <w:rsid w:val="00935D8E"/>
    <w:rsid w:val="00941773"/>
    <w:rsid w:val="00943F87"/>
    <w:rsid w:val="009444B9"/>
    <w:rsid w:val="00947324"/>
    <w:rsid w:val="00954191"/>
    <w:rsid w:val="00956CB1"/>
    <w:rsid w:val="00957C54"/>
    <w:rsid w:val="009645F7"/>
    <w:rsid w:val="0099037C"/>
    <w:rsid w:val="009A05C9"/>
    <w:rsid w:val="009A1645"/>
    <w:rsid w:val="009A2A8A"/>
    <w:rsid w:val="009A31D1"/>
    <w:rsid w:val="009A3480"/>
    <w:rsid w:val="009B5FA1"/>
    <w:rsid w:val="009C02D4"/>
    <w:rsid w:val="009C4EF2"/>
    <w:rsid w:val="009D1CA9"/>
    <w:rsid w:val="009D6496"/>
    <w:rsid w:val="009E481C"/>
    <w:rsid w:val="009E5AF5"/>
    <w:rsid w:val="009F2073"/>
    <w:rsid w:val="009F5A08"/>
    <w:rsid w:val="00A044AB"/>
    <w:rsid w:val="00A06D7B"/>
    <w:rsid w:val="00A16989"/>
    <w:rsid w:val="00A26CC2"/>
    <w:rsid w:val="00A328F1"/>
    <w:rsid w:val="00A33914"/>
    <w:rsid w:val="00A403E0"/>
    <w:rsid w:val="00A47B1B"/>
    <w:rsid w:val="00A52649"/>
    <w:rsid w:val="00A66F88"/>
    <w:rsid w:val="00A75800"/>
    <w:rsid w:val="00A75883"/>
    <w:rsid w:val="00A81C0F"/>
    <w:rsid w:val="00A84A83"/>
    <w:rsid w:val="00A8764F"/>
    <w:rsid w:val="00A93EEB"/>
    <w:rsid w:val="00A9633E"/>
    <w:rsid w:val="00AA4CBF"/>
    <w:rsid w:val="00AA4D4C"/>
    <w:rsid w:val="00AA60BB"/>
    <w:rsid w:val="00AA74A1"/>
    <w:rsid w:val="00AB3DA0"/>
    <w:rsid w:val="00AC5FFF"/>
    <w:rsid w:val="00AC7091"/>
    <w:rsid w:val="00AC7AE6"/>
    <w:rsid w:val="00AD3CAD"/>
    <w:rsid w:val="00AE2F70"/>
    <w:rsid w:val="00AE47EB"/>
    <w:rsid w:val="00AF6F14"/>
    <w:rsid w:val="00B04BAB"/>
    <w:rsid w:val="00B228E7"/>
    <w:rsid w:val="00B2403E"/>
    <w:rsid w:val="00B24891"/>
    <w:rsid w:val="00B370F4"/>
    <w:rsid w:val="00B4169D"/>
    <w:rsid w:val="00B44A32"/>
    <w:rsid w:val="00B44EBB"/>
    <w:rsid w:val="00B51044"/>
    <w:rsid w:val="00B51486"/>
    <w:rsid w:val="00B52367"/>
    <w:rsid w:val="00B5322F"/>
    <w:rsid w:val="00B607CE"/>
    <w:rsid w:val="00B67CA4"/>
    <w:rsid w:val="00B7072F"/>
    <w:rsid w:val="00B72294"/>
    <w:rsid w:val="00B7386E"/>
    <w:rsid w:val="00B814C5"/>
    <w:rsid w:val="00B9512A"/>
    <w:rsid w:val="00B968EE"/>
    <w:rsid w:val="00B97227"/>
    <w:rsid w:val="00BB4441"/>
    <w:rsid w:val="00BC29AF"/>
    <w:rsid w:val="00BD332C"/>
    <w:rsid w:val="00BD3D74"/>
    <w:rsid w:val="00BD63D0"/>
    <w:rsid w:val="00BE1AF5"/>
    <w:rsid w:val="00BE64D9"/>
    <w:rsid w:val="00BF44B8"/>
    <w:rsid w:val="00C00C56"/>
    <w:rsid w:val="00C018AA"/>
    <w:rsid w:val="00C06EA4"/>
    <w:rsid w:val="00C1096A"/>
    <w:rsid w:val="00C117D2"/>
    <w:rsid w:val="00C14796"/>
    <w:rsid w:val="00C153B1"/>
    <w:rsid w:val="00C41C94"/>
    <w:rsid w:val="00C4301A"/>
    <w:rsid w:val="00C43ACF"/>
    <w:rsid w:val="00C461E9"/>
    <w:rsid w:val="00C50F97"/>
    <w:rsid w:val="00C53133"/>
    <w:rsid w:val="00C560D3"/>
    <w:rsid w:val="00C61A1C"/>
    <w:rsid w:val="00C70098"/>
    <w:rsid w:val="00C7049E"/>
    <w:rsid w:val="00C713EF"/>
    <w:rsid w:val="00C7393F"/>
    <w:rsid w:val="00C81BD2"/>
    <w:rsid w:val="00C8437B"/>
    <w:rsid w:val="00CB1304"/>
    <w:rsid w:val="00CD0D19"/>
    <w:rsid w:val="00CD4582"/>
    <w:rsid w:val="00CD477C"/>
    <w:rsid w:val="00CD6DD8"/>
    <w:rsid w:val="00CF5613"/>
    <w:rsid w:val="00D044A5"/>
    <w:rsid w:val="00D15989"/>
    <w:rsid w:val="00D4145F"/>
    <w:rsid w:val="00D45D98"/>
    <w:rsid w:val="00D46249"/>
    <w:rsid w:val="00D649E7"/>
    <w:rsid w:val="00D80C60"/>
    <w:rsid w:val="00D83633"/>
    <w:rsid w:val="00D8574C"/>
    <w:rsid w:val="00D87F52"/>
    <w:rsid w:val="00D942AB"/>
    <w:rsid w:val="00D95558"/>
    <w:rsid w:val="00D957C6"/>
    <w:rsid w:val="00DB127B"/>
    <w:rsid w:val="00DC0148"/>
    <w:rsid w:val="00DD0DD5"/>
    <w:rsid w:val="00DD246F"/>
    <w:rsid w:val="00DD77CC"/>
    <w:rsid w:val="00DE65F2"/>
    <w:rsid w:val="00E04BFD"/>
    <w:rsid w:val="00E0783D"/>
    <w:rsid w:val="00E12D18"/>
    <w:rsid w:val="00E17823"/>
    <w:rsid w:val="00E241DE"/>
    <w:rsid w:val="00E25BF0"/>
    <w:rsid w:val="00E300B9"/>
    <w:rsid w:val="00E30549"/>
    <w:rsid w:val="00E4125C"/>
    <w:rsid w:val="00E41F29"/>
    <w:rsid w:val="00E50CFF"/>
    <w:rsid w:val="00E65D17"/>
    <w:rsid w:val="00E9423A"/>
    <w:rsid w:val="00E95FD9"/>
    <w:rsid w:val="00EB10FA"/>
    <w:rsid w:val="00EB2939"/>
    <w:rsid w:val="00EB5391"/>
    <w:rsid w:val="00EC2E74"/>
    <w:rsid w:val="00EE19EC"/>
    <w:rsid w:val="00EE2906"/>
    <w:rsid w:val="00EF769D"/>
    <w:rsid w:val="00F06CD4"/>
    <w:rsid w:val="00F15021"/>
    <w:rsid w:val="00F23BD6"/>
    <w:rsid w:val="00F357D7"/>
    <w:rsid w:val="00F42CFD"/>
    <w:rsid w:val="00F42F28"/>
    <w:rsid w:val="00F478FE"/>
    <w:rsid w:val="00F505A2"/>
    <w:rsid w:val="00F50F55"/>
    <w:rsid w:val="00F532E8"/>
    <w:rsid w:val="00F612C6"/>
    <w:rsid w:val="00F62592"/>
    <w:rsid w:val="00F65C50"/>
    <w:rsid w:val="00F74FD8"/>
    <w:rsid w:val="00F76262"/>
    <w:rsid w:val="00F85034"/>
    <w:rsid w:val="00FA727D"/>
    <w:rsid w:val="00FB056A"/>
    <w:rsid w:val="00FB6B8B"/>
    <w:rsid w:val="00FC098E"/>
    <w:rsid w:val="00FC2175"/>
    <w:rsid w:val="00FC2E86"/>
    <w:rsid w:val="00FD367E"/>
    <w:rsid w:val="00FF4FC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06D7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A06D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A06D7B"/>
    <w:pPr>
      <w:pBdr>
        <w:top w:val="none" w:sz="0" w:space="0" w:color="auto"/>
      </w:pBdr>
      <w:spacing w:before="180"/>
      <w:outlineLvl w:val="1"/>
    </w:pPr>
    <w:rPr>
      <w:sz w:val="32"/>
    </w:rPr>
  </w:style>
  <w:style w:type="paragraph" w:styleId="Heading3">
    <w:name w:val="heading 3"/>
    <w:aliases w:val="Heading 3 3GPP"/>
    <w:basedOn w:val="Heading2"/>
    <w:next w:val="Normal"/>
    <w:qFormat/>
    <w:rsid w:val="00A06D7B"/>
    <w:pPr>
      <w:spacing w:before="120"/>
      <w:outlineLvl w:val="2"/>
    </w:pPr>
    <w:rPr>
      <w:sz w:val="28"/>
    </w:rPr>
  </w:style>
  <w:style w:type="paragraph" w:styleId="Heading4">
    <w:name w:val="heading 4"/>
    <w:basedOn w:val="Heading3"/>
    <w:next w:val="Normal"/>
    <w:qFormat/>
    <w:rsid w:val="00A06D7B"/>
    <w:pPr>
      <w:ind w:left="1418" w:hanging="1418"/>
      <w:outlineLvl w:val="3"/>
    </w:pPr>
    <w:rPr>
      <w:sz w:val="24"/>
    </w:rPr>
  </w:style>
  <w:style w:type="paragraph" w:styleId="Heading5">
    <w:name w:val="heading 5"/>
    <w:basedOn w:val="Heading4"/>
    <w:next w:val="Normal"/>
    <w:qFormat/>
    <w:rsid w:val="00A06D7B"/>
    <w:pPr>
      <w:ind w:left="1701" w:hanging="1701"/>
      <w:outlineLvl w:val="4"/>
    </w:pPr>
    <w:rPr>
      <w:sz w:val="22"/>
    </w:rPr>
  </w:style>
  <w:style w:type="paragraph" w:styleId="Heading6">
    <w:name w:val="heading 6"/>
    <w:basedOn w:val="H6"/>
    <w:next w:val="Normal"/>
    <w:qFormat/>
    <w:rsid w:val="00A06D7B"/>
    <w:pPr>
      <w:outlineLvl w:val="5"/>
    </w:pPr>
  </w:style>
  <w:style w:type="paragraph" w:styleId="Heading7">
    <w:name w:val="heading 7"/>
    <w:basedOn w:val="H6"/>
    <w:next w:val="Normal"/>
    <w:qFormat/>
    <w:rsid w:val="00A06D7B"/>
    <w:pPr>
      <w:outlineLvl w:val="6"/>
    </w:pPr>
  </w:style>
  <w:style w:type="paragraph" w:styleId="Heading8">
    <w:name w:val="heading 8"/>
    <w:basedOn w:val="Heading1"/>
    <w:next w:val="Normal"/>
    <w:qFormat/>
    <w:rsid w:val="00A06D7B"/>
    <w:pPr>
      <w:ind w:left="0" w:firstLine="0"/>
      <w:outlineLvl w:val="7"/>
    </w:pPr>
  </w:style>
  <w:style w:type="paragraph" w:styleId="Heading9">
    <w:name w:val="heading 9"/>
    <w:basedOn w:val="Heading8"/>
    <w:next w:val="Normal"/>
    <w:qFormat/>
    <w:rsid w:val="00A06D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06D7B"/>
    <w:pPr>
      <w:ind w:left="1985" w:hanging="1985"/>
      <w:outlineLvl w:val="9"/>
    </w:pPr>
    <w:rPr>
      <w:sz w:val="20"/>
    </w:rPr>
  </w:style>
  <w:style w:type="paragraph" w:styleId="TOC8">
    <w:name w:val="toc 8"/>
    <w:basedOn w:val="TOC1"/>
    <w:semiHidden/>
    <w:rsid w:val="00A06D7B"/>
    <w:pPr>
      <w:spacing w:before="180"/>
      <w:ind w:left="2693" w:hanging="2693"/>
    </w:pPr>
    <w:rPr>
      <w:b/>
    </w:rPr>
  </w:style>
  <w:style w:type="paragraph" w:styleId="TOC1">
    <w:name w:val="toc 1"/>
    <w:semiHidden/>
    <w:rsid w:val="00A06D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06D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06D7B"/>
    <w:pPr>
      <w:ind w:left="1701" w:hanging="1701"/>
    </w:pPr>
  </w:style>
  <w:style w:type="paragraph" w:styleId="TOC4">
    <w:name w:val="toc 4"/>
    <w:basedOn w:val="TOC3"/>
    <w:semiHidden/>
    <w:rsid w:val="00A06D7B"/>
    <w:pPr>
      <w:ind w:left="1418" w:hanging="1418"/>
    </w:pPr>
  </w:style>
  <w:style w:type="paragraph" w:styleId="TOC3">
    <w:name w:val="toc 3"/>
    <w:basedOn w:val="TOC2"/>
    <w:semiHidden/>
    <w:rsid w:val="00A06D7B"/>
    <w:pPr>
      <w:ind w:left="1134" w:hanging="1134"/>
    </w:pPr>
  </w:style>
  <w:style w:type="paragraph" w:styleId="TOC2">
    <w:name w:val="toc 2"/>
    <w:basedOn w:val="TOC1"/>
    <w:semiHidden/>
    <w:rsid w:val="00A06D7B"/>
    <w:pPr>
      <w:keepNext w:val="0"/>
      <w:spacing w:before="0"/>
      <w:ind w:left="851" w:hanging="851"/>
    </w:pPr>
    <w:rPr>
      <w:sz w:val="20"/>
    </w:rPr>
  </w:style>
  <w:style w:type="paragraph" w:styleId="Index2">
    <w:name w:val="index 2"/>
    <w:basedOn w:val="Index1"/>
    <w:semiHidden/>
    <w:rsid w:val="00A06D7B"/>
    <w:pPr>
      <w:ind w:left="284"/>
    </w:pPr>
  </w:style>
  <w:style w:type="paragraph" w:styleId="Index1">
    <w:name w:val="index 1"/>
    <w:basedOn w:val="Normal"/>
    <w:semiHidden/>
    <w:rsid w:val="00A06D7B"/>
    <w:pPr>
      <w:keepLines/>
      <w:spacing w:after="0"/>
    </w:pPr>
  </w:style>
  <w:style w:type="paragraph" w:customStyle="1" w:styleId="ZH">
    <w:name w:val="ZH"/>
    <w:rsid w:val="00A06D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06D7B"/>
    <w:pPr>
      <w:outlineLvl w:val="9"/>
    </w:pPr>
  </w:style>
  <w:style w:type="paragraph" w:styleId="ListNumber2">
    <w:name w:val="List Number 2"/>
    <w:basedOn w:val="ListNumber"/>
    <w:rsid w:val="00A06D7B"/>
    <w:pPr>
      <w:ind w:left="851"/>
    </w:pPr>
  </w:style>
  <w:style w:type="paragraph" w:styleId="ListNumber">
    <w:name w:val="List Number"/>
    <w:basedOn w:val="List"/>
    <w:rsid w:val="00A06D7B"/>
  </w:style>
  <w:style w:type="paragraph" w:styleId="List">
    <w:name w:val="List"/>
    <w:basedOn w:val="Normal"/>
    <w:rsid w:val="00A06D7B"/>
    <w:pPr>
      <w:ind w:left="568" w:hanging="284"/>
    </w:pPr>
  </w:style>
  <w:style w:type="paragraph" w:styleId="Header">
    <w:name w:val="header"/>
    <w:aliases w:val="header odd"/>
    <w:link w:val="HeaderChar"/>
    <w:rsid w:val="00A06D7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A06D7B"/>
    <w:rPr>
      <w:b/>
      <w:position w:val="6"/>
      <w:sz w:val="16"/>
    </w:rPr>
  </w:style>
  <w:style w:type="paragraph" w:styleId="FootnoteText">
    <w:name w:val="footnote text"/>
    <w:basedOn w:val="Normal"/>
    <w:semiHidden/>
    <w:rsid w:val="00A06D7B"/>
    <w:pPr>
      <w:keepLines/>
      <w:spacing w:after="0"/>
      <w:ind w:left="454" w:hanging="454"/>
    </w:pPr>
    <w:rPr>
      <w:sz w:val="16"/>
    </w:rPr>
  </w:style>
  <w:style w:type="paragraph" w:customStyle="1" w:styleId="TAH">
    <w:name w:val="TAH"/>
    <w:basedOn w:val="TAC"/>
    <w:rsid w:val="00A06D7B"/>
    <w:rPr>
      <w:b/>
    </w:rPr>
  </w:style>
  <w:style w:type="paragraph" w:customStyle="1" w:styleId="TAC">
    <w:name w:val="TAC"/>
    <w:basedOn w:val="TAL"/>
    <w:rsid w:val="00A06D7B"/>
    <w:pPr>
      <w:jc w:val="center"/>
    </w:pPr>
  </w:style>
  <w:style w:type="paragraph" w:customStyle="1" w:styleId="TAL">
    <w:name w:val="TAL"/>
    <w:basedOn w:val="Normal"/>
    <w:rsid w:val="00A06D7B"/>
    <w:pPr>
      <w:keepNext/>
      <w:keepLines/>
      <w:spacing w:after="0"/>
    </w:pPr>
    <w:rPr>
      <w:rFonts w:ascii="Arial" w:hAnsi="Arial"/>
      <w:sz w:val="18"/>
    </w:rPr>
  </w:style>
  <w:style w:type="paragraph" w:customStyle="1" w:styleId="TF">
    <w:name w:val="TF"/>
    <w:basedOn w:val="TH"/>
    <w:rsid w:val="00A06D7B"/>
    <w:pPr>
      <w:keepNext w:val="0"/>
      <w:spacing w:before="0" w:after="240"/>
    </w:pPr>
  </w:style>
  <w:style w:type="paragraph" w:customStyle="1" w:styleId="TH">
    <w:name w:val="TH"/>
    <w:basedOn w:val="Normal"/>
    <w:rsid w:val="00A06D7B"/>
    <w:pPr>
      <w:keepNext/>
      <w:keepLines/>
      <w:spacing w:before="60"/>
      <w:jc w:val="center"/>
    </w:pPr>
    <w:rPr>
      <w:rFonts w:ascii="Arial" w:hAnsi="Arial"/>
      <w:b/>
    </w:rPr>
  </w:style>
  <w:style w:type="paragraph" w:customStyle="1" w:styleId="NO">
    <w:name w:val="NO"/>
    <w:basedOn w:val="Normal"/>
    <w:rsid w:val="00A06D7B"/>
    <w:pPr>
      <w:keepLines/>
      <w:ind w:left="1135" w:hanging="851"/>
    </w:pPr>
  </w:style>
  <w:style w:type="paragraph" w:styleId="TOC9">
    <w:name w:val="toc 9"/>
    <w:basedOn w:val="TOC8"/>
    <w:semiHidden/>
    <w:rsid w:val="00A06D7B"/>
    <w:pPr>
      <w:ind w:left="1418" w:hanging="1418"/>
    </w:pPr>
  </w:style>
  <w:style w:type="paragraph" w:customStyle="1" w:styleId="EX">
    <w:name w:val="EX"/>
    <w:basedOn w:val="Normal"/>
    <w:rsid w:val="00A06D7B"/>
    <w:pPr>
      <w:keepLines/>
      <w:ind w:left="1702" w:hanging="1418"/>
    </w:pPr>
  </w:style>
  <w:style w:type="paragraph" w:customStyle="1" w:styleId="FP">
    <w:name w:val="FP"/>
    <w:basedOn w:val="Normal"/>
    <w:rsid w:val="00A06D7B"/>
    <w:pPr>
      <w:spacing w:after="0"/>
    </w:pPr>
  </w:style>
  <w:style w:type="paragraph" w:customStyle="1" w:styleId="LD">
    <w:name w:val="LD"/>
    <w:rsid w:val="00A06D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06D7B"/>
    <w:pPr>
      <w:spacing w:after="0"/>
    </w:pPr>
  </w:style>
  <w:style w:type="paragraph" w:customStyle="1" w:styleId="EW">
    <w:name w:val="EW"/>
    <w:basedOn w:val="EX"/>
    <w:rsid w:val="00A06D7B"/>
    <w:pPr>
      <w:spacing w:after="0"/>
    </w:pPr>
  </w:style>
  <w:style w:type="paragraph" w:styleId="TOC6">
    <w:name w:val="toc 6"/>
    <w:basedOn w:val="TOC5"/>
    <w:next w:val="Normal"/>
    <w:semiHidden/>
    <w:rsid w:val="00A06D7B"/>
    <w:pPr>
      <w:ind w:left="1985" w:hanging="1985"/>
    </w:pPr>
  </w:style>
  <w:style w:type="paragraph" w:styleId="TOC7">
    <w:name w:val="toc 7"/>
    <w:basedOn w:val="TOC6"/>
    <w:next w:val="Normal"/>
    <w:semiHidden/>
    <w:rsid w:val="00A06D7B"/>
    <w:pPr>
      <w:ind w:left="2268" w:hanging="2268"/>
    </w:pPr>
  </w:style>
  <w:style w:type="paragraph" w:styleId="ListBullet2">
    <w:name w:val="List Bullet 2"/>
    <w:basedOn w:val="ListBullet"/>
    <w:rsid w:val="00A06D7B"/>
    <w:pPr>
      <w:ind w:left="851"/>
    </w:pPr>
  </w:style>
  <w:style w:type="paragraph" w:styleId="ListBullet">
    <w:name w:val="List Bullet"/>
    <w:basedOn w:val="List"/>
    <w:rsid w:val="00A06D7B"/>
  </w:style>
  <w:style w:type="paragraph" w:styleId="ListBullet3">
    <w:name w:val="List Bullet 3"/>
    <w:basedOn w:val="ListBullet2"/>
    <w:rsid w:val="00A06D7B"/>
    <w:pPr>
      <w:ind w:left="1135"/>
    </w:pPr>
  </w:style>
  <w:style w:type="paragraph" w:customStyle="1" w:styleId="EQ">
    <w:name w:val="EQ"/>
    <w:basedOn w:val="Normal"/>
    <w:next w:val="Normal"/>
    <w:rsid w:val="00A06D7B"/>
    <w:pPr>
      <w:keepLines/>
      <w:tabs>
        <w:tab w:val="center" w:pos="4536"/>
        <w:tab w:val="right" w:pos="9072"/>
      </w:tabs>
    </w:pPr>
    <w:rPr>
      <w:noProof/>
    </w:rPr>
  </w:style>
  <w:style w:type="paragraph" w:customStyle="1" w:styleId="NF">
    <w:name w:val="NF"/>
    <w:basedOn w:val="NO"/>
    <w:rsid w:val="00A06D7B"/>
    <w:pPr>
      <w:keepNext/>
      <w:spacing w:after="0"/>
    </w:pPr>
    <w:rPr>
      <w:rFonts w:ascii="Arial" w:hAnsi="Arial"/>
      <w:sz w:val="18"/>
    </w:rPr>
  </w:style>
  <w:style w:type="paragraph" w:customStyle="1" w:styleId="PL">
    <w:name w:val="PL"/>
    <w:rsid w:val="00A06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06D7B"/>
    <w:pPr>
      <w:jc w:val="right"/>
    </w:pPr>
  </w:style>
  <w:style w:type="paragraph" w:customStyle="1" w:styleId="TAN">
    <w:name w:val="TAN"/>
    <w:basedOn w:val="TAL"/>
    <w:rsid w:val="00A06D7B"/>
    <w:pPr>
      <w:ind w:left="851" w:hanging="851"/>
    </w:pPr>
  </w:style>
  <w:style w:type="paragraph" w:customStyle="1" w:styleId="ZA">
    <w:name w:val="ZA"/>
    <w:rsid w:val="00A06D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06D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06D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06D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06D7B"/>
    <w:pPr>
      <w:framePr w:wrap="notBeside" w:y="16161"/>
    </w:pPr>
  </w:style>
  <w:style w:type="character" w:customStyle="1" w:styleId="ZGSM">
    <w:name w:val="ZGSM"/>
    <w:rsid w:val="00A06D7B"/>
  </w:style>
  <w:style w:type="paragraph" w:styleId="List2">
    <w:name w:val="List 2"/>
    <w:basedOn w:val="List"/>
    <w:rsid w:val="00A06D7B"/>
    <w:pPr>
      <w:ind w:left="851"/>
    </w:pPr>
  </w:style>
  <w:style w:type="paragraph" w:customStyle="1" w:styleId="ZG">
    <w:name w:val="ZG"/>
    <w:rsid w:val="00A06D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06D7B"/>
    <w:pPr>
      <w:ind w:left="1135"/>
    </w:pPr>
  </w:style>
  <w:style w:type="paragraph" w:styleId="List4">
    <w:name w:val="List 4"/>
    <w:basedOn w:val="List3"/>
    <w:rsid w:val="00A06D7B"/>
    <w:pPr>
      <w:ind w:left="1418"/>
    </w:pPr>
  </w:style>
  <w:style w:type="paragraph" w:styleId="List5">
    <w:name w:val="List 5"/>
    <w:basedOn w:val="List4"/>
    <w:rsid w:val="00A06D7B"/>
    <w:pPr>
      <w:ind w:left="1702"/>
    </w:pPr>
  </w:style>
  <w:style w:type="paragraph" w:customStyle="1" w:styleId="EditorsNote">
    <w:name w:val="Editor's Note"/>
    <w:basedOn w:val="NO"/>
    <w:rsid w:val="00A06D7B"/>
    <w:rPr>
      <w:color w:val="FF0000"/>
    </w:rPr>
  </w:style>
  <w:style w:type="paragraph" w:styleId="ListBullet4">
    <w:name w:val="List Bullet 4"/>
    <w:basedOn w:val="ListBullet3"/>
    <w:rsid w:val="00A06D7B"/>
    <w:pPr>
      <w:ind w:left="1418"/>
    </w:pPr>
  </w:style>
  <w:style w:type="paragraph" w:styleId="ListBullet5">
    <w:name w:val="List Bullet 5"/>
    <w:basedOn w:val="ListBullet4"/>
    <w:rsid w:val="00A06D7B"/>
    <w:pPr>
      <w:ind w:left="1702"/>
    </w:pPr>
  </w:style>
  <w:style w:type="paragraph" w:customStyle="1" w:styleId="B1">
    <w:name w:val="B1"/>
    <w:basedOn w:val="List"/>
    <w:rsid w:val="00A06D7B"/>
  </w:style>
  <w:style w:type="paragraph" w:customStyle="1" w:styleId="B2">
    <w:name w:val="B2"/>
    <w:basedOn w:val="List2"/>
    <w:rsid w:val="00A06D7B"/>
  </w:style>
  <w:style w:type="paragraph" w:customStyle="1" w:styleId="B3">
    <w:name w:val="B3"/>
    <w:basedOn w:val="List3"/>
    <w:rsid w:val="00A06D7B"/>
  </w:style>
  <w:style w:type="paragraph" w:customStyle="1" w:styleId="B4">
    <w:name w:val="B4"/>
    <w:basedOn w:val="List4"/>
    <w:rsid w:val="00A06D7B"/>
  </w:style>
  <w:style w:type="paragraph" w:customStyle="1" w:styleId="B5">
    <w:name w:val="B5"/>
    <w:basedOn w:val="List5"/>
    <w:rsid w:val="00A06D7B"/>
  </w:style>
  <w:style w:type="paragraph" w:styleId="Footer">
    <w:name w:val="footer"/>
    <w:basedOn w:val="Header"/>
    <w:rsid w:val="00A06D7B"/>
    <w:pPr>
      <w:jc w:val="center"/>
    </w:pPr>
    <w:rPr>
      <w:i/>
    </w:rPr>
  </w:style>
  <w:style w:type="paragraph" w:customStyle="1" w:styleId="ZTD">
    <w:name w:val="ZTD"/>
    <w:basedOn w:val="ZB"/>
    <w:rsid w:val="00A06D7B"/>
    <w:pPr>
      <w:framePr w:hRule="auto" w:wrap="notBeside" w:y="852"/>
    </w:pPr>
    <w:rPr>
      <w:i w:val="0"/>
      <w:sz w:val="40"/>
    </w:rPr>
  </w:style>
  <w:style w:type="paragraph" w:customStyle="1" w:styleId="CRCoverPage">
    <w:name w:val="CR Cover Page"/>
    <w:rsid w:val="00A06D7B"/>
    <w:pPr>
      <w:spacing w:after="120"/>
    </w:pPr>
    <w:rPr>
      <w:rFonts w:ascii="Arial" w:eastAsia="MS Mincho" w:hAnsi="Arial"/>
      <w:lang w:val="en-GB"/>
    </w:rPr>
  </w:style>
  <w:style w:type="character" w:styleId="CommentReference">
    <w:name w:val="annotation reference"/>
    <w:basedOn w:val="DefaultParagraphFont"/>
    <w:semiHidden/>
    <w:rsid w:val="00A06D7B"/>
    <w:rPr>
      <w:sz w:val="16"/>
    </w:rPr>
  </w:style>
  <w:style w:type="paragraph" w:styleId="CommentText">
    <w:name w:val="annotation text"/>
    <w:basedOn w:val="Normal"/>
    <w:semiHidden/>
    <w:rsid w:val="00A06D7B"/>
    <w:pPr>
      <w:overflowPunct/>
      <w:autoSpaceDE/>
      <w:autoSpaceDN/>
      <w:adjustRightInd/>
      <w:textAlignment w:val="auto"/>
    </w:pPr>
    <w:rPr>
      <w:rFonts w:eastAsia="MS Mincho"/>
    </w:rPr>
  </w:style>
  <w:style w:type="paragraph" w:styleId="BodyText2">
    <w:name w:val="Body Text 2"/>
    <w:basedOn w:val="Normal"/>
    <w:rsid w:val="00A06D7B"/>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A06D7B"/>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A06D7B"/>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A06D7B"/>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6C5BFF"/>
    <w:pPr>
      <w:overflowPunct w:val="0"/>
      <w:autoSpaceDE w:val="0"/>
      <w:autoSpaceDN w:val="0"/>
      <w:adjustRightInd w:val="0"/>
      <w:textAlignment w:val="baseline"/>
    </w:pPr>
    <w:rPr>
      <w:rFonts w:eastAsia="Times New Roman"/>
      <w:b/>
      <w:bCs/>
    </w:rPr>
  </w:style>
  <w:style w:type="paragraph" w:styleId="Caption">
    <w:name w:val="caption"/>
    <w:basedOn w:val="Normal"/>
    <w:next w:val="Normal"/>
    <w:uiPriority w:val="35"/>
    <w:qFormat/>
    <w:rsid w:val="00A84A83"/>
    <w:rPr>
      <w:b/>
      <w:bCs/>
    </w:rPr>
  </w:style>
  <w:style w:type="table" w:styleId="TableGrid">
    <w:name w:val="Table Grid"/>
    <w:basedOn w:val="TableNormal"/>
    <w:rsid w:val="0060516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33168B"/>
    <w:pPr>
      <w:spacing w:after="120"/>
    </w:pPr>
  </w:style>
  <w:style w:type="character" w:customStyle="1" w:styleId="BodyTextChar">
    <w:name w:val="Body Text Char"/>
    <w:basedOn w:val="DefaultParagraphFont"/>
    <w:link w:val="BodyText"/>
    <w:rsid w:val="0033168B"/>
    <w:rPr>
      <w:rFonts w:ascii="Times New Roman" w:hAnsi="Times New Roman"/>
      <w:lang w:val="en-GB"/>
    </w:rPr>
  </w:style>
  <w:style w:type="paragraph" w:styleId="DocumentMap">
    <w:name w:val="Document Map"/>
    <w:basedOn w:val="Normal"/>
    <w:link w:val="DocumentMapChar"/>
    <w:rsid w:val="009444B9"/>
    <w:rPr>
      <w:rFonts w:ascii="Tahoma" w:hAnsi="Tahoma" w:cs="Tahoma"/>
      <w:sz w:val="16"/>
      <w:szCs w:val="16"/>
    </w:rPr>
  </w:style>
  <w:style w:type="character" w:customStyle="1" w:styleId="DocumentMapChar">
    <w:name w:val="Document Map Char"/>
    <w:basedOn w:val="DefaultParagraphFont"/>
    <w:link w:val="DocumentMap"/>
    <w:rsid w:val="009444B9"/>
    <w:rPr>
      <w:rFonts w:ascii="Tahoma" w:hAnsi="Tahoma" w:cs="Tahoma"/>
      <w:sz w:val="16"/>
      <w:szCs w:val="16"/>
      <w:lang w:val="en-GB"/>
    </w:rPr>
  </w:style>
  <w:style w:type="paragraph" w:customStyle="1" w:styleId="CharCharCharCharCharCharCharCharCharCharCharChar">
    <w:name w:val="Char Char Char Char Char Char Char Char Char Char Char Char"/>
    <w:semiHidden/>
    <w:rsid w:val="002507AA"/>
    <w:pPr>
      <w:keepNext/>
      <w:numPr>
        <w:numId w:val="37"/>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Paragraph">
    <w:name w:val="List Paragraph"/>
    <w:basedOn w:val="Normal"/>
    <w:uiPriority w:val="34"/>
    <w:qFormat/>
    <w:rsid w:val="00F06CD4"/>
    <w:pPr>
      <w:ind w:left="720"/>
      <w:contextualSpacing/>
    </w:pPr>
  </w:style>
  <w:style w:type="character" w:customStyle="1" w:styleId="HeaderChar">
    <w:name w:val="Header Char"/>
    <w:basedOn w:val="DefaultParagraphFont"/>
    <w:link w:val="Header"/>
    <w:rsid w:val="00EC2E74"/>
    <w:rPr>
      <w:rFonts w:ascii="Arial" w:hAnsi="Arial"/>
      <w:b/>
      <w:noProof/>
      <w:sz w:val="18"/>
    </w:rPr>
  </w:style>
</w:styles>
</file>

<file path=word/webSettings.xml><?xml version="1.0" encoding="utf-8"?>
<w:webSettings xmlns:r="http://schemas.openxmlformats.org/officeDocument/2006/relationships" xmlns:w="http://schemas.openxmlformats.org/wordprocessingml/2006/main">
  <w:divs>
    <w:div w:id="228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F609A2-B8E5-4778-B907-97382130E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4</Pages>
  <Words>1390</Words>
  <Characters>7923</Characters>
  <Application>Microsoft Office Word</Application>
  <DocSecurity>0</DocSecurity>
  <Lines>66</Lines>
  <Paragraphs>18</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3GPP Contribution</vt:lpstr>
      <vt:lpstr>1	Introduction</vt:lpstr>
      <vt:lpstr>2	Component carrier definitions from RAN1</vt:lpstr>
      <vt:lpstr>3	Possible Clarifications</vt:lpstr>
      <vt:lpstr>3	Additional Terminology and Clarifications</vt:lpstr>
      <vt:lpstr>4	Conclusions and Recommendations </vt:lpstr>
      <vt:lpstr>References</vt:lpstr>
    </vt:vector>
  </TitlesOfParts>
  <Company>Nokia</Company>
  <LinksUpToDate>false</LinksUpToDate>
  <CharactersWithSpaces>9295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IDCC</dc:creator>
  <cp:keywords/>
  <dc:description/>
  <cp:lastModifiedBy>terryse</cp:lastModifiedBy>
  <cp:revision>2</cp:revision>
  <cp:lastPrinted>2009-03-12T20:24:00Z</cp:lastPrinted>
  <dcterms:created xsi:type="dcterms:W3CDTF">2009-08-17T21:23:00Z</dcterms:created>
  <dcterms:modified xsi:type="dcterms:W3CDTF">2009-08-17T21:23:00Z</dcterms:modified>
</cp:coreProperties>
</file>