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3B98FE4B" w:rsidR="00604ED6" w:rsidRPr="00604ED6" w:rsidRDefault="00604ED6" w:rsidP="00604ED6">
      <w:pPr>
        <w:pStyle w:val="Header"/>
        <w:rPr>
          <w:noProof w:val="0"/>
          <w:sz w:val="24"/>
        </w:rPr>
      </w:pPr>
      <w:r w:rsidRPr="00604ED6">
        <w:rPr>
          <w:noProof w:val="0"/>
          <w:sz w:val="24"/>
        </w:rPr>
        <w:t>3GPP TSG-RAN WG2 Meeting #</w:t>
      </w:r>
      <w:r w:rsidR="00813B5F">
        <w:rPr>
          <w:noProof w:val="0"/>
          <w:sz w:val="24"/>
        </w:rPr>
        <w:t>13</w:t>
      </w:r>
      <w:r w:rsidR="00AB3970">
        <w:rPr>
          <w:noProof w:val="0"/>
          <w:sz w:val="24"/>
        </w:rPr>
        <w:t>1</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0F6DA0" w:rsidRPr="000F6DA0">
        <w:rPr>
          <w:bCs/>
          <w:noProof w:val="0"/>
          <w:sz w:val="24"/>
        </w:rPr>
        <w:t>2505984</w:t>
      </w:r>
    </w:p>
    <w:p w14:paraId="45A40ACC" w14:textId="2726372E" w:rsidR="00EB28C1" w:rsidRPr="00C65A1B" w:rsidRDefault="002650EC" w:rsidP="00C65A1B">
      <w:pPr>
        <w:pStyle w:val="Header"/>
        <w:rPr>
          <w:noProof w:val="0"/>
          <w:sz w:val="24"/>
        </w:rPr>
      </w:pPr>
      <w:r>
        <w:rPr>
          <w:noProof w:val="0"/>
          <w:sz w:val="24"/>
        </w:rPr>
        <w:t>Bengaluru</w:t>
      </w:r>
      <w:r w:rsidR="00740E15" w:rsidRPr="00740E15">
        <w:rPr>
          <w:noProof w:val="0"/>
          <w:sz w:val="24"/>
        </w:rPr>
        <w:t xml:space="preserve">, </w:t>
      </w:r>
      <w:r>
        <w:rPr>
          <w:noProof w:val="0"/>
          <w:sz w:val="24"/>
        </w:rPr>
        <w:t>India, August</w:t>
      </w:r>
      <w:r w:rsidR="00740E15" w:rsidRPr="00740E15">
        <w:rPr>
          <w:noProof w:val="0"/>
          <w:sz w:val="24"/>
        </w:rPr>
        <w:t xml:space="preserve"> </w:t>
      </w:r>
      <w:r w:rsidR="00731D36">
        <w:rPr>
          <w:noProof w:val="0"/>
          <w:sz w:val="24"/>
        </w:rPr>
        <w:t>25</w:t>
      </w:r>
      <w:r w:rsidR="00740E15" w:rsidRPr="00740E15">
        <w:rPr>
          <w:noProof w:val="0"/>
          <w:sz w:val="24"/>
        </w:rPr>
        <w:t>–</w:t>
      </w:r>
      <w:r w:rsidR="00813B5F">
        <w:rPr>
          <w:noProof w:val="0"/>
          <w:sz w:val="24"/>
        </w:rPr>
        <w:t>2</w:t>
      </w:r>
      <w:r w:rsidR="00731D36">
        <w:rPr>
          <w:noProof w:val="0"/>
          <w:sz w:val="24"/>
        </w:rPr>
        <w:t>9</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134C9C07"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277695">
        <w:rPr>
          <w:rFonts w:ascii="Arial" w:hAnsi="Arial" w:cs="Arial"/>
          <w:b/>
          <w:bCs/>
          <w:sz w:val="24"/>
        </w:rPr>
        <w:t>Functionality Management for AIML Mobility</w:t>
      </w:r>
    </w:p>
    <w:p w14:paraId="3E03E22C" w14:textId="6600C696"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8.</w:t>
      </w:r>
      <w:r w:rsidR="00985F24">
        <w:rPr>
          <w:rFonts w:ascii="Arial" w:hAnsi="Arial"/>
          <w:b/>
          <w:sz w:val="24"/>
        </w:rPr>
        <w:t>3</w:t>
      </w:r>
      <w:r w:rsidR="00813B5F">
        <w:rPr>
          <w:rFonts w:ascii="Arial" w:hAnsi="Arial"/>
          <w:b/>
          <w:sz w:val="24"/>
        </w:rPr>
        <w:t>.</w:t>
      </w:r>
      <w:r w:rsidR="00985F24">
        <w:rPr>
          <w:rFonts w:ascii="Arial" w:hAnsi="Arial"/>
          <w:b/>
          <w:sz w:val="24"/>
        </w:rPr>
        <w:t>2.1</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402534EA" w14:textId="4610D943" w:rsidR="002E16C0" w:rsidRDefault="00A67056" w:rsidP="00B2645E">
      <w:pPr>
        <w:ind w:left="-26"/>
      </w:pPr>
      <w:r>
        <w:t xml:space="preserve">As per the direction of the SID, the AI/ML for mobility study item </w:t>
      </w:r>
      <w:r w:rsidR="00680B5F">
        <w:t xml:space="preserve">will study the RRM measurement prediction and measurement event prediction. In this contribution, we will discuss some of the essential functionality management aspects for AI/ML mobility, considering these use cases </w:t>
      </w:r>
      <w:r w:rsidR="003F6303">
        <w:t xml:space="preserve">and their relevant details. </w:t>
      </w:r>
    </w:p>
    <w:p w14:paraId="561D4593" w14:textId="25E762E0"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3D226793" w14:textId="25A95F90" w:rsidR="008677ED" w:rsidRDefault="00B95A82" w:rsidP="00F11448">
      <w:pPr>
        <w:pStyle w:val="elementtoproof"/>
        <w:jc w:val="both"/>
        <w:rPr>
          <w:rFonts w:ascii="Times New Roman" w:eastAsiaTheme="minorEastAsia" w:hAnsi="Times New Roman" w:cs="Times New Roman"/>
          <w:sz w:val="20"/>
          <w:szCs w:val="20"/>
          <w:lang w:val="en-GB"/>
        </w:rPr>
      </w:pPr>
      <w:r w:rsidRPr="00B95A82">
        <w:rPr>
          <w:rFonts w:ascii="Times New Roman" w:eastAsiaTheme="minorEastAsia" w:hAnsi="Times New Roman"/>
          <w:noProof/>
          <w:szCs w:val="20"/>
        </w:rPr>
        <mc:AlternateContent>
          <mc:Choice Requires="wps">
            <w:drawing>
              <wp:anchor distT="45720" distB="45720" distL="114300" distR="114300" simplePos="0" relativeHeight="251659264" behindDoc="0" locked="0" layoutInCell="1" allowOverlap="1" wp14:anchorId="6371D041" wp14:editId="3213963E">
                <wp:simplePos x="0" y="0"/>
                <wp:positionH relativeFrom="column">
                  <wp:posOffset>20955</wp:posOffset>
                </wp:positionH>
                <wp:positionV relativeFrom="paragraph">
                  <wp:posOffset>424180</wp:posOffset>
                </wp:positionV>
                <wp:extent cx="6099175" cy="1910080"/>
                <wp:effectExtent l="0" t="0" r="158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1910080"/>
                        </a:xfrm>
                        <a:prstGeom prst="rect">
                          <a:avLst/>
                        </a:prstGeom>
                        <a:solidFill>
                          <a:srgbClr val="FFFFFF"/>
                        </a:solidFill>
                        <a:ln w="9525">
                          <a:solidFill>
                            <a:srgbClr val="000000"/>
                          </a:solidFill>
                          <a:miter lim="800000"/>
                          <a:headEnd/>
                          <a:tailEnd/>
                        </a:ln>
                      </wps:spPr>
                      <wps:txbx>
                        <w:txbxContent>
                          <w:p w14:paraId="4E95AE45" w14:textId="73FED269" w:rsidR="00B95A82" w:rsidRPr="00B95A82" w:rsidRDefault="00B95A82" w:rsidP="00B95A82">
                            <w:pPr>
                              <w:pStyle w:val="Doc-text2"/>
                              <w:numPr>
                                <w:ilvl w:val="0"/>
                                <w:numId w:val="26"/>
                              </w:numPr>
                              <w:ind w:left="360"/>
                              <w:rPr>
                                <w:rFonts w:ascii="Times New Roman" w:hAnsi="Times New Roman"/>
                              </w:rPr>
                            </w:pPr>
                            <w:r w:rsidRPr="00B95A82">
                              <w:rPr>
                                <w:rFonts w:ascii="Times New Roman" w:hAnsi="Times New Roman"/>
                              </w:rPr>
                              <w:t xml:space="preserve">Use the beam management agreements as the baseline, including the following aspects (details can be updated after further progress is made in AI/ML PHY BM use case) </w:t>
                            </w:r>
                          </w:p>
                          <w:p w14:paraId="5F4B6DDF"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Consider Option A and Option B like scheme (if/when AI/ML PHY makes further progress)</w:t>
                            </w:r>
                          </w:p>
                          <w:p w14:paraId="6BC2F7EC"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Upon receiving a full inference configuration, the UE sends the initial applicability report in RRCReconfigurationComplete. UAI can be sent to update applicability.</w:t>
                            </w:r>
                          </w:p>
                          <w:p w14:paraId="31AE18DD"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7EFCA123"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Support the explicit reporting of applicability/inapplicability in the initial report and subsequent reporting when the applicability changes.</w:t>
                            </w:r>
                          </w:p>
                          <w:p w14:paraId="3CBEA72A"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r>
                            <w:r w:rsidRPr="00B95A82">
                              <w:rPr>
                                <w:rFonts w:ascii="Times New Roman" w:hAnsi="Times New Roman"/>
                                <w:highlight w:val="yellow"/>
                              </w:rPr>
                              <w:t>Together with inapplicability reporting, UE further indicates a simple cause value of inapplicability (FFS pending AI/ML PHY progress).</w:t>
                            </w:r>
                          </w:p>
                          <w:p w14:paraId="6FB08D0D" w14:textId="42D4AD08" w:rsidR="00B95A82" w:rsidRDefault="00B95A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71D041" id="_x0000_t202" coordsize="21600,21600" o:spt="202" path="m,l,21600r21600,l21600,xe">
                <v:stroke joinstyle="miter"/>
                <v:path gradientshapeok="t" o:connecttype="rect"/>
              </v:shapetype>
              <v:shape id="Text Box 2" o:spid="_x0000_s1026" type="#_x0000_t202" style="position:absolute;left:0;text-align:left;margin-left:1.65pt;margin-top:33.4pt;width:480.25pt;height:150.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">
                <v:textbox>
                  <w:txbxContent>
                    <w:p w14:paraId="4E95AE45" w14:textId="73FED269" w:rsidR="00B95A82" w:rsidRPr="00B95A82" w:rsidRDefault="00B95A82" w:rsidP="00B95A82">
                      <w:pPr>
                        <w:pStyle w:val="Doc-text2"/>
                        <w:numPr>
                          <w:ilvl w:val="0"/>
                          <w:numId w:val="26"/>
                        </w:numPr>
                        <w:ind w:left="360"/>
                        <w:rPr>
                          <w:rFonts w:ascii="Times New Roman" w:hAnsi="Times New Roman"/>
                        </w:rPr>
                      </w:pPr>
                      <w:r w:rsidRPr="00B95A82">
                        <w:rPr>
                          <w:rFonts w:ascii="Times New Roman" w:hAnsi="Times New Roman"/>
                        </w:rPr>
                        <w:t xml:space="preserve">Use the beam management agreements as the baseline, including the following aspects (details can be updated after further progress is made in AI/ML PHY BM use case) </w:t>
                      </w:r>
                    </w:p>
                    <w:p w14:paraId="5F4B6DDF"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Consider Option A and Option B like scheme (if/when AI/ML PHY makes further progress)</w:t>
                      </w:r>
                    </w:p>
                    <w:p w14:paraId="6BC2F7EC"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Upon receiving a full inference configuration, the UE sends the initial applicability report in RRCReconfigurationComplete. UAI can be sent to update applicability.</w:t>
                      </w:r>
                    </w:p>
                    <w:p w14:paraId="31AE18DD"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7EFCA123"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t>Support the explicit reporting of applicability/inapplicability in the initial report and subsequent reporting when the applicability changes.</w:t>
                      </w:r>
                    </w:p>
                    <w:p w14:paraId="3CBEA72A" w14:textId="77777777" w:rsidR="00B95A82" w:rsidRPr="00B95A82" w:rsidRDefault="00B95A82" w:rsidP="00B95A82">
                      <w:pPr>
                        <w:pStyle w:val="Doc-text2"/>
                        <w:ind w:left="723"/>
                        <w:rPr>
                          <w:rFonts w:ascii="Times New Roman" w:hAnsi="Times New Roman"/>
                        </w:rPr>
                      </w:pPr>
                      <w:r w:rsidRPr="00B95A82">
                        <w:rPr>
                          <w:rFonts w:ascii="Times New Roman" w:hAnsi="Times New Roman"/>
                        </w:rPr>
                        <w:t>•</w:t>
                      </w:r>
                      <w:r w:rsidRPr="00B95A82">
                        <w:rPr>
                          <w:rFonts w:ascii="Times New Roman" w:hAnsi="Times New Roman"/>
                        </w:rPr>
                        <w:tab/>
                      </w:r>
                      <w:r w:rsidRPr="00B95A82">
                        <w:rPr>
                          <w:rFonts w:ascii="Times New Roman" w:hAnsi="Times New Roman"/>
                          <w:highlight w:val="yellow"/>
                        </w:rPr>
                        <w:t>Together with inapplicability reporting, UE further indicates a simple cause value of inapplicability (FFS pending AI/ML PHY progress).</w:t>
                      </w:r>
                    </w:p>
                    <w:p w14:paraId="6FB08D0D" w14:textId="42D4AD08" w:rsidR="00B95A82" w:rsidRDefault="00B95A82"/>
                  </w:txbxContent>
                </v:textbox>
                <w10:wrap type="square"/>
              </v:shape>
            </w:pict>
          </mc:Fallback>
        </mc:AlternateContent>
      </w:r>
      <w:r w:rsidR="001571F2" w:rsidRPr="001571F2">
        <w:rPr>
          <w:rFonts w:ascii="Times New Roman" w:eastAsiaTheme="minorEastAsia" w:hAnsi="Times New Roman" w:cs="Times New Roman"/>
          <w:sz w:val="20"/>
          <w:szCs w:val="20"/>
          <w:lang w:val="en-GB"/>
        </w:rPr>
        <w:t>In the RAN2#</w:t>
      </w:r>
      <w:r w:rsidR="00897218">
        <w:rPr>
          <w:rFonts w:ascii="Times New Roman" w:eastAsiaTheme="minorEastAsia" w:hAnsi="Times New Roman" w:cs="Times New Roman"/>
          <w:sz w:val="20"/>
          <w:szCs w:val="20"/>
          <w:lang w:val="en-GB"/>
        </w:rPr>
        <w:t>130</w:t>
      </w:r>
      <w:r w:rsidR="001571F2" w:rsidRPr="001571F2">
        <w:rPr>
          <w:rFonts w:ascii="Times New Roman" w:eastAsiaTheme="minorEastAsia" w:hAnsi="Times New Roman" w:cs="Times New Roman"/>
          <w:sz w:val="20"/>
          <w:szCs w:val="20"/>
          <w:lang w:val="en-GB"/>
        </w:rPr>
        <w:t xml:space="preserve"> meeting, an agreement was made to further study how to define a simple cause related to model availability and how to capture it in the specification.</w:t>
      </w:r>
      <w:r w:rsidR="00AB58FC">
        <w:rPr>
          <w:rFonts w:ascii="Times New Roman" w:eastAsiaTheme="minorEastAsia" w:hAnsi="Times New Roman" w:cs="Times New Roman"/>
          <w:sz w:val="20"/>
          <w:szCs w:val="20"/>
          <w:lang w:val="en-GB"/>
        </w:rPr>
        <w:t xml:space="preserve"> </w:t>
      </w:r>
    </w:p>
    <w:p w14:paraId="3DE0F91B" w14:textId="2AEB730C" w:rsidR="008677ED" w:rsidRDefault="008677ED" w:rsidP="00F11448">
      <w:pPr>
        <w:pStyle w:val="elementtoproof"/>
        <w:jc w:val="both"/>
        <w:rPr>
          <w:rFonts w:ascii="Times New Roman" w:eastAsiaTheme="minorEastAsia" w:hAnsi="Times New Roman" w:cs="Times New Roman"/>
          <w:sz w:val="20"/>
          <w:szCs w:val="20"/>
          <w:lang w:val="en-GB"/>
        </w:rPr>
      </w:pPr>
    </w:p>
    <w:p w14:paraId="27A6CCBE" w14:textId="07D2F504" w:rsidR="00F11448" w:rsidRPr="00F11448" w:rsidRDefault="00C87B67" w:rsidP="00F11448">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would like to emphasise the importance of reporting the cause of model inapplicability to the network that it helps the network to understand why a model became inapplicable. To address </w:t>
      </w:r>
      <w:r w:rsidR="00F11448">
        <w:rPr>
          <w:rFonts w:ascii="Times New Roman" w:eastAsiaTheme="minorEastAsia" w:hAnsi="Times New Roman" w:cs="Times New Roman"/>
          <w:sz w:val="20"/>
          <w:szCs w:val="20"/>
          <w:lang w:val="en-GB"/>
        </w:rPr>
        <w:t>this,</w:t>
      </w:r>
      <w:r>
        <w:rPr>
          <w:rFonts w:ascii="Times New Roman" w:eastAsiaTheme="minorEastAsia" w:hAnsi="Times New Roman" w:cs="Times New Roman"/>
          <w:sz w:val="20"/>
          <w:szCs w:val="20"/>
          <w:lang w:val="en-GB"/>
        </w:rPr>
        <w:t xml:space="preserve"> we pro</w:t>
      </w:r>
      <w:r w:rsidR="00F11448">
        <w:rPr>
          <w:rFonts w:ascii="Times New Roman" w:eastAsiaTheme="minorEastAsia" w:hAnsi="Times New Roman" w:cs="Times New Roman"/>
          <w:sz w:val="20"/>
          <w:szCs w:val="20"/>
          <w:lang w:val="en-GB"/>
        </w:rPr>
        <w:t xml:space="preserve">pose a </w:t>
      </w:r>
      <w:r w:rsidR="00F11448" w:rsidRPr="00F11448">
        <w:rPr>
          <w:rFonts w:ascii="Times New Roman" w:eastAsiaTheme="minorEastAsia" w:hAnsi="Times New Roman" w:cs="Times New Roman"/>
          <w:sz w:val="20"/>
          <w:szCs w:val="20"/>
          <w:lang w:val="en-GB"/>
        </w:rPr>
        <w:t xml:space="preserve">hierarchical bitmap representation </w:t>
      </w:r>
      <w:r w:rsidR="00314BBA">
        <w:rPr>
          <w:rFonts w:ascii="Times New Roman" w:eastAsiaTheme="minorEastAsia" w:hAnsi="Times New Roman" w:cs="Times New Roman"/>
          <w:sz w:val="20"/>
          <w:szCs w:val="20"/>
          <w:lang w:val="en-GB"/>
        </w:rPr>
        <w:t xml:space="preserve">that </w:t>
      </w:r>
      <w:r w:rsidR="00F11448" w:rsidRPr="00F11448">
        <w:rPr>
          <w:rFonts w:ascii="Times New Roman" w:eastAsiaTheme="minorEastAsia" w:hAnsi="Times New Roman" w:cs="Times New Roman"/>
          <w:sz w:val="20"/>
          <w:szCs w:val="20"/>
          <w:lang w:val="en-GB"/>
        </w:rPr>
        <w:t xml:space="preserve">introduces a structured approach to categorize inapplicability causes into three levels: scope, entity side, and detailed cause. This </w:t>
      </w:r>
      <w:r w:rsidR="002E0928">
        <w:rPr>
          <w:rFonts w:ascii="Times New Roman" w:eastAsiaTheme="minorEastAsia" w:hAnsi="Times New Roman" w:cs="Times New Roman"/>
          <w:sz w:val="20"/>
          <w:szCs w:val="20"/>
          <w:lang w:val="en-GB"/>
        </w:rPr>
        <w:t>approach</w:t>
      </w:r>
      <w:r w:rsidR="00F11448" w:rsidRPr="00F11448">
        <w:rPr>
          <w:rFonts w:ascii="Times New Roman" w:eastAsiaTheme="minorEastAsia" w:hAnsi="Times New Roman" w:cs="Times New Roman"/>
          <w:sz w:val="20"/>
          <w:szCs w:val="20"/>
          <w:lang w:val="en-GB"/>
        </w:rPr>
        <w:t xml:space="preserve"> ensures a comprehensive and efficient way to communicate the reasons for model inapplicability from the UE to the network.</w:t>
      </w:r>
    </w:p>
    <w:p w14:paraId="4509660F"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149D2528"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The scope is defined in 1-bit, indicating whether the inapplicability is temporary or permanent. This allows the network to quickly understand the duration of the issue. The entity side is defined in 2-bits, specifying whether the issue is on the UE-side, NW-side, due to metadata/configuration issues, or reserved for future use. This categorization helps in pinpointing the source of the problem. The detailed cause is defined in 4-bits, providing specific reasons for inapplicability such as low battery, buffer status full, compute core unavailable, etc. This granularity ensures that the network receives precise information about the issue.</w:t>
      </w:r>
    </w:p>
    <w:p w14:paraId="6BA72747"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069AAE08" w14:textId="795C9729" w:rsidR="00F11448" w:rsidRPr="00F11448" w:rsidRDefault="00F11448" w:rsidP="00F11448">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 xml:space="preserve">The UE signals the bitmap whenever it determines the model is inapplicable. </w:t>
      </w:r>
      <w:r w:rsidR="00C55BE1" w:rsidRPr="00E56442">
        <w:rPr>
          <w:rFonts w:ascii="Times New Roman" w:eastAsiaTheme="minorEastAsia" w:hAnsi="Times New Roman" w:cs="Times New Roman"/>
          <w:sz w:val="20"/>
          <w:szCs w:val="20"/>
          <w:lang w:val="en-GB"/>
        </w:rPr>
        <w:t>For example, the UE may report the inference before or during the model application, being proactive during model applicability reporting, or reactively after model applicability failure.</w:t>
      </w:r>
      <w:r w:rsidR="00C55BE1">
        <w:rPr>
          <w:rFonts w:ascii="Times New Roman" w:eastAsiaTheme="minorEastAsia" w:hAnsi="Times New Roman" w:cs="Times New Roman"/>
          <w:sz w:val="20"/>
          <w:szCs w:val="20"/>
          <w:lang w:val="en-GB"/>
        </w:rPr>
        <w:t xml:space="preserve"> </w:t>
      </w:r>
      <w:r w:rsidR="00C55BE1" w:rsidRPr="00E56442">
        <w:rPr>
          <w:rFonts w:ascii="Times New Roman" w:eastAsiaTheme="minorEastAsia" w:hAnsi="Times New Roman" w:cs="Times New Roman"/>
          <w:sz w:val="20"/>
          <w:szCs w:val="20"/>
          <w:lang w:val="en-GB"/>
        </w:rPr>
        <w:t>The UE may initiate the inference upon receiving the model activation signalling from the network, periodically, or as a failure fallback.</w:t>
      </w:r>
      <w:r w:rsidR="00C55BE1">
        <w:rPr>
          <w:rFonts w:ascii="Times New Roman" w:eastAsiaTheme="minorEastAsia" w:hAnsi="Times New Roman" w:cs="Times New Roman"/>
          <w:sz w:val="20"/>
          <w:szCs w:val="20"/>
          <w:lang w:val="en-GB"/>
        </w:rPr>
        <w:t xml:space="preserve"> </w:t>
      </w:r>
      <w:r w:rsidRPr="00F11448">
        <w:rPr>
          <w:rFonts w:ascii="Times New Roman" w:eastAsiaTheme="minorEastAsia" w:hAnsi="Times New Roman" w:cs="Times New Roman"/>
          <w:sz w:val="20"/>
          <w:szCs w:val="20"/>
          <w:lang w:val="en-GB"/>
        </w:rPr>
        <w:t>Upon receiving this indication, the network can disable or reconfigure the UE side model parameters accordingly. This mechanism ensures that the network can take timely and appropriate actions based on the inapplicability causes reported by the UE.</w:t>
      </w:r>
    </w:p>
    <w:p w14:paraId="77131749"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754C4B1F" w14:textId="521371ED" w:rsidR="00B664EF" w:rsidRPr="00F11448" w:rsidRDefault="00B664EF" w:rsidP="00B664EF">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 xml:space="preserve">In addition to the hierarchical bitmap, a lightweight ML model standardized on the UE is proposed to pre-empt the applicability of a model before it is configured by the network. This model considers the UE context such as CPU load, </w:t>
      </w:r>
      <w:r w:rsidRPr="00F11448">
        <w:rPr>
          <w:rFonts w:ascii="Times New Roman" w:eastAsiaTheme="minorEastAsia" w:hAnsi="Times New Roman" w:cs="Times New Roman"/>
          <w:sz w:val="20"/>
          <w:szCs w:val="20"/>
          <w:lang w:val="en-GB"/>
        </w:rPr>
        <w:lastRenderedPageBreak/>
        <w:t>memory usage, battery level, etc., as well as network state such as AI model policy (privacy, etc.), gNB configuration, etc. The model also considers model metadata such as size, execution time estimate, hardware dependency, etc.</w:t>
      </w:r>
    </w:p>
    <w:p w14:paraId="3C340F68"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3B14E2FC" w14:textId="77777777" w:rsidR="00732FBA" w:rsidRPr="00F278C3" w:rsidRDefault="00732FBA" w:rsidP="00646689">
      <w:pPr>
        <w:pStyle w:val="elementtoproof"/>
        <w:jc w:val="both"/>
        <w:rPr>
          <w:rFonts w:ascii="Times New Roman" w:eastAsiaTheme="minorEastAsia" w:hAnsi="Times New Roman" w:cs="Times New Roman"/>
          <w:sz w:val="20"/>
          <w:szCs w:val="20"/>
          <w:lang w:val="en-GB"/>
        </w:rPr>
      </w:pPr>
      <w:r w:rsidRPr="00732FBA">
        <w:rPr>
          <w:rFonts w:ascii="Times New Roman" w:eastAsiaTheme="minorEastAsia" w:hAnsi="Times New Roman" w:cs="Times New Roman"/>
          <w:b/>
          <w:bCs/>
          <w:sz w:val="20"/>
          <w:szCs w:val="20"/>
          <w:lang w:val="en-GB"/>
        </w:rPr>
        <w:t xml:space="preserve">Proposal 1: </w:t>
      </w:r>
      <w:r w:rsidRPr="00F278C3">
        <w:rPr>
          <w:rFonts w:ascii="Times New Roman" w:eastAsiaTheme="minorEastAsia" w:hAnsi="Times New Roman" w:cs="Times New Roman"/>
          <w:sz w:val="20"/>
          <w:szCs w:val="20"/>
          <w:lang w:val="en-GB"/>
        </w:rPr>
        <w:t>The network may configure a hierarchical bitmap representation for the UE to indicate model inapplicability causes. This bitmap will include:</w:t>
      </w:r>
    </w:p>
    <w:p w14:paraId="2B549E96" w14:textId="77777777" w:rsidR="00732FBA" w:rsidRPr="00F278C3" w:rsidRDefault="00732FBA" w:rsidP="00646689">
      <w:pPr>
        <w:pStyle w:val="elementtoproof"/>
        <w:jc w:val="both"/>
        <w:rPr>
          <w:rFonts w:ascii="Times New Roman" w:eastAsiaTheme="minorEastAsia" w:hAnsi="Times New Roman" w:cs="Times New Roman"/>
          <w:sz w:val="20"/>
          <w:szCs w:val="20"/>
          <w:lang w:val="en-GB"/>
        </w:rPr>
      </w:pPr>
    </w:p>
    <w:p w14:paraId="6854AD71" w14:textId="77777777" w:rsidR="00732FBA" w:rsidRPr="00F278C3" w:rsidRDefault="00732FBA" w:rsidP="00646689">
      <w:pPr>
        <w:pStyle w:val="elementtoproof"/>
        <w:numPr>
          <w:ilvl w:val="0"/>
          <w:numId w:val="25"/>
        </w:numPr>
        <w:ind w:left="720"/>
        <w:jc w:val="both"/>
        <w:rPr>
          <w:rFonts w:ascii="Times New Roman" w:eastAsiaTheme="minorEastAsia" w:hAnsi="Times New Roman" w:cs="Times New Roman"/>
          <w:sz w:val="20"/>
          <w:szCs w:val="20"/>
          <w:lang w:val="en-GB"/>
        </w:rPr>
      </w:pPr>
      <w:r w:rsidRPr="00F278C3">
        <w:rPr>
          <w:rFonts w:ascii="Times New Roman" w:eastAsiaTheme="minorEastAsia" w:hAnsi="Times New Roman" w:cs="Times New Roman"/>
          <w:sz w:val="20"/>
          <w:szCs w:val="20"/>
          <w:lang w:val="en-GB"/>
        </w:rPr>
        <w:t>Scope: 1-bit (temporary or permanent inapplicability)</w:t>
      </w:r>
    </w:p>
    <w:p w14:paraId="138EB6CC" w14:textId="77777777" w:rsidR="00732FBA" w:rsidRPr="00F278C3" w:rsidRDefault="00732FBA" w:rsidP="00646689">
      <w:pPr>
        <w:pStyle w:val="elementtoproof"/>
        <w:numPr>
          <w:ilvl w:val="0"/>
          <w:numId w:val="25"/>
        </w:numPr>
        <w:ind w:left="720"/>
        <w:jc w:val="both"/>
        <w:rPr>
          <w:rFonts w:ascii="Times New Roman" w:eastAsiaTheme="minorEastAsia" w:hAnsi="Times New Roman" w:cs="Times New Roman"/>
          <w:sz w:val="20"/>
          <w:szCs w:val="20"/>
          <w:lang w:val="en-GB"/>
        </w:rPr>
      </w:pPr>
      <w:r w:rsidRPr="00F278C3">
        <w:rPr>
          <w:rFonts w:ascii="Times New Roman" w:eastAsiaTheme="minorEastAsia" w:hAnsi="Times New Roman" w:cs="Times New Roman"/>
          <w:sz w:val="20"/>
          <w:szCs w:val="20"/>
          <w:lang w:val="en-GB"/>
        </w:rPr>
        <w:t>Entity Side: 2-bits (UE-side, NW-side, metadata/config issue, reserved)</w:t>
      </w:r>
    </w:p>
    <w:p w14:paraId="6507756B" w14:textId="77777777" w:rsidR="00732FBA" w:rsidRPr="00F278C3" w:rsidRDefault="00732FBA" w:rsidP="00646689">
      <w:pPr>
        <w:pStyle w:val="elementtoproof"/>
        <w:numPr>
          <w:ilvl w:val="0"/>
          <w:numId w:val="25"/>
        </w:numPr>
        <w:ind w:left="720"/>
        <w:jc w:val="both"/>
        <w:rPr>
          <w:rFonts w:ascii="Times New Roman" w:eastAsiaTheme="minorEastAsia" w:hAnsi="Times New Roman" w:cs="Times New Roman"/>
          <w:sz w:val="20"/>
          <w:szCs w:val="20"/>
          <w:lang w:val="en-GB"/>
        </w:rPr>
      </w:pPr>
      <w:r w:rsidRPr="00F278C3">
        <w:rPr>
          <w:rFonts w:ascii="Times New Roman" w:eastAsiaTheme="minorEastAsia" w:hAnsi="Times New Roman" w:cs="Times New Roman"/>
          <w:sz w:val="20"/>
          <w:szCs w:val="20"/>
          <w:lang w:val="en-GB"/>
        </w:rPr>
        <w:t>Detailed Cause: 4-bits (low battery, buffer status full, compute core unavailable, etc.)</w:t>
      </w:r>
    </w:p>
    <w:p w14:paraId="3F6A3BB2" w14:textId="77777777" w:rsidR="00732FBA" w:rsidRDefault="00732FBA" w:rsidP="00646689">
      <w:pPr>
        <w:pStyle w:val="elementtoproof"/>
        <w:jc w:val="both"/>
        <w:rPr>
          <w:rFonts w:ascii="Times New Roman" w:eastAsiaTheme="minorEastAsia" w:hAnsi="Times New Roman" w:cs="Times New Roman"/>
          <w:b/>
          <w:bCs/>
          <w:sz w:val="20"/>
          <w:szCs w:val="20"/>
          <w:lang w:val="en-GB"/>
        </w:rPr>
      </w:pPr>
    </w:p>
    <w:p w14:paraId="6A306462" w14:textId="72BFB406" w:rsidR="00732FBA" w:rsidRPr="00732FBA" w:rsidRDefault="00732FBA"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 xml:space="preserve">Proposal 2: </w:t>
      </w:r>
      <w:r w:rsidRPr="00F278C3">
        <w:rPr>
          <w:rFonts w:ascii="Times New Roman" w:eastAsiaTheme="minorEastAsia" w:hAnsi="Times New Roman" w:cs="Times New Roman"/>
          <w:sz w:val="20"/>
          <w:szCs w:val="20"/>
          <w:lang w:val="en-GB"/>
        </w:rPr>
        <w:t>The UE should signal the bitmap using L1/L2/L3 whenever it determines the model is inapplicable. Upon receiving the indication, the network will disable or reconfigure the UE side model parameters.</w:t>
      </w:r>
    </w:p>
    <w:p w14:paraId="5D87EDA0" w14:textId="77777777" w:rsidR="00732FBA" w:rsidRPr="00732FBA" w:rsidRDefault="00732FBA" w:rsidP="00646689">
      <w:pPr>
        <w:pStyle w:val="elementtoproof"/>
        <w:jc w:val="both"/>
        <w:rPr>
          <w:rFonts w:ascii="Times New Roman" w:eastAsiaTheme="minorEastAsia" w:hAnsi="Times New Roman" w:cs="Times New Roman"/>
          <w:b/>
          <w:bCs/>
          <w:sz w:val="20"/>
          <w:szCs w:val="20"/>
          <w:lang w:val="en-GB"/>
        </w:rPr>
      </w:pPr>
    </w:p>
    <w:p w14:paraId="42B3EDCA" w14:textId="6F3199B5" w:rsidR="00732FBA" w:rsidRPr="00F278C3" w:rsidRDefault="00732FBA" w:rsidP="00646689">
      <w:pPr>
        <w:pStyle w:val="elementtoproof"/>
        <w:jc w:val="both"/>
        <w:rPr>
          <w:rFonts w:ascii="Times New Roman" w:eastAsiaTheme="minorEastAsia" w:hAnsi="Times New Roman" w:cs="Times New Roman"/>
          <w:sz w:val="20"/>
          <w:szCs w:val="20"/>
          <w:lang w:val="en-GB"/>
        </w:rPr>
      </w:pPr>
      <w:r w:rsidRPr="00732FBA">
        <w:rPr>
          <w:rFonts w:ascii="Times New Roman" w:eastAsiaTheme="minorEastAsia" w:hAnsi="Times New Roman" w:cs="Times New Roman"/>
          <w:b/>
          <w:bCs/>
          <w:sz w:val="20"/>
          <w:szCs w:val="20"/>
          <w:lang w:val="en-GB"/>
        </w:rPr>
        <w:t xml:space="preserve">Proposal 3: </w:t>
      </w:r>
      <w:r w:rsidRPr="00F278C3">
        <w:rPr>
          <w:rFonts w:ascii="Times New Roman" w:eastAsiaTheme="minorEastAsia" w:hAnsi="Times New Roman" w:cs="Times New Roman"/>
          <w:sz w:val="20"/>
          <w:szCs w:val="20"/>
          <w:lang w:val="en-GB"/>
        </w:rPr>
        <w:t xml:space="preserve">A lightweight ML model standardized on the UE should be used to pre-empt the applicability of a model before it is configured by the network. This model should </w:t>
      </w:r>
      <w:r w:rsidR="00D60F6B" w:rsidRPr="00F278C3">
        <w:rPr>
          <w:rFonts w:ascii="Times New Roman" w:eastAsiaTheme="minorEastAsia" w:hAnsi="Times New Roman" w:cs="Times New Roman"/>
          <w:sz w:val="20"/>
          <w:szCs w:val="20"/>
          <w:lang w:val="en-GB"/>
        </w:rPr>
        <w:t>consider</w:t>
      </w:r>
      <w:r w:rsidRPr="00F278C3">
        <w:rPr>
          <w:rFonts w:ascii="Times New Roman" w:eastAsiaTheme="minorEastAsia" w:hAnsi="Times New Roman" w:cs="Times New Roman"/>
          <w:sz w:val="20"/>
          <w:szCs w:val="20"/>
          <w:lang w:val="en-GB"/>
        </w:rPr>
        <w:t xml:space="preserve"> the UE context, network state, and model metadata. The UE may report the inference proactively or </w:t>
      </w:r>
      <w:r w:rsidR="00D60F6B" w:rsidRPr="00F278C3">
        <w:rPr>
          <w:rFonts w:ascii="Times New Roman" w:eastAsiaTheme="minorEastAsia" w:hAnsi="Times New Roman" w:cs="Times New Roman"/>
          <w:sz w:val="20"/>
          <w:szCs w:val="20"/>
          <w:lang w:val="en-GB"/>
        </w:rPr>
        <w:t>reactively and</w:t>
      </w:r>
      <w:r w:rsidRPr="00F278C3">
        <w:rPr>
          <w:rFonts w:ascii="Times New Roman" w:eastAsiaTheme="minorEastAsia" w:hAnsi="Times New Roman" w:cs="Times New Roman"/>
          <w:sz w:val="20"/>
          <w:szCs w:val="20"/>
          <w:lang w:val="en-GB"/>
        </w:rPr>
        <w:t xml:space="preserve"> signal the </w:t>
      </w:r>
      <w:r w:rsidR="00D60F6B" w:rsidRPr="00F278C3">
        <w:rPr>
          <w:rFonts w:ascii="Times New Roman" w:eastAsiaTheme="minorEastAsia" w:hAnsi="Times New Roman" w:cs="Times New Roman"/>
          <w:sz w:val="20"/>
          <w:szCs w:val="20"/>
          <w:lang w:val="en-GB"/>
        </w:rPr>
        <w:t>pre-empted</w:t>
      </w:r>
      <w:r w:rsidRPr="00F278C3">
        <w:rPr>
          <w:rFonts w:ascii="Times New Roman" w:eastAsiaTheme="minorEastAsia" w:hAnsi="Times New Roman" w:cs="Times New Roman"/>
          <w:sz w:val="20"/>
          <w:szCs w:val="20"/>
          <w:lang w:val="en-GB"/>
        </w:rPr>
        <w:t xml:space="preserve"> inference to the network.</w:t>
      </w:r>
    </w:p>
    <w:p w14:paraId="0BB62FFC" w14:textId="77777777" w:rsidR="00732FBA" w:rsidRPr="00F278C3" w:rsidRDefault="00732FBA" w:rsidP="00732FBA">
      <w:pPr>
        <w:pStyle w:val="elementtoproof"/>
        <w:rPr>
          <w:rFonts w:ascii="Times New Roman" w:eastAsiaTheme="minorEastAsia" w:hAnsi="Times New Roman" w:cs="Times New Roman"/>
          <w:sz w:val="20"/>
          <w:szCs w:val="20"/>
          <w:lang w:val="en-GB"/>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B3DDA4C" w14:textId="77777777" w:rsidR="00D60F6B" w:rsidRDefault="00D60F6B" w:rsidP="00646689">
      <w:pPr>
        <w:pStyle w:val="elementtoproof"/>
        <w:jc w:val="both"/>
        <w:rPr>
          <w:rFonts w:ascii="Times New Roman" w:eastAsiaTheme="minorEastAsia" w:hAnsi="Times New Roman" w:cs="Times New Roman"/>
          <w:sz w:val="20"/>
          <w:szCs w:val="20"/>
          <w:lang w:val="en-GB"/>
        </w:rPr>
      </w:pPr>
      <w:r w:rsidRPr="00D60F6B">
        <w:rPr>
          <w:rFonts w:ascii="Times New Roman" w:eastAsiaTheme="minorEastAsia" w:hAnsi="Times New Roman" w:cs="Times New Roman"/>
          <w:sz w:val="20"/>
          <w:szCs w:val="20"/>
          <w:lang w:val="en-GB"/>
        </w:rPr>
        <w:t>In this document, we propose a hierarchical bitmap representation for applicability reporting and the use of a lightweight ML model for pre-empting model applicability. This method ensures efficient communication between the UE and the network regarding model inapplicability causes and pre-emptive inference. Additionally, we request RAN2 to discuss the following proposals:</w:t>
      </w:r>
    </w:p>
    <w:p w14:paraId="5C6E83A0" w14:textId="77777777" w:rsidR="00D60F6B" w:rsidRDefault="00D60F6B" w:rsidP="00646689">
      <w:pPr>
        <w:pStyle w:val="elementtoproof"/>
        <w:jc w:val="both"/>
        <w:rPr>
          <w:rFonts w:ascii="Times New Roman" w:eastAsiaTheme="minorEastAsia" w:hAnsi="Times New Roman" w:cs="Times New Roman"/>
          <w:sz w:val="20"/>
          <w:szCs w:val="20"/>
          <w:lang w:val="en-GB"/>
        </w:rPr>
      </w:pPr>
    </w:p>
    <w:p w14:paraId="6D8B5F72"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Proposal 1: The network may configure a hierarchical bitmap representation for the UE to indicate model inapplicability causes. This bitmap will include:</w:t>
      </w:r>
    </w:p>
    <w:p w14:paraId="16D97D0C"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p>
    <w:p w14:paraId="309EE6BD" w14:textId="77777777" w:rsidR="00D60F6B" w:rsidRPr="00732FBA" w:rsidRDefault="00D60F6B" w:rsidP="00646689">
      <w:pPr>
        <w:pStyle w:val="elementtoproof"/>
        <w:numPr>
          <w:ilvl w:val="0"/>
          <w:numId w:val="25"/>
        </w:numPr>
        <w:ind w:left="720"/>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Scope: 1-bit (temporary or permanent inapplicability)</w:t>
      </w:r>
    </w:p>
    <w:p w14:paraId="5B06AF09" w14:textId="77777777" w:rsidR="00D60F6B" w:rsidRPr="00732FBA" w:rsidRDefault="00D60F6B" w:rsidP="00646689">
      <w:pPr>
        <w:pStyle w:val="elementtoproof"/>
        <w:numPr>
          <w:ilvl w:val="0"/>
          <w:numId w:val="25"/>
        </w:numPr>
        <w:ind w:left="720"/>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Entity Side: 2-bits (UE-side, NW-side, metadata/config issue, reserved)</w:t>
      </w:r>
    </w:p>
    <w:p w14:paraId="2A75C5F6" w14:textId="77777777" w:rsidR="00D60F6B" w:rsidRPr="00732FBA" w:rsidRDefault="00D60F6B" w:rsidP="00646689">
      <w:pPr>
        <w:pStyle w:val="elementtoproof"/>
        <w:numPr>
          <w:ilvl w:val="0"/>
          <w:numId w:val="25"/>
        </w:numPr>
        <w:ind w:left="720"/>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Detailed Cause: 4-bits (low battery, buffer status full, compute core unavailable, etc.)</w:t>
      </w:r>
    </w:p>
    <w:p w14:paraId="0338321B" w14:textId="77777777" w:rsidR="00D60F6B" w:rsidRDefault="00D60F6B" w:rsidP="00646689">
      <w:pPr>
        <w:pStyle w:val="elementtoproof"/>
        <w:jc w:val="both"/>
        <w:rPr>
          <w:rFonts w:ascii="Times New Roman" w:eastAsiaTheme="minorEastAsia" w:hAnsi="Times New Roman" w:cs="Times New Roman"/>
          <w:b/>
          <w:bCs/>
          <w:sz w:val="20"/>
          <w:szCs w:val="20"/>
          <w:lang w:val="en-GB"/>
        </w:rPr>
      </w:pPr>
    </w:p>
    <w:p w14:paraId="1DE6F114" w14:textId="17F0372C" w:rsidR="00D60F6B" w:rsidRPr="00732FBA" w:rsidRDefault="00D60F6B"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Proposal 2: The UE should signal the bitmap whenever it determines the model is inapplicable. Upon receiving the indication, the network will disable or reconfigure the UE side model parameters.</w:t>
      </w:r>
    </w:p>
    <w:p w14:paraId="3FBB59BF"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p>
    <w:p w14:paraId="116EB7D3" w14:textId="073EAE31" w:rsidR="00D60F6B" w:rsidRPr="00732FBA" w:rsidRDefault="00D60F6B"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Proposal 3: A lightweight ML model standardized on the UE should be used to pre-empt the applicability of a model before it is configured by the network. This model should consider the UE context, network state, and model metadata. The UE may report the inference proactively or reactively and signal the pre-empted inference to the network.</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431B6340" w:rsidR="00B018C7" w:rsidRPr="00897BB1" w:rsidRDefault="00445D09" w:rsidP="00897BB1">
      <w:pPr>
        <w:jc w:val="both"/>
      </w:pPr>
      <w:r>
        <w:t>[1] RAN2#1</w:t>
      </w:r>
      <w:r w:rsidR="00B95A82">
        <w:t>30</w:t>
      </w:r>
      <w:r w:rsidR="00D60F6B">
        <w:t xml:space="preserve"> </w:t>
      </w:r>
      <w:r>
        <w:t>meeting chair note</w:t>
      </w:r>
      <w:r w:rsidR="004500E9">
        <w:t>s.</w:t>
      </w: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0C70" w14:textId="77777777" w:rsidR="00420051" w:rsidRDefault="00420051">
      <w:pPr>
        <w:spacing w:after="0"/>
      </w:pPr>
      <w:r>
        <w:separator/>
      </w:r>
    </w:p>
  </w:endnote>
  <w:endnote w:type="continuationSeparator" w:id="0">
    <w:p w14:paraId="35CB060B" w14:textId="77777777" w:rsidR="00420051" w:rsidRDefault="00420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_x0000_s1027"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C051" w14:textId="77777777" w:rsidR="00420051" w:rsidRDefault="00420051">
      <w:pPr>
        <w:spacing w:after="0"/>
      </w:pPr>
      <w:r>
        <w:separator/>
      </w:r>
    </w:p>
  </w:footnote>
  <w:footnote w:type="continuationSeparator" w:id="0">
    <w:p w14:paraId="1815D8EA" w14:textId="77777777" w:rsidR="00420051" w:rsidRDefault="004200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C5A7FEB"/>
    <w:multiLevelType w:val="hybridMultilevel"/>
    <w:tmpl w:val="6D0AAD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346B23B8"/>
    <w:multiLevelType w:val="hybridMultilevel"/>
    <w:tmpl w:val="E7D0DCDC"/>
    <w:lvl w:ilvl="0" w:tplc="0409000F">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9"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4"/>
  </w:num>
  <w:num w:numId="2" w16cid:durableId="1595016719">
    <w:abstractNumId w:val="22"/>
  </w:num>
  <w:num w:numId="3" w16cid:durableId="759520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0"/>
  </w:num>
  <w:num w:numId="5" w16cid:durableId="684403787">
    <w:abstractNumId w:val="11"/>
  </w:num>
  <w:num w:numId="6" w16cid:durableId="253444351">
    <w:abstractNumId w:val="10"/>
  </w:num>
  <w:num w:numId="7" w16cid:durableId="1227959006">
    <w:abstractNumId w:val="6"/>
  </w:num>
  <w:num w:numId="8" w16cid:durableId="517499520">
    <w:abstractNumId w:val="9"/>
  </w:num>
  <w:num w:numId="9" w16cid:durableId="960653784">
    <w:abstractNumId w:val="7"/>
  </w:num>
  <w:num w:numId="10" w16cid:durableId="1492215482">
    <w:abstractNumId w:val="19"/>
  </w:num>
  <w:num w:numId="11" w16cid:durableId="1382635144">
    <w:abstractNumId w:val="16"/>
  </w:num>
  <w:num w:numId="12" w16cid:durableId="802842921">
    <w:abstractNumId w:val="15"/>
  </w:num>
  <w:num w:numId="13" w16cid:durableId="2511646">
    <w:abstractNumId w:val="12"/>
  </w:num>
  <w:num w:numId="14" w16cid:durableId="1428307556">
    <w:abstractNumId w:val="1"/>
  </w:num>
  <w:num w:numId="15" w16cid:durableId="167327638">
    <w:abstractNumId w:val="3"/>
  </w:num>
  <w:num w:numId="16" w16cid:durableId="8648303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3"/>
  </w:num>
  <w:num w:numId="18" w16cid:durableId="521944967">
    <w:abstractNumId w:val="17"/>
  </w:num>
  <w:num w:numId="19" w16cid:durableId="1208567500">
    <w:abstractNumId w:val="23"/>
  </w:num>
  <w:num w:numId="20" w16cid:durableId="1135878197">
    <w:abstractNumId w:val="5"/>
  </w:num>
  <w:num w:numId="21" w16cid:durableId="813453438">
    <w:abstractNumId w:val="4"/>
  </w:num>
  <w:num w:numId="22" w16cid:durableId="1129933366">
    <w:abstractNumId w:val="0"/>
  </w:num>
  <w:num w:numId="23" w16cid:durableId="279991740">
    <w:abstractNumId w:val="14"/>
  </w:num>
  <w:num w:numId="24" w16cid:durableId="1579241548">
    <w:abstractNumId w:val="8"/>
  </w:num>
  <w:num w:numId="25" w16cid:durableId="1784417450">
    <w:abstractNumId w:val="2"/>
  </w:num>
  <w:num w:numId="26" w16cid:durableId="4638856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61FE"/>
    <w:rsid w:val="00016EC0"/>
    <w:rsid w:val="00017756"/>
    <w:rsid w:val="000206CB"/>
    <w:rsid w:val="00020E96"/>
    <w:rsid w:val="00021134"/>
    <w:rsid w:val="00026BFD"/>
    <w:rsid w:val="00027A6F"/>
    <w:rsid w:val="00033E1C"/>
    <w:rsid w:val="00034FE7"/>
    <w:rsid w:val="000364AA"/>
    <w:rsid w:val="00040BE4"/>
    <w:rsid w:val="000446EA"/>
    <w:rsid w:val="00060172"/>
    <w:rsid w:val="00060557"/>
    <w:rsid w:val="00061CB1"/>
    <w:rsid w:val="00062D3B"/>
    <w:rsid w:val="000638DD"/>
    <w:rsid w:val="0006406E"/>
    <w:rsid w:val="00064BF8"/>
    <w:rsid w:val="000662A1"/>
    <w:rsid w:val="00071A6C"/>
    <w:rsid w:val="000730F8"/>
    <w:rsid w:val="000765CC"/>
    <w:rsid w:val="00082A97"/>
    <w:rsid w:val="00092C83"/>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3B40"/>
    <w:rsid w:val="000D57FC"/>
    <w:rsid w:val="000D7613"/>
    <w:rsid w:val="000E2E35"/>
    <w:rsid w:val="000E44E0"/>
    <w:rsid w:val="000E7A63"/>
    <w:rsid w:val="000F4885"/>
    <w:rsid w:val="000F6A45"/>
    <w:rsid w:val="000F6DA0"/>
    <w:rsid w:val="00100287"/>
    <w:rsid w:val="0010215E"/>
    <w:rsid w:val="001024F8"/>
    <w:rsid w:val="00107CEB"/>
    <w:rsid w:val="00122E61"/>
    <w:rsid w:val="001230E0"/>
    <w:rsid w:val="001300EE"/>
    <w:rsid w:val="00130381"/>
    <w:rsid w:val="00132E64"/>
    <w:rsid w:val="00136F65"/>
    <w:rsid w:val="001370E8"/>
    <w:rsid w:val="00140A58"/>
    <w:rsid w:val="00141699"/>
    <w:rsid w:val="00141CF1"/>
    <w:rsid w:val="00144C50"/>
    <w:rsid w:val="001512ED"/>
    <w:rsid w:val="00154F40"/>
    <w:rsid w:val="001565E8"/>
    <w:rsid w:val="001571F2"/>
    <w:rsid w:val="001A0A7C"/>
    <w:rsid w:val="001A0E67"/>
    <w:rsid w:val="001A642E"/>
    <w:rsid w:val="001A6F66"/>
    <w:rsid w:val="001A7467"/>
    <w:rsid w:val="001B0FB9"/>
    <w:rsid w:val="001B2140"/>
    <w:rsid w:val="001B2547"/>
    <w:rsid w:val="001C18AB"/>
    <w:rsid w:val="001C3107"/>
    <w:rsid w:val="001C4D6D"/>
    <w:rsid w:val="001D1D1D"/>
    <w:rsid w:val="001D1DDC"/>
    <w:rsid w:val="001D1F62"/>
    <w:rsid w:val="001D67F5"/>
    <w:rsid w:val="001D6F61"/>
    <w:rsid w:val="001F20F1"/>
    <w:rsid w:val="001F5555"/>
    <w:rsid w:val="001F6B6D"/>
    <w:rsid w:val="001F6C76"/>
    <w:rsid w:val="00201E25"/>
    <w:rsid w:val="00204612"/>
    <w:rsid w:val="00214D6D"/>
    <w:rsid w:val="0021755A"/>
    <w:rsid w:val="00220110"/>
    <w:rsid w:val="0022033D"/>
    <w:rsid w:val="00221138"/>
    <w:rsid w:val="0022185E"/>
    <w:rsid w:val="00223BB3"/>
    <w:rsid w:val="00226BA5"/>
    <w:rsid w:val="00227679"/>
    <w:rsid w:val="0023096D"/>
    <w:rsid w:val="002322B2"/>
    <w:rsid w:val="00232827"/>
    <w:rsid w:val="002339BF"/>
    <w:rsid w:val="0024401F"/>
    <w:rsid w:val="00244E00"/>
    <w:rsid w:val="002552D4"/>
    <w:rsid w:val="0025637D"/>
    <w:rsid w:val="0025640F"/>
    <w:rsid w:val="0025650B"/>
    <w:rsid w:val="00256D35"/>
    <w:rsid w:val="00262724"/>
    <w:rsid w:val="00264F34"/>
    <w:rsid w:val="002650EC"/>
    <w:rsid w:val="0026582A"/>
    <w:rsid w:val="00270FA4"/>
    <w:rsid w:val="00272E1D"/>
    <w:rsid w:val="002766F3"/>
    <w:rsid w:val="00277695"/>
    <w:rsid w:val="0028208A"/>
    <w:rsid w:val="0028293C"/>
    <w:rsid w:val="0028709F"/>
    <w:rsid w:val="00291C29"/>
    <w:rsid w:val="0029725A"/>
    <w:rsid w:val="002A069C"/>
    <w:rsid w:val="002A1699"/>
    <w:rsid w:val="002A2522"/>
    <w:rsid w:val="002A5744"/>
    <w:rsid w:val="002A764E"/>
    <w:rsid w:val="002B1553"/>
    <w:rsid w:val="002B2DF5"/>
    <w:rsid w:val="002D0E2A"/>
    <w:rsid w:val="002D124A"/>
    <w:rsid w:val="002D311D"/>
    <w:rsid w:val="002D5CAE"/>
    <w:rsid w:val="002E0042"/>
    <w:rsid w:val="002E0928"/>
    <w:rsid w:val="002E1089"/>
    <w:rsid w:val="002E16C0"/>
    <w:rsid w:val="002E3E25"/>
    <w:rsid w:val="002E3FF1"/>
    <w:rsid w:val="002E655B"/>
    <w:rsid w:val="002E7C91"/>
    <w:rsid w:val="002E7E94"/>
    <w:rsid w:val="002F0EC8"/>
    <w:rsid w:val="002F385F"/>
    <w:rsid w:val="00300CED"/>
    <w:rsid w:val="0030210F"/>
    <w:rsid w:val="00304C73"/>
    <w:rsid w:val="00305B7E"/>
    <w:rsid w:val="003060DA"/>
    <w:rsid w:val="00314BBA"/>
    <w:rsid w:val="00314C53"/>
    <w:rsid w:val="00315ECD"/>
    <w:rsid w:val="00317201"/>
    <w:rsid w:val="00323AEA"/>
    <w:rsid w:val="00331497"/>
    <w:rsid w:val="00331C61"/>
    <w:rsid w:val="00336EC5"/>
    <w:rsid w:val="00336EEB"/>
    <w:rsid w:val="0034017D"/>
    <w:rsid w:val="00340E1E"/>
    <w:rsid w:val="0034323B"/>
    <w:rsid w:val="00345D84"/>
    <w:rsid w:val="00351CD9"/>
    <w:rsid w:val="00356DA3"/>
    <w:rsid w:val="0035752D"/>
    <w:rsid w:val="003631BD"/>
    <w:rsid w:val="00363B8A"/>
    <w:rsid w:val="00370BFE"/>
    <w:rsid w:val="00377F6B"/>
    <w:rsid w:val="00385095"/>
    <w:rsid w:val="00387F97"/>
    <w:rsid w:val="00390E4A"/>
    <w:rsid w:val="00394EFD"/>
    <w:rsid w:val="003A2BFA"/>
    <w:rsid w:val="003A3BC2"/>
    <w:rsid w:val="003A74D7"/>
    <w:rsid w:val="003B0281"/>
    <w:rsid w:val="003B376C"/>
    <w:rsid w:val="003B5E8D"/>
    <w:rsid w:val="003C0543"/>
    <w:rsid w:val="003C0755"/>
    <w:rsid w:val="003D2128"/>
    <w:rsid w:val="003D221A"/>
    <w:rsid w:val="003D452D"/>
    <w:rsid w:val="003E090B"/>
    <w:rsid w:val="003E12C1"/>
    <w:rsid w:val="003E1442"/>
    <w:rsid w:val="003F3B2E"/>
    <w:rsid w:val="003F6303"/>
    <w:rsid w:val="003F6A35"/>
    <w:rsid w:val="00400A2F"/>
    <w:rsid w:val="004044DB"/>
    <w:rsid w:val="00412625"/>
    <w:rsid w:val="00414EF4"/>
    <w:rsid w:val="00420051"/>
    <w:rsid w:val="00420B26"/>
    <w:rsid w:val="00423235"/>
    <w:rsid w:val="004239C0"/>
    <w:rsid w:val="004260FA"/>
    <w:rsid w:val="00426454"/>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3B1B"/>
    <w:rsid w:val="004B4EE2"/>
    <w:rsid w:val="004B7615"/>
    <w:rsid w:val="004C0A6A"/>
    <w:rsid w:val="004C247E"/>
    <w:rsid w:val="004C2804"/>
    <w:rsid w:val="004D5C1B"/>
    <w:rsid w:val="004D7EF5"/>
    <w:rsid w:val="004E2067"/>
    <w:rsid w:val="004E216A"/>
    <w:rsid w:val="004E2AAC"/>
    <w:rsid w:val="004E2BF6"/>
    <w:rsid w:val="004E6AAD"/>
    <w:rsid w:val="004F0E83"/>
    <w:rsid w:val="004F2728"/>
    <w:rsid w:val="004F607F"/>
    <w:rsid w:val="0050135D"/>
    <w:rsid w:val="00510FBD"/>
    <w:rsid w:val="005126F9"/>
    <w:rsid w:val="00512B72"/>
    <w:rsid w:val="0051593C"/>
    <w:rsid w:val="00520FD8"/>
    <w:rsid w:val="0052202D"/>
    <w:rsid w:val="00523B58"/>
    <w:rsid w:val="005301DE"/>
    <w:rsid w:val="00530D33"/>
    <w:rsid w:val="00532FF8"/>
    <w:rsid w:val="0053311D"/>
    <w:rsid w:val="00535FFE"/>
    <w:rsid w:val="00536684"/>
    <w:rsid w:val="00543325"/>
    <w:rsid w:val="00544201"/>
    <w:rsid w:val="00544B75"/>
    <w:rsid w:val="00545542"/>
    <w:rsid w:val="0054557A"/>
    <w:rsid w:val="00550FF8"/>
    <w:rsid w:val="0055216C"/>
    <w:rsid w:val="005529B8"/>
    <w:rsid w:val="0055632F"/>
    <w:rsid w:val="00556A0E"/>
    <w:rsid w:val="00562190"/>
    <w:rsid w:val="00562D67"/>
    <w:rsid w:val="005659D5"/>
    <w:rsid w:val="00566A0F"/>
    <w:rsid w:val="00570234"/>
    <w:rsid w:val="005702A1"/>
    <w:rsid w:val="00574FAA"/>
    <w:rsid w:val="0057684C"/>
    <w:rsid w:val="0058062E"/>
    <w:rsid w:val="005903F0"/>
    <w:rsid w:val="00591C1E"/>
    <w:rsid w:val="00593C41"/>
    <w:rsid w:val="00594878"/>
    <w:rsid w:val="005A1E7B"/>
    <w:rsid w:val="005A24E5"/>
    <w:rsid w:val="005A2FD6"/>
    <w:rsid w:val="005A3330"/>
    <w:rsid w:val="005A560A"/>
    <w:rsid w:val="005A5B63"/>
    <w:rsid w:val="005B39E9"/>
    <w:rsid w:val="005C48AF"/>
    <w:rsid w:val="005C4B02"/>
    <w:rsid w:val="005C5FE1"/>
    <w:rsid w:val="005D0F56"/>
    <w:rsid w:val="005D16B5"/>
    <w:rsid w:val="005D1B94"/>
    <w:rsid w:val="005D2340"/>
    <w:rsid w:val="005D2DF7"/>
    <w:rsid w:val="005D3C0D"/>
    <w:rsid w:val="005D4443"/>
    <w:rsid w:val="005D7701"/>
    <w:rsid w:val="005D7EDC"/>
    <w:rsid w:val="005E0851"/>
    <w:rsid w:val="005E3C1D"/>
    <w:rsid w:val="005E52B5"/>
    <w:rsid w:val="005F2D87"/>
    <w:rsid w:val="005F4D50"/>
    <w:rsid w:val="006010FE"/>
    <w:rsid w:val="00601FB8"/>
    <w:rsid w:val="0060404A"/>
    <w:rsid w:val="00604ED6"/>
    <w:rsid w:val="00610AC3"/>
    <w:rsid w:val="006148FC"/>
    <w:rsid w:val="00615206"/>
    <w:rsid w:val="00627661"/>
    <w:rsid w:val="0063017F"/>
    <w:rsid w:val="00633F58"/>
    <w:rsid w:val="00637512"/>
    <w:rsid w:val="00637C79"/>
    <w:rsid w:val="006419B1"/>
    <w:rsid w:val="0064352D"/>
    <w:rsid w:val="00646689"/>
    <w:rsid w:val="00646BE0"/>
    <w:rsid w:val="00651133"/>
    <w:rsid w:val="0065181B"/>
    <w:rsid w:val="006538C6"/>
    <w:rsid w:val="0065400D"/>
    <w:rsid w:val="006550DB"/>
    <w:rsid w:val="0065719B"/>
    <w:rsid w:val="00660A69"/>
    <w:rsid w:val="00660E10"/>
    <w:rsid w:val="00664465"/>
    <w:rsid w:val="00664BC9"/>
    <w:rsid w:val="00666968"/>
    <w:rsid w:val="00667996"/>
    <w:rsid w:val="0067338C"/>
    <w:rsid w:val="00674A61"/>
    <w:rsid w:val="00680B5F"/>
    <w:rsid w:val="0068408C"/>
    <w:rsid w:val="006849FA"/>
    <w:rsid w:val="00687C59"/>
    <w:rsid w:val="006907DA"/>
    <w:rsid w:val="00691D30"/>
    <w:rsid w:val="00695E46"/>
    <w:rsid w:val="00696E0B"/>
    <w:rsid w:val="006A34A4"/>
    <w:rsid w:val="006A6F86"/>
    <w:rsid w:val="006B05AF"/>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1D36"/>
    <w:rsid w:val="00732FBA"/>
    <w:rsid w:val="00733F0C"/>
    <w:rsid w:val="0073427E"/>
    <w:rsid w:val="007346BC"/>
    <w:rsid w:val="00736ABF"/>
    <w:rsid w:val="00736C20"/>
    <w:rsid w:val="00740B5E"/>
    <w:rsid w:val="00740E15"/>
    <w:rsid w:val="00742C55"/>
    <w:rsid w:val="0074542A"/>
    <w:rsid w:val="00745D6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9591B"/>
    <w:rsid w:val="007A09BE"/>
    <w:rsid w:val="007A7F2B"/>
    <w:rsid w:val="007B199F"/>
    <w:rsid w:val="007B2551"/>
    <w:rsid w:val="007B4BC2"/>
    <w:rsid w:val="007B5431"/>
    <w:rsid w:val="007B626A"/>
    <w:rsid w:val="007B6EC7"/>
    <w:rsid w:val="007B7498"/>
    <w:rsid w:val="007C011C"/>
    <w:rsid w:val="007C170D"/>
    <w:rsid w:val="007C20A1"/>
    <w:rsid w:val="007C4AA6"/>
    <w:rsid w:val="007C7757"/>
    <w:rsid w:val="007D01AA"/>
    <w:rsid w:val="007D2DCA"/>
    <w:rsid w:val="007D2DE8"/>
    <w:rsid w:val="007D5E2B"/>
    <w:rsid w:val="007D6AC7"/>
    <w:rsid w:val="007D6E58"/>
    <w:rsid w:val="007D7978"/>
    <w:rsid w:val="007E4190"/>
    <w:rsid w:val="007E50A7"/>
    <w:rsid w:val="007E59B7"/>
    <w:rsid w:val="007F03C6"/>
    <w:rsid w:val="007F4EF2"/>
    <w:rsid w:val="007F64A9"/>
    <w:rsid w:val="007F650F"/>
    <w:rsid w:val="008000D3"/>
    <w:rsid w:val="008027A7"/>
    <w:rsid w:val="008056DC"/>
    <w:rsid w:val="00811695"/>
    <w:rsid w:val="00813B5F"/>
    <w:rsid w:val="00817D7F"/>
    <w:rsid w:val="00822DFD"/>
    <w:rsid w:val="008234E6"/>
    <w:rsid w:val="00825D45"/>
    <w:rsid w:val="0083040B"/>
    <w:rsid w:val="0083283A"/>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7ED"/>
    <w:rsid w:val="00867846"/>
    <w:rsid w:val="008727EE"/>
    <w:rsid w:val="00874AD6"/>
    <w:rsid w:val="00875F6A"/>
    <w:rsid w:val="0087603F"/>
    <w:rsid w:val="008768CB"/>
    <w:rsid w:val="00883479"/>
    <w:rsid w:val="008850F7"/>
    <w:rsid w:val="00885B62"/>
    <w:rsid w:val="00886134"/>
    <w:rsid w:val="00893130"/>
    <w:rsid w:val="008935C8"/>
    <w:rsid w:val="008960E2"/>
    <w:rsid w:val="00896C36"/>
    <w:rsid w:val="00897218"/>
    <w:rsid w:val="00897BB1"/>
    <w:rsid w:val="00897CF0"/>
    <w:rsid w:val="008A2616"/>
    <w:rsid w:val="008A5FA1"/>
    <w:rsid w:val="008B085E"/>
    <w:rsid w:val="008B1D32"/>
    <w:rsid w:val="008B1E95"/>
    <w:rsid w:val="008B694F"/>
    <w:rsid w:val="008C3445"/>
    <w:rsid w:val="008C42A0"/>
    <w:rsid w:val="008E3025"/>
    <w:rsid w:val="008E3D0A"/>
    <w:rsid w:val="008E6D3B"/>
    <w:rsid w:val="008F0D71"/>
    <w:rsid w:val="008F0E18"/>
    <w:rsid w:val="008F6018"/>
    <w:rsid w:val="008F786A"/>
    <w:rsid w:val="009015BE"/>
    <w:rsid w:val="0091689A"/>
    <w:rsid w:val="0092561F"/>
    <w:rsid w:val="00933325"/>
    <w:rsid w:val="00936F1D"/>
    <w:rsid w:val="009442C2"/>
    <w:rsid w:val="00945102"/>
    <w:rsid w:val="00945D14"/>
    <w:rsid w:val="00950977"/>
    <w:rsid w:val="00952DB2"/>
    <w:rsid w:val="00953C66"/>
    <w:rsid w:val="009569FD"/>
    <w:rsid w:val="00960F78"/>
    <w:rsid w:val="00973EE5"/>
    <w:rsid w:val="00985D66"/>
    <w:rsid w:val="00985F24"/>
    <w:rsid w:val="009865B0"/>
    <w:rsid w:val="00991A69"/>
    <w:rsid w:val="00997289"/>
    <w:rsid w:val="00997CB3"/>
    <w:rsid w:val="009A1B58"/>
    <w:rsid w:val="009A405F"/>
    <w:rsid w:val="009A61A3"/>
    <w:rsid w:val="009A7E2F"/>
    <w:rsid w:val="009A7EA5"/>
    <w:rsid w:val="009B2F6A"/>
    <w:rsid w:val="009B57F8"/>
    <w:rsid w:val="009B78EF"/>
    <w:rsid w:val="009B7DCB"/>
    <w:rsid w:val="009C2ECD"/>
    <w:rsid w:val="009C7E25"/>
    <w:rsid w:val="009D36D9"/>
    <w:rsid w:val="009D3F32"/>
    <w:rsid w:val="009D7BA7"/>
    <w:rsid w:val="009E6A81"/>
    <w:rsid w:val="009E7FA1"/>
    <w:rsid w:val="009F0970"/>
    <w:rsid w:val="009F1EA0"/>
    <w:rsid w:val="009F3265"/>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5727"/>
    <w:rsid w:val="00A615EC"/>
    <w:rsid w:val="00A62764"/>
    <w:rsid w:val="00A67056"/>
    <w:rsid w:val="00A717CC"/>
    <w:rsid w:val="00A7326B"/>
    <w:rsid w:val="00A901F4"/>
    <w:rsid w:val="00A93146"/>
    <w:rsid w:val="00A962CA"/>
    <w:rsid w:val="00AA2079"/>
    <w:rsid w:val="00AA3518"/>
    <w:rsid w:val="00AA48A5"/>
    <w:rsid w:val="00AA4DEE"/>
    <w:rsid w:val="00AA6472"/>
    <w:rsid w:val="00AA6825"/>
    <w:rsid w:val="00AA6A3A"/>
    <w:rsid w:val="00AB1926"/>
    <w:rsid w:val="00AB3970"/>
    <w:rsid w:val="00AB58FC"/>
    <w:rsid w:val="00AC0E18"/>
    <w:rsid w:val="00AC11D8"/>
    <w:rsid w:val="00AC533B"/>
    <w:rsid w:val="00AC64BD"/>
    <w:rsid w:val="00AD7339"/>
    <w:rsid w:val="00AE1910"/>
    <w:rsid w:val="00AE3077"/>
    <w:rsid w:val="00AF0F2F"/>
    <w:rsid w:val="00AF1DC7"/>
    <w:rsid w:val="00B00AB3"/>
    <w:rsid w:val="00B018C7"/>
    <w:rsid w:val="00B01F0F"/>
    <w:rsid w:val="00B0629E"/>
    <w:rsid w:val="00B10053"/>
    <w:rsid w:val="00B11019"/>
    <w:rsid w:val="00B123E0"/>
    <w:rsid w:val="00B12530"/>
    <w:rsid w:val="00B21D4A"/>
    <w:rsid w:val="00B23B85"/>
    <w:rsid w:val="00B249EB"/>
    <w:rsid w:val="00B2645E"/>
    <w:rsid w:val="00B2752A"/>
    <w:rsid w:val="00B313CD"/>
    <w:rsid w:val="00B318BF"/>
    <w:rsid w:val="00B4640D"/>
    <w:rsid w:val="00B4721D"/>
    <w:rsid w:val="00B472ED"/>
    <w:rsid w:val="00B50481"/>
    <w:rsid w:val="00B50632"/>
    <w:rsid w:val="00B522BA"/>
    <w:rsid w:val="00B5375B"/>
    <w:rsid w:val="00B57D98"/>
    <w:rsid w:val="00B617DF"/>
    <w:rsid w:val="00B655AA"/>
    <w:rsid w:val="00B664EF"/>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95A82"/>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312F"/>
    <w:rsid w:val="00BF52A1"/>
    <w:rsid w:val="00BF54E5"/>
    <w:rsid w:val="00BF67A2"/>
    <w:rsid w:val="00C00526"/>
    <w:rsid w:val="00C0132C"/>
    <w:rsid w:val="00C01934"/>
    <w:rsid w:val="00C01965"/>
    <w:rsid w:val="00C01A78"/>
    <w:rsid w:val="00C03185"/>
    <w:rsid w:val="00C059D5"/>
    <w:rsid w:val="00C07789"/>
    <w:rsid w:val="00C118CF"/>
    <w:rsid w:val="00C20981"/>
    <w:rsid w:val="00C2162F"/>
    <w:rsid w:val="00C26650"/>
    <w:rsid w:val="00C311E2"/>
    <w:rsid w:val="00C321D3"/>
    <w:rsid w:val="00C3320B"/>
    <w:rsid w:val="00C33F23"/>
    <w:rsid w:val="00C3515F"/>
    <w:rsid w:val="00C40EF1"/>
    <w:rsid w:val="00C52C44"/>
    <w:rsid w:val="00C54DFF"/>
    <w:rsid w:val="00C556D5"/>
    <w:rsid w:val="00C55BE1"/>
    <w:rsid w:val="00C57C88"/>
    <w:rsid w:val="00C62871"/>
    <w:rsid w:val="00C6290E"/>
    <w:rsid w:val="00C63C01"/>
    <w:rsid w:val="00C65A1B"/>
    <w:rsid w:val="00C70C18"/>
    <w:rsid w:val="00C83477"/>
    <w:rsid w:val="00C854EB"/>
    <w:rsid w:val="00C87B67"/>
    <w:rsid w:val="00C91658"/>
    <w:rsid w:val="00C92443"/>
    <w:rsid w:val="00CA1715"/>
    <w:rsid w:val="00CA20A6"/>
    <w:rsid w:val="00CA49C1"/>
    <w:rsid w:val="00CA7327"/>
    <w:rsid w:val="00CB0331"/>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6B79"/>
    <w:rsid w:val="00D10B7A"/>
    <w:rsid w:val="00D13E3A"/>
    <w:rsid w:val="00D2005E"/>
    <w:rsid w:val="00D21741"/>
    <w:rsid w:val="00D27C8A"/>
    <w:rsid w:val="00D303E0"/>
    <w:rsid w:val="00D312D7"/>
    <w:rsid w:val="00D355BC"/>
    <w:rsid w:val="00D403E0"/>
    <w:rsid w:val="00D408B8"/>
    <w:rsid w:val="00D429BB"/>
    <w:rsid w:val="00D43891"/>
    <w:rsid w:val="00D5361A"/>
    <w:rsid w:val="00D56E28"/>
    <w:rsid w:val="00D60F6B"/>
    <w:rsid w:val="00D61B6C"/>
    <w:rsid w:val="00D62AAB"/>
    <w:rsid w:val="00D70B18"/>
    <w:rsid w:val="00D71353"/>
    <w:rsid w:val="00D803DC"/>
    <w:rsid w:val="00D82B55"/>
    <w:rsid w:val="00D87103"/>
    <w:rsid w:val="00D92DC4"/>
    <w:rsid w:val="00D93544"/>
    <w:rsid w:val="00D95C6D"/>
    <w:rsid w:val="00D96932"/>
    <w:rsid w:val="00DA04E1"/>
    <w:rsid w:val="00DA0C9C"/>
    <w:rsid w:val="00DA1F1C"/>
    <w:rsid w:val="00DA3644"/>
    <w:rsid w:val="00DA51F8"/>
    <w:rsid w:val="00DA7FF1"/>
    <w:rsid w:val="00DB663D"/>
    <w:rsid w:val="00DB6833"/>
    <w:rsid w:val="00DC4119"/>
    <w:rsid w:val="00DC503C"/>
    <w:rsid w:val="00DC7467"/>
    <w:rsid w:val="00DD0415"/>
    <w:rsid w:val="00DE60C7"/>
    <w:rsid w:val="00DE683C"/>
    <w:rsid w:val="00DE6F27"/>
    <w:rsid w:val="00DE7815"/>
    <w:rsid w:val="00E02FE6"/>
    <w:rsid w:val="00E12E4F"/>
    <w:rsid w:val="00E13E97"/>
    <w:rsid w:val="00E15D96"/>
    <w:rsid w:val="00E16539"/>
    <w:rsid w:val="00E16EA3"/>
    <w:rsid w:val="00E2138A"/>
    <w:rsid w:val="00E225BC"/>
    <w:rsid w:val="00E23694"/>
    <w:rsid w:val="00E2566C"/>
    <w:rsid w:val="00E27350"/>
    <w:rsid w:val="00E31327"/>
    <w:rsid w:val="00E3402D"/>
    <w:rsid w:val="00E35154"/>
    <w:rsid w:val="00E374DB"/>
    <w:rsid w:val="00E41221"/>
    <w:rsid w:val="00E43B6E"/>
    <w:rsid w:val="00E45BCF"/>
    <w:rsid w:val="00E46FC7"/>
    <w:rsid w:val="00E54510"/>
    <w:rsid w:val="00E5513D"/>
    <w:rsid w:val="00E56964"/>
    <w:rsid w:val="00E61C58"/>
    <w:rsid w:val="00E61D63"/>
    <w:rsid w:val="00E63867"/>
    <w:rsid w:val="00E638CC"/>
    <w:rsid w:val="00E63A47"/>
    <w:rsid w:val="00E6540F"/>
    <w:rsid w:val="00E6573F"/>
    <w:rsid w:val="00E66459"/>
    <w:rsid w:val="00E674E4"/>
    <w:rsid w:val="00E71EF1"/>
    <w:rsid w:val="00E72A0B"/>
    <w:rsid w:val="00E747AC"/>
    <w:rsid w:val="00E75560"/>
    <w:rsid w:val="00E75E60"/>
    <w:rsid w:val="00E825E1"/>
    <w:rsid w:val="00E83C97"/>
    <w:rsid w:val="00E840E3"/>
    <w:rsid w:val="00E85A22"/>
    <w:rsid w:val="00E918C1"/>
    <w:rsid w:val="00EA285E"/>
    <w:rsid w:val="00EA59C2"/>
    <w:rsid w:val="00EA5CE7"/>
    <w:rsid w:val="00EA62AE"/>
    <w:rsid w:val="00EB159B"/>
    <w:rsid w:val="00EB28C1"/>
    <w:rsid w:val="00EB300F"/>
    <w:rsid w:val="00EB3C03"/>
    <w:rsid w:val="00EC1C8F"/>
    <w:rsid w:val="00EC48FD"/>
    <w:rsid w:val="00EC5F24"/>
    <w:rsid w:val="00EC6795"/>
    <w:rsid w:val="00ED1A3D"/>
    <w:rsid w:val="00ED39A4"/>
    <w:rsid w:val="00ED5636"/>
    <w:rsid w:val="00ED6E30"/>
    <w:rsid w:val="00ED7E9A"/>
    <w:rsid w:val="00EE050F"/>
    <w:rsid w:val="00EE2850"/>
    <w:rsid w:val="00EE6CDF"/>
    <w:rsid w:val="00EF3649"/>
    <w:rsid w:val="00F06CE3"/>
    <w:rsid w:val="00F10BE3"/>
    <w:rsid w:val="00F11448"/>
    <w:rsid w:val="00F13404"/>
    <w:rsid w:val="00F13778"/>
    <w:rsid w:val="00F17686"/>
    <w:rsid w:val="00F2133B"/>
    <w:rsid w:val="00F278C3"/>
    <w:rsid w:val="00F307DE"/>
    <w:rsid w:val="00F320B5"/>
    <w:rsid w:val="00F34D6F"/>
    <w:rsid w:val="00F360C7"/>
    <w:rsid w:val="00F36D91"/>
    <w:rsid w:val="00F42575"/>
    <w:rsid w:val="00F42BD0"/>
    <w:rsid w:val="00F43413"/>
    <w:rsid w:val="00F45A22"/>
    <w:rsid w:val="00F5174B"/>
    <w:rsid w:val="00F53707"/>
    <w:rsid w:val="00F60AA9"/>
    <w:rsid w:val="00F66223"/>
    <w:rsid w:val="00F66EF5"/>
    <w:rsid w:val="00F6758F"/>
    <w:rsid w:val="00F67CBE"/>
    <w:rsid w:val="00F67DCE"/>
    <w:rsid w:val="00F7177E"/>
    <w:rsid w:val="00F742FC"/>
    <w:rsid w:val="00F76BAE"/>
    <w:rsid w:val="00F77ABB"/>
    <w:rsid w:val="00F80EA5"/>
    <w:rsid w:val="00F831C7"/>
    <w:rsid w:val="00F90BB1"/>
    <w:rsid w:val="00F915E0"/>
    <w:rsid w:val="00F94079"/>
    <w:rsid w:val="00FA16B3"/>
    <w:rsid w:val="00FA30F9"/>
    <w:rsid w:val="00FA370B"/>
    <w:rsid w:val="00FB11C9"/>
    <w:rsid w:val="00FB3764"/>
    <w:rsid w:val="00FC2589"/>
    <w:rsid w:val="00FC55F5"/>
    <w:rsid w:val="00FC5A8C"/>
    <w:rsid w:val="00FC7EC4"/>
    <w:rsid w:val="00FD22D0"/>
    <w:rsid w:val="00FD6AAF"/>
    <w:rsid w:val="00FD7344"/>
    <w:rsid w:val="00FE0262"/>
    <w:rsid w:val="00FE1536"/>
    <w:rsid w:val="00FE2BF7"/>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322856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3963">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110</cp:revision>
  <dcterms:created xsi:type="dcterms:W3CDTF">2025-03-24T09:52:00Z</dcterms:created>
  <dcterms:modified xsi:type="dcterms:W3CDTF">2025-08-15T01:31:00Z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