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696DC3B3"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41449C">
        <w:rPr>
          <w:rFonts w:eastAsia="Times New Roman" w:cs="Arial"/>
          <w:b/>
          <w:bCs/>
          <w:i w:val="0"/>
          <w:noProof w:val="0"/>
          <w:sz w:val="24"/>
          <w:lang w:val="en-US" w:eastAsia="en-US"/>
        </w:rPr>
        <w:t>1</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41449C" w:rsidRPr="0041449C">
        <w:rPr>
          <w:rFonts w:eastAsia="Times New Roman" w:cs="Arial"/>
          <w:b/>
          <w:bCs/>
          <w:i w:val="0"/>
          <w:noProof w:val="0"/>
          <w:sz w:val="24"/>
          <w:lang w:val="en-US" w:eastAsia="en-US"/>
        </w:rPr>
        <w:t>R2-250584</w:t>
      </w:r>
      <w:r w:rsidR="00BB75CB">
        <w:rPr>
          <w:rFonts w:eastAsia="Times New Roman" w:cs="Arial"/>
          <w:b/>
          <w:bCs/>
          <w:i w:val="0"/>
          <w:noProof w:val="0"/>
          <w:sz w:val="24"/>
          <w:lang w:val="en-US" w:eastAsia="en-US"/>
        </w:rPr>
        <w:t>6</w:t>
      </w:r>
    </w:p>
    <w:p w14:paraId="62789661" w14:textId="59BA9AC6" w:rsidR="00BB1767" w:rsidRPr="00BB1767" w:rsidRDefault="0041449C" w:rsidP="00BB1767">
      <w:pPr>
        <w:rPr>
          <w:rFonts w:ascii="Arial" w:eastAsia="Times New Roman" w:hAnsi="Arial" w:cs="Arial"/>
          <w:b/>
          <w:bCs/>
          <w:color w:val="auto"/>
          <w:sz w:val="24"/>
          <w:szCs w:val="24"/>
          <w:lang w:eastAsia="en-US"/>
        </w:rPr>
      </w:pPr>
      <w:r w:rsidRPr="0041449C">
        <w:rPr>
          <w:rFonts w:ascii="Arial" w:eastAsia="Times New Roman" w:hAnsi="Arial" w:cs="Arial"/>
          <w:b/>
          <w:bCs/>
          <w:color w:val="auto"/>
          <w:sz w:val="24"/>
          <w:szCs w:val="24"/>
          <w:lang w:eastAsia="en-US"/>
        </w:rPr>
        <w:t>Bengaluru, India</w:t>
      </w:r>
      <w:r w:rsidR="00BB1767" w:rsidRPr="00BB1767">
        <w:rPr>
          <w:rFonts w:ascii="Arial" w:eastAsia="Times New Roman" w:hAnsi="Arial" w:cs="Arial"/>
          <w:b/>
          <w:bCs/>
          <w:color w:val="auto"/>
          <w:sz w:val="24"/>
          <w:szCs w:val="24"/>
          <w:lang w:eastAsia="en-US"/>
        </w:rPr>
        <w:t xml:space="preserve">, </w:t>
      </w:r>
      <w:r>
        <w:rPr>
          <w:rFonts w:ascii="Arial" w:eastAsia="Times New Roman" w:hAnsi="Arial" w:cs="Arial"/>
          <w:b/>
          <w:bCs/>
          <w:color w:val="auto"/>
          <w:sz w:val="24"/>
          <w:szCs w:val="24"/>
          <w:lang w:eastAsia="en-US"/>
        </w:rPr>
        <w:t>August</w:t>
      </w:r>
      <w:r w:rsidR="00BB1767" w:rsidRPr="00BB1767">
        <w:rPr>
          <w:rFonts w:ascii="Arial" w:eastAsia="Times New Roman" w:hAnsi="Arial" w:cs="Arial"/>
          <w:b/>
          <w:bCs/>
          <w:color w:val="auto"/>
          <w:sz w:val="24"/>
          <w:szCs w:val="24"/>
          <w:lang w:eastAsia="en-US"/>
        </w:rPr>
        <w:t xml:space="preserve"> </w:t>
      </w:r>
      <w:r w:rsidRPr="0041449C">
        <w:rPr>
          <w:rFonts w:ascii="Arial" w:eastAsia="Times New Roman" w:hAnsi="Arial" w:cs="Arial"/>
          <w:b/>
          <w:bCs/>
          <w:color w:val="auto"/>
          <w:sz w:val="24"/>
          <w:szCs w:val="24"/>
          <w:lang w:eastAsia="en-US"/>
        </w:rPr>
        <w:t>25th - 29th</w:t>
      </w:r>
      <w:r w:rsidR="00BB1767" w:rsidRPr="00BB1767">
        <w:rPr>
          <w:rFonts w:ascii="Arial" w:eastAsia="Times New Roman" w:hAnsi="Arial" w:cs="Arial"/>
          <w:b/>
          <w:bCs/>
          <w:color w:val="auto"/>
          <w:sz w:val="24"/>
          <w:szCs w:val="24"/>
          <w:lang w:eastAsia="en-US"/>
        </w:rPr>
        <w:t>, 2025</w:t>
      </w:r>
    </w:p>
    <w:p w14:paraId="4FDA25B8" w14:textId="77777777" w:rsidR="00361000" w:rsidRPr="000760DD" w:rsidRDefault="00361000" w:rsidP="00175450"/>
    <w:p w14:paraId="5B9BF21E" w14:textId="2B839375"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BB75CB">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3E447AF"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remaining issues of on-demand </w:t>
      </w:r>
      <w:r w:rsidR="00BB75CB">
        <w:rPr>
          <w:rFonts w:ascii="Arial" w:hAnsi="Arial"/>
          <w:sz w:val="24"/>
        </w:rPr>
        <w:t>SIB1</w:t>
      </w:r>
      <w:r w:rsidR="0041449C" w:rsidRPr="0041449C">
        <w:rPr>
          <w:rFonts w:ascii="Arial" w:hAnsi="Arial"/>
          <w:sz w:val="24"/>
        </w:rPr>
        <w:t>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6AD89821" w:rsidR="009F6437" w:rsidRPr="0034666C" w:rsidRDefault="0034666C" w:rsidP="001C71A1">
      <w:pPr>
        <w:spacing w:after="120"/>
        <w:rPr>
          <w:sz w:val="22"/>
          <w:szCs w:val="22"/>
        </w:rPr>
      </w:pPr>
      <w:r w:rsidRPr="0034666C">
        <w:rPr>
          <w:sz w:val="22"/>
          <w:szCs w:val="22"/>
        </w:rPr>
        <w:t xml:space="preserve">The </w:t>
      </w:r>
      <w:r w:rsidR="007B156B">
        <w:rPr>
          <w:sz w:val="22"/>
          <w:szCs w:val="22"/>
        </w:rPr>
        <w:t xml:space="preserve">objectives of on-demand SSB SCell are outlined with the </w:t>
      </w:r>
      <w:r w:rsidR="006B04F9">
        <w:rPr>
          <w:sz w:val="22"/>
          <w:szCs w:val="22"/>
        </w:rPr>
        <w:t>following</w:t>
      </w:r>
      <w:r w:rsidRPr="0034666C">
        <w:rPr>
          <w:sz w:val="22"/>
          <w:szCs w:val="22"/>
        </w:rPr>
        <w:t xml:space="preserve"> </w:t>
      </w:r>
      <w:r w:rsidR="006B04F9">
        <w:rPr>
          <w:sz w:val="22"/>
          <w:szCs w:val="22"/>
        </w:rPr>
        <w:fldChar w:fldCharType="begin"/>
      </w:r>
      <w:r w:rsidR="006B04F9">
        <w:rPr>
          <w:sz w:val="22"/>
          <w:szCs w:val="22"/>
        </w:rPr>
        <w:instrText xml:space="preserve"> REF _Ref197627317 \r \h </w:instrText>
      </w:r>
      <w:r w:rsidR="006B04F9">
        <w:rPr>
          <w:sz w:val="22"/>
          <w:szCs w:val="22"/>
        </w:rPr>
      </w:r>
      <w:r w:rsidR="006B04F9">
        <w:rPr>
          <w:sz w:val="22"/>
          <w:szCs w:val="22"/>
        </w:rPr>
        <w:fldChar w:fldCharType="separate"/>
      </w:r>
      <w:r w:rsidR="006B04F9">
        <w:rPr>
          <w:sz w:val="22"/>
          <w:szCs w:val="22"/>
        </w:rPr>
        <w:t>[1]</w:t>
      </w:r>
      <w:r w:rsidR="006B04F9">
        <w:rPr>
          <w:sz w:val="22"/>
          <w:szCs w:val="22"/>
        </w:rPr>
        <w:fldChar w:fldCharType="end"/>
      </w:r>
      <w:r w:rsidR="009F6437" w:rsidRPr="0034666C">
        <w:rPr>
          <w:sz w:val="22"/>
          <w:szCs w:val="22"/>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084C55">
        <w:trPr>
          <w:trHeight w:val="2627"/>
        </w:trPr>
        <w:tc>
          <w:tcPr>
            <w:tcW w:w="882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594BAB10" w:rsidR="00D02CC1" w:rsidRPr="00EA1660" w:rsidRDefault="00D02CC1" w:rsidP="001C71A1">
      <w:pPr>
        <w:spacing w:after="120"/>
        <w:rPr>
          <w:color w:val="000000" w:themeColor="text1"/>
          <w:sz w:val="22"/>
          <w:szCs w:val="22"/>
        </w:rPr>
      </w:pPr>
      <w:r w:rsidRPr="00EA1660">
        <w:rPr>
          <w:color w:val="000000" w:themeColor="text1"/>
          <w:sz w:val="22"/>
          <w:szCs w:val="22"/>
        </w:rPr>
        <w:t>In this contribution, we</w:t>
      </w:r>
      <w:r w:rsidR="00906907" w:rsidRPr="00EA1660">
        <w:rPr>
          <w:color w:val="000000" w:themeColor="text1"/>
          <w:sz w:val="22"/>
          <w:szCs w:val="22"/>
        </w:rPr>
        <w:t xml:space="preserve"> discuss</w:t>
      </w:r>
      <w:r w:rsidRPr="00EA1660">
        <w:rPr>
          <w:color w:val="000000" w:themeColor="text1"/>
          <w:sz w:val="22"/>
          <w:szCs w:val="22"/>
        </w:rPr>
        <w:t xml:space="preserve"> </w:t>
      </w:r>
      <w:r w:rsidR="00EA1660" w:rsidRPr="00EA1660">
        <w:rPr>
          <w:color w:val="000000" w:themeColor="text1"/>
          <w:sz w:val="22"/>
          <w:szCs w:val="22"/>
        </w:rPr>
        <w:t xml:space="preserve">the </w:t>
      </w:r>
      <w:r w:rsidR="0041449C">
        <w:rPr>
          <w:color w:val="000000" w:themeColor="text1"/>
          <w:sz w:val="22"/>
          <w:szCs w:val="22"/>
        </w:rPr>
        <w:t>remaining design issues</w:t>
      </w:r>
      <w:r w:rsidR="00EA1660" w:rsidRPr="00EA1660">
        <w:rPr>
          <w:color w:val="000000" w:themeColor="text1"/>
          <w:sz w:val="22"/>
          <w:szCs w:val="22"/>
        </w:rPr>
        <w:t xml:space="preserve"> of OD-</w:t>
      </w:r>
      <w:r w:rsidR="00080406">
        <w:rPr>
          <w:color w:val="000000" w:themeColor="text1"/>
          <w:sz w:val="22"/>
          <w:szCs w:val="22"/>
        </w:rPr>
        <w:t>SIB1</w:t>
      </w:r>
      <w:r w:rsidR="0034666C" w:rsidRPr="00EA1660">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34683F4D" w14:textId="4CC72581" w:rsidR="00F1065E" w:rsidRPr="00F37FBF" w:rsidRDefault="00BA3EDD" w:rsidP="00F37FBF">
      <w:pPr>
        <w:snapToGrid w:val="0"/>
        <w:spacing w:after="120"/>
        <w:textAlignment w:val="baseline"/>
        <w:rPr>
          <w:color w:val="000000" w:themeColor="text1"/>
          <w:sz w:val="22"/>
          <w:szCs w:val="22"/>
        </w:rPr>
      </w:pPr>
      <w:r w:rsidRPr="00F37FBF">
        <w:rPr>
          <w:sz w:val="22"/>
          <w:szCs w:val="22"/>
        </w:rPr>
        <w:t>Supplementary Uplink</w:t>
      </w:r>
      <w:r w:rsidRPr="00F37FBF">
        <w:rPr>
          <w:sz w:val="22"/>
          <w:szCs w:val="22"/>
        </w:rPr>
        <w:t xml:space="preserve"> </w:t>
      </w:r>
      <w:r w:rsidRPr="00F37FBF">
        <w:rPr>
          <w:color w:val="000000" w:themeColor="text1"/>
          <w:sz w:val="22"/>
          <w:szCs w:val="22"/>
        </w:rPr>
        <w:t>(</w:t>
      </w:r>
      <w:r w:rsidR="00F1065E" w:rsidRPr="00F37FBF">
        <w:rPr>
          <w:color w:val="000000" w:themeColor="text1"/>
          <w:sz w:val="22"/>
          <w:szCs w:val="22"/>
        </w:rPr>
        <w:t>SUL</w:t>
      </w:r>
      <w:r w:rsidRPr="00F37FBF">
        <w:rPr>
          <w:color w:val="000000" w:themeColor="text1"/>
          <w:sz w:val="22"/>
          <w:szCs w:val="22"/>
        </w:rPr>
        <w:t>)</w:t>
      </w:r>
      <w:r w:rsidR="00F1065E" w:rsidRPr="00F37FBF">
        <w:rPr>
          <w:color w:val="000000" w:themeColor="text1"/>
          <w:sz w:val="22"/>
          <w:szCs w:val="22"/>
        </w:rPr>
        <w:t xml:space="preserve"> was introduced </w:t>
      </w:r>
      <w:r w:rsidRPr="00F37FBF">
        <w:rPr>
          <w:color w:val="000000" w:themeColor="text1"/>
          <w:sz w:val="22"/>
          <w:szCs w:val="22"/>
        </w:rPr>
        <w:t>to improve</w:t>
      </w:r>
      <w:r w:rsidR="00F1065E" w:rsidRPr="00F37FBF">
        <w:rPr>
          <w:color w:val="000000" w:themeColor="text1"/>
          <w:sz w:val="22"/>
          <w:szCs w:val="22"/>
        </w:rPr>
        <w:t xml:space="preserve"> the UL coverage issue </w:t>
      </w:r>
      <w:r w:rsidRPr="00F37FBF">
        <w:rPr>
          <w:color w:val="000000" w:themeColor="text1"/>
          <w:sz w:val="22"/>
          <w:szCs w:val="22"/>
        </w:rPr>
        <w:t>at cell edge with</w:t>
      </w:r>
      <w:r w:rsidR="00F1065E" w:rsidRPr="00F37FBF">
        <w:rPr>
          <w:color w:val="000000" w:themeColor="text1"/>
          <w:sz w:val="22"/>
          <w:szCs w:val="22"/>
        </w:rPr>
        <w:t xml:space="preserve"> high NR frequency deployment, as described below</w:t>
      </w:r>
      <w:r w:rsidRPr="00F37FBF">
        <w:rPr>
          <w:color w:val="000000" w:themeColor="text1"/>
          <w:sz w:val="22"/>
          <w:szCs w:val="22"/>
        </w:rPr>
        <w:t xml:space="preserve"> in TS 38.300 </w:t>
      </w:r>
      <w:r w:rsidR="00F1065E" w:rsidRPr="00F37FBF">
        <w:rPr>
          <w:color w:val="000000" w:themeColor="text1"/>
          <w:sz w:val="22"/>
          <w:szCs w:val="22"/>
        </w:rPr>
        <w:fldChar w:fldCharType="begin"/>
      </w:r>
      <w:r w:rsidR="00F1065E" w:rsidRPr="00F37FBF">
        <w:rPr>
          <w:color w:val="000000" w:themeColor="text1"/>
          <w:sz w:val="22"/>
          <w:szCs w:val="22"/>
        </w:rPr>
        <w:instrText xml:space="preserve"> REF _Ref206073862 \n \h </w:instrText>
      </w:r>
      <w:r w:rsidR="00F1065E" w:rsidRPr="00F37FBF">
        <w:rPr>
          <w:color w:val="000000" w:themeColor="text1"/>
          <w:sz w:val="22"/>
          <w:szCs w:val="22"/>
        </w:rPr>
      </w:r>
      <w:r w:rsidR="00F37FBF" w:rsidRPr="00F37FBF">
        <w:rPr>
          <w:color w:val="000000" w:themeColor="text1"/>
          <w:sz w:val="22"/>
          <w:szCs w:val="22"/>
        </w:rPr>
        <w:instrText xml:space="preserve"> \* MERGEFORMAT </w:instrText>
      </w:r>
      <w:r w:rsidR="00F1065E" w:rsidRPr="00F37FBF">
        <w:rPr>
          <w:color w:val="000000" w:themeColor="text1"/>
          <w:sz w:val="22"/>
          <w:szCs w:val="22"/>
        </w:rPr>
        <w:fldChar w:fldCharType="separate"/>
      </w:r>
      <w:r w:rsidR="00F1065E" w:rsidRPr="00F37FBF">
        <w:rPr>
          <w:color w:val="000000" w:themeColor="text1"/>
          <w:sz w:val="22"/>
          <w:szCs w:val="22"/>
        </w:rPr>
        <w:t>[2]</w:t>
      </w:r>
      <w:r w:rsidR="00F1065E" w:rsidRPr="00F37FBF">
        <w:rPr>
          <w:color w:val="000000" w:themeColor="text1"/>
          <w:sz w:val="22"/>
          <w:szCs w:val="22"/>
        </w:rPr>
        <w:fldChar w:fldCharType="end"/>
      </w:r>
      <w:r w:rsidR="00F1065E" w:rsidRPr="00F37FBF">
        <w:rPr>
          <w:color w:val="000000" w:themeColor="text1"/>
          <w:sz w:val="22"/>
          <w:szCs w:val="22"/>
        </w:rPr>
        <w:t>.</w:t>
      </w:r>
    </w:p>
    <w:p w14:paraId="1424AAA2" w14:textId="2170B01B" w:rsidR="00F1065E" w:rsidRPr="00F37FBF" w:rsidRDefault="00F1065E" w:rsidP="00F37FBF">
      <w:pPr>
        <w:pStyle w:val="TH"/>
        <w:snapToGrid w:val="0"/>
        <w:spacing w:before="0" w:after="120"/>
        <w:rPr>
          <w:rFonts w:ascii="Times New Roman" w:hAnsi="Times New Roman"/>
          <w:sz w:val="22"/>
          <w:szCs w:val="22"/>
        </w:rPr>
      </w:pPr>
      <w:r w:rsidRPr="00F37FBF">
        <w:rPr>
          <w:rFonts w:ascii="Times New Roman" w:hAnsi="Times New Roman"/>
          <w:b w:val="0"/>
          <w:sz w:val="22"/>
          <w:szCs w:val="22"/>
        </w:rPr>
        <w:lastRenderedPageBreak/>
        <w:drawing>
          <wp:inline distT="0" distB="0" distL="0" distR="0" wp14:anchorId="7B20B5F3" wp14:editId="3814B273">
            <wp:extent cx="6040120" cy="2901315"/>
            <wp:effectExtent l="19050" t="19050" r="17780" b="13335"/>
            <wp:docPr id="463199377" name="Picture 1" descr="A diagram of a cellular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199377" name="Picture 1" descr="A diagram of a cellular device&#10;&#10;AI-generated content may be incorrect."/>
                    <pic:cNvPicPr/>
                  </pic:nvPicPr>
                  <pic:blipFill>
                    <a:blip r:embed="rId8"/>
                    <a:stretch>
                      <a:fillRect/>
                    </a:stretch>
                  </pic:blipFill>
                  <pic:spPr>
                    <a:xfrm>
                      <a:off x="0" y="0"/>
                      <a:ext cx="6040120" cy="2901315"/>
                    </a:xfrm>
                    <a:prstGeom prst="rect">
                      <a:avLst/>
                    </a:prstGeom>
                    <a:ln>
                      <a:solidFill>
                        <a:schemeClr val="accent1"/>
                      </a:solidFill>
                    </a:ln>
                  </pic:spPr>
                </pic:pic>
              </a:graphicData>
            </a:graphic>
          </wp:inline>
        </w:drawing>
      </w:r>
    </w:p>
    <w:p w14:paraId="3D1B5FAD" w14:textId="77777777" w:rsidR="00F1065E" w:rsidRPr="00F37FBF" w:rsidRDefault="00F1065E" w:rsidP="00F37FBF">
      <w:pPr>
        <w:snapToGrid w:val="0"/>
        <w:spacing w:after="120"/>
        <w:textAlignment w:val="baseline"/>
        <w:rPr>
          <w:rFonts w:eastAsia="Times New Roman"/>
          <w:b/>
          <w:bCs/>
          <w:sz w:val="22"/>
          <w:szCs w:val="22"/>
        </w:rPr>
      </w:pPr>
    </w:p>
    <w:p w14:paraId="74AA2461" w14:textId="1BD9A7BA" w:rsidR="00F1065E" w:rsidRPr="008A38BF" w:rsidRDefault="00F1065E" w:rsidP="00F37FBF">
      <w:pPr>
        <w:snapToGrid w:val="0"/>
        <w:spacing w:after="120"/>
        <w:textAlignment w:val="baseline"/>
        <w:rPr>
          <w:rFonts w:eastAsia="Times New Roman"/>
          <w:b/>
          <w:bCs/>
          <w:i/>
          <w:iCs/>
          <w:sz w:val="22"/>
          <w:szCs w:val="22"/>
        </w:rPr>
      </w:pPr>
      <w:r w:rsidRPr="008A38BF">
        <w:rPr>
          <w:b/>
          <w:bCs/>
          <w:i/>
          <w:iCs/>
          <w:color w:val="000000" w:themeColor="text1"/>
          <w:sz w:val="22"/>
          <w:szCs w:val="22"/>
        </w:rPr>
        <w:t xml:space="preserve">Observation </w:t>
      </w:r>
      <w:r w:rsidR="00BA3EDD" w:rsidRPr="00F37FBF">
        <w:rPr>
          <w:b/>
          <w:bCs/>
          <w:i/>
          <w:iCs/>
          <w:color w:val="000000" w:themeColor="text1"/>
          <w:sz w:val="22"/>
          <w:szCs w:val="22"/>
        </w:rPr>
        <w:t>1</w:t>
      </w:r>
      <w:r w:rsidRPr="008A38BF">
        <w:rPr>
          <w:b/>
          <w:bCs/>
          <w:i/>
          <w:iCs/>
          <w:color w:val="000000" w:themeColor="text1"/>
          <w:sz w:val="22"/>
          <w:szCs w:val="22"/>
        </w:rPr>
        <w:t>. Originally, SUL was introduced for enhancing UL coverage with a low frequence carrier. </w:t>
      </w:r>
    </w:p>
    <w:p w14:paraId="3E42817E" w14:textId="0D0EA7F1" w:rsidR="00F1065E" w:rsidRPr="00F37FBF" w:rsidRDefault="00F1065E" w:rsidP="00F37FBF">
      <w:pPr>
        <w:snapToGrid w:val="0"/>
        <w:spacing w:after="120"/>
        <w:rPr>
          <w:rFonts w:eastAsia="Times New Roman"/>
          <w:sz w:val="22"/>
          <w:szCs w:val="22"/>
        </w:rPr>
      </w:pPr>
    </w:p>
    <w:p w14:paraId="3266A273" w14:textId="5C4D4B05" w:rsidR="00BA3EDD" w:rsidRPr="008A38BF" w:rsidRDefault="00BA3EDD" w:rsidP="00F37FBF">
      <w:pPr>
        <w:snapToGrid w:val="0"/>
        <w:spacing w:after="120"/>
        <w:rPr>
          <w:rFonts w:eastAsia="Times New Roman"/>
          <w:sz w:val="22"/>
          <w:szCs w:val="22"/>
        </w:rPr>
      </w:pPr>
      <w:r w:rsidRPr="00F37FBF">
        <w:rPr>
          <w:rFonts w:eastAsia="Times New Roman"/>
          <w:sz w:val="22"/>
          <w:szCs w:val="22"/>
        </w:rPr>
        <w:t>RAN1 had discussed NES cell with SUL, but could not make an agreement on supporting such scenario.</w:t>
      </w:r>
    </w:p>
    <w:p w14:paraId="6BDF69CB" w14:textId="69166D7A" w:rsidR="00BA3EDD" w:rsidRPr="008A38BF" w:rsidRDefault="00BA3EDD" w:rsidP="00F37FBF">
      <w:pPr>
        <w:snapToGrid w:val="0"/>
        <w:spacing w:after="120"/>
        <w:textAlignment w:val="baseline"/>
        <w:rPr>
          <w:b/>
          <w:bCs/>
          <w:i/>
          <w:iCs/>
          <w:color w:val="000000" w:themeColor="text1"/>
          <w:sz w:val="22"/>
          <w:szCs w:val="22"/>
        </w:rPr>
      </w:pPr>
      <w:bookmarkStart w:id="0" w:name="_Hlk206080383"/>
      <w:r w:rsidRPr="008A38BF">
        <w:rPr>
          <w:b/>
          <w:bCs/>
          <w:i/>
          <w:iCs/>
          <w:color w:val="000000" w:themeColor="text1"/>
          <w:sz w:val="22"/>
          <w:szCs w:val="22"/>
        </w:rPr>
        <w:t xml:space="preserve">Observation </w:t>
      </w:r>
      <w:r w:rsidRPr="00F37FBF">
        <w:rPr>
          <w:b/>
          <w:bCs/>
          <w:i/>
          <w:iCs/>
          <w:color w:val="000000" w:themeColor="text1"/>
          <w:sz w:val="22"/>
          <w:szCs w:val="22"/>
        </w:rPr>
        <w:t>2</w:t>
      </w:r>
      <w:r w:rsidRPr="008A38BF">
        <w:rPr>
          <w:b/>
          <w:bCs/>
          <w:i/>
          <w:iCs/>
          <w:color w:val="000000" w:themeColor="text1"/>
          <w:sz w:val="22"/>
          <w:szCs w:val="22"/>
        </w:rPr>
        <w:t xml:space="preserve">. RAN1 could not conclude an agreement to support </w:t>
      </w:r>
      <w:r w:rsidRPr="00F37FBF">
        <w:rPr>
          <w:b/>
          <w:bCs/>
          <w:i/>
          <w:iCs/>
          <w:color w:val="000000" w:themeColor="text1"/>
          <w:sz w:val="22"/>
          <w:szCs w:val="22"/>
        </w:rPr>
        <w:t>NES cell with SU</w:t>
      </w:r>
      <w:r w:rsidR="00BA1EDF">
        <w:rPr>
          <w:b/>
          <w:bCs/>
          <w:i/>
          <w:iCs/>
          <w:color w:val="000000" w:themeColor="text1"/>
          <w:sz w:val="22"/>
          <w:szCs w:val="22"/>
        </w:rPr>
        <w:t>L.</w:t>
      </w:r>
    </w:p>
    <w:bookmarkEnd w:id="0"/>
    <w:p w14:paraId="4F41DDD1" w14:textId="10DE2A7C" w:rsidR="00224D0D" w:rsidRPr="00F37FBF" w:rsidRDefault="00224D0D" w:rsidP="00F37FBF">
      <w:pPr>
        <w:snapToGrid w:val="0"/>
        <w:spacing w:after="120"/>
        <w:rPr>
          <w:color w:val="000000" w:themeColor="text1"/>
          <w:sz w:val="22"/>
          <w:szCs w:val="22"/>
        </w:rPr>
      </w:pPr>
    </w:p>
    <w:p w14:paraId="0D121617" w14:textId="60B3810E" w:rsidR="00E51A0E" w:rsidRDefault="00E51A0E" w:rsidP="00F37FBF">
      <w:pPr>
        <w:snapToGrid w:val="0"/>
        <w:spacing w:after="120"/>
        <w:rPr>
          <w:color w:val="000000" w:themeColor="text1"/>
          <w:sz w:val="22"/>
          <w:szCs w:val="22"/>
        </w:rPr>
      </w:pPr>
      <w:bookmarkStart w:id="1" w:name="_Hlk193973126"/>
      <w:r w:rsidRPr="00F37FBF">
        <w:rPr>
          <w:color w:val="000000" w:themeColor="text1"/>
          <w:sz w:val="22"/>
          <w:szCs w:val="22"/>
        </w:rPr>
        <w:t>At RAN2 #12</w:t>
      </w:r>
      <w:r w:rsidR="00F37FBF">
        <w:rPr>
          <w:color w:val="000000" w:themeColor="text1"/>
          <w:sz w:val="22"/>
          <w:szCs w:val="22"/>
        </w:rPr>
        <w:t>6</w:t>
      </w:r>
      <w:r w:rsidRPr="00F37FBF">
        <w:rPr>
          <w:color w:val="000000" w:themeColor="text1"/>
          <w:sz w:val="22"/>
          <w:szCs w:val="22"/>
        </w:rPr>
        <w:t xml:space="preserve">, the following </w:t>
      </w:r>
      <w:r w:rsidR="00F37FBF">
        <w:rPr>
          <w:color w:val="000000" w:themeColor="text1"/>
          <w:sz w:val="22"/>
          <w:szCs w:val="22"/>
        </w:rPr>
        <w:t>scenario was agreed for OD-SIB1 NES cells</w:t>
      </w:r>
      <w:r w:rsidR="00EB6E11">
        <w:rPr>
          <w:color w:val="000000" w:themeColor="text1"/>
          <w:sz w:val="22"/>
          <w:szCs w:val="22"/>
        </w:rPr>
        <w:t xml:space="preserve"> </w:t>
      </w:r>
      <w:r w:rsidR="00EB6E11">
        <w:rPr>
          <w:color w:val="000000" w:themeColor="text1"/>
          <w:sz w:val="22"/>
          <w:szCs w:val="22"/>
        </w:rPr>
        <w:fldChar w:fldCharType="begin"/>
      </w:r>
      <w:r w:rsidR="00EB6E11">
        <w:rPr>
          <w:color w:val="000000" w:themeColor="text1"/>
          <w:sz w:val="22"/>
          <w:szCs w:val="22"/>
        </w:rPr>
        <w:instrText xml:space="preserve"> REF _Ref206074746 \n \h </w:instrText>
      </w:r>
      <w:r w:rsidR="00EB6E11">
        <w:rPr>
          <w:color w:val="000000" w:themeColor="text1"/>
          <w:sz w:val="22"/>
          <w:szCs w:val="22"/>
        </w:rPr>
      </w:r>
      <w:r w:rsidR="00EB6E11">
        <w:rPr>
          <w:color w:val="000000" w:themeColor="text1"/>
          <w:sz w:val="22"/>
          <w:szCs w:val="22"/>
        </w:rPr>
        <w:fldChar w:fldCharType="separate"/>
      </w:r>
      <w:r w:rsidR="00EB6E11">
        <w:rPr>
          <w:color w:val="000000" w:themeColor="text1"/>
          <w:sz w:val="22"/>
          <w:szCs w:val="22"/>
        </w:rPr>
        <w:t>[3]</w:t>
      </w:r>
      <w:r w:rsidR="00EB6E11">
        <w:rPr>
          <w:color w:val="000000" w:themeColor="text1"/>
          <w:sz w:val="22"/>
          <w:szCs w:val="22"/>
        </w:rPr>
        <w:fldChar w:fldCharType="end"/>
      </w:r>
      <w:r w:rsidR="000073D3">
        <w:rPr>
          <w:color w:val="000000" w:themeColor="text1"/>
          <w:sz w:val="22"/>
          <w:szCs w:val="22"/>
        </w:rPr>
        <w:t>.</w:t>
      </w:r>
    </w:p>
    <w:p w14:paraId="3EA0A707" w14:textId="77777777" w:rsidR="00080406" w:rsidRPr="00080406" w:rsidRDefault="00080406" w:rsidP="00080406">
      <w:pPr>
        <w:pStyle w:val="Doc-text2"/>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hanging="360"/>
        <w:rPr>
          <w:rFonts w:ascii="Times New Roman" w:hAnsi="Times New Roman"/>
          <w:b/>
          <w:bCs/>
          <w:i/>
          <w:iCs/>
          <w:sz w:val="22"/>
          <w:szCs w:val="28"/>
        </w:rPr>
      </w:pPr>
      <w:r w:rsidRPr="00080406">
        <w:rPr>
          <w:rFonts w:ascii="Times New Roman" w:hAnsi="Times New Roman"/>
          <w:b/>
          <w:bCs/>
          <w:i/>
          <w:iCs/>
          <w:sz w:val="22"/>
          <w:szCs w:val="28"/>
          <w:highlight w:val="green"/>
        </w:rPr>
        <w:t>Agreements on on-demand SIB1:</w:t>
      </w:r>
    </w:p>
    <w:p w14:paraId="34348698" w14:textId="77777777" w:rsidR="00080406" w:rsidRPr="00080406" w:rsidRDefault="00080406" w:rsidP="00080406">
      <w:pPr>
        <w:pStyle w:val="Doc-text2"/>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hanging="360"/>
        <w:rPr>
          <w:rFonts w:ascii="Times New Roman" w:hAnsi="Times New Roman"/>
          <w:b/>
          <w:bCs/>
          <w:i/>
          <w:iCs/>
          <w:sz w:val="22"/>
          <w:szCs w:val="28"/>
        </w:rPr>
      </w:pPr>
      <w:r w:rsidRPr="00080406">
        <w:rPr>
          <w:rFonts w:ascii="Times New Roman" w:hAnsi="Times New Roman"/>
          <w:b/>
          <w:bCs/>
          <w:i/>
          <w:iCs/>
          <w:sz w:val="22"/>
          <w:szCs w:val="28"/>
        </w:rPr>
        <w:t>Further clarification</w:t>
      </w:r>
    </w:p>
    <w:p w14:paraId="5E1C40E5" w14:textId="77777777" w:rsidR="00080406" w:rsidRPr="00080406" w:rsidRDefault="00080406" w:rsidP="00080406">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rPr>
          <w:rFonts w:ascii="Times New Roman" w:hAnsi="Times New Roman"/>
          <w:i/>
          <w:iCs/>
          <w:sz w:val="22"/>
          <w:szCs w:val="28"/>
        </w:rPr>
      </w:pPr>
      <w:r w:rsidRPr="00080406">
        <w:rPr>
          <w:rFonts w:ascii="Times New Roman" w:hAnsi="Times New Roman"/>
          <w:i/>
          <w:iCs/>
          <w:sz w:val="22"/>
          <w:szCs w:val="28"/>
        </w:rPr>
        <w:t>Study on-demand SIB1 provisioning for NES Cell(s) in versions of Scenario 1a with multiple Cells A and/or NES Cells:</w:t>
      </w:r>
    </w:p>
    <w:p w14:paraId="7CF27C8F" w14:textId="77777777" w:rsidR="00080406" w:rsidRPr="00080406" w:rsidRDefault="00080406" w:rsidP="00080406">
      <w:pPr>
        <w:pStyle w:val="Doc-text2"/>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hanging="360"/>
        <w:rPr>
          <w:rFonts w:ascii="Times New Roman" w:hAnsi="Times New Roman"/>
          <w:i/>
          <w:iCs/>
          <w:sz w:val="22"/>
          <w:szCs w:val="28"/>
        </w:rPr>
      </w:pPr>
      <w:r w:rsidRPr="00080406">
        <w:rPr>
          <w:rFonts w:ascii="Times New Roman" w:hAnsi="Times New Roman"/>
          <w:i/>
          <w:iCs/>
          <w:sz w:val="22"/>
          <w:szCs w:val="28"/>
        </w:rPr>
        <w:t xml:space="preserve"> </w:t>
      </w:r>
      <w:r w:rsidRPr="00080406">
        <w:rPr>
          <w:rFonts w:ascii="Times New Roman" w:hAnsi="Times New Roman"/>
          <w:i/>
          <w:iCs/>
          <w:sz w:val="22"/>
          <w:szCs w:val="28"/>
        </w:rPr>
        <w:tab/>
        <w:t>- More than one Cell A may provide configuration for the same NES cell.</w:t>
      </w:r>
    </w:p>
    <w:p w14:paraId="7DA18550" w14:textId="77777777" w:rsidR="00080406" w:rsidRPr="00080406" w:rsidRDefault="00080406" w:rsidP="00080406">
      <w:pPr>
        <w:pStyle w:val="Doc-text2"/>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hanging="360"/>
        <w:rPr>
          <w:rFonts w:ascii="Times New Roman" w:hAnsi="Times New Roman"/>
          <w:i/>
          <w:iCs/>
          <w:sz w:val="22"/>
          <w:szCs w:val="28"/>
        </w:rPr>
      </w:pPr>
      <w:r w:rsidRPr="00080406">
        <w:rPr>
          <w:rFonts w:ascii="Times New Roman" w:hAnsi="Times New Roman"/>
          <w:i/>
          <w:iCs/>
          <w:sz w:val="22"/>
          <w:szCs w:val="28"/>
        </w:rPr>
        <w:tab/>
        <w:t>- The same Cell A may assist more than one NES Cells.</w:t>
      </w:r>
    </w:p>
    <w:p w14:paraId="38844892" w14:textId="77777777" w:rsidR="00080406" w:rsidRPr="00080406" w:rsidRDefault="00080406" w:rsidP="00080406">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20"/>
        </w:tabs>
        <w:snapToGrid w:val="0"/>
        <w:spacing w:after="120"/>
        <w:ind w:left="720"/>
        <w:rPr>
          <w:rFonts w:ascii="Times New Roman" w:hAnsi="Times New Roman"/>
          <w:i/>
          <w:iCs/>
          <w:sz w:val="22"/>
          <w:szCs w:val="28"/>
        </w:rPr>
      </w:pPr>
      <w:r w:rsidRPr="00080406">
        <w:rPr>
          <w:rFonts w:ascii="Times New Roman" w:hAnsi="Times New Roman"/>
          <w:i/>
          <w:iCs/>
          <w:sz w:val="22"/>
          <w:szCs w:val="28"/>
        </w:rPr>
        <w:t>RRC release message assisted intra-cell WUS can be discussed as option of signaling details in stage 3.</w:t>
      </w:r>
    </w:p>
    <w:p w14:paraId="28AADC18" w14:textId="2696EADA" w:rsidR="000E63C6" w:rsidRDefault="00080406" w:rsidP="00080406">
      <w:pPr>
        <w:snapToGrid w:val="0"/>
        <w:spacing w:after="120"/>
        <w:jc w:val="center"/>
        <w:rPr>
          <w:color w:val="000000" w:themeColor="text1"/>
          <w:sz w:val="22"/>
          <w:szCs w:val="22"/>
        </w:rPr>
      </w:pPr>
      <w:r w:rsidRPr="00080406">
        <w:rPr>
          <w:color w:val="000000" w:themeColor="text1"/>
          <w:sz w:val="22"/>
          <w:szCs w:val="22"/>
        </w:rPr>
        <w:drawing>
          <wp:inline distT="0" distB="0" distL="0" distR="0" wp14:anchorId="06BC756E" wp14:editId="06F1B456">
            <wp:extent cx="3637602" cy="1333153"/>
            <wp:effectExtent l="0" t="0" r="1270" b="0"/>
            <wp:docPr id="9" name="Picture 8">
              <a:extLst xmlns:a="http://schemas.openxmlformats.org/drawingml/2006/main">
                <a:ext uri="{FF2B5EF4-FFF2-40B4-BE49-F238E27FC236}">
                  <a16:creationId xmlns:a16="http://schemas.microsoft.com/office/drawing/2014/main" id="{BC902C86-6C31-84E7-EE61-6335A5ED4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C902C86-6C31-84E7-EE61-6335A5ED411C}"/>
                        </a:ext>
                      </a:extLst>
                    </pic:cNvPr>
                    <pic:cNvPicPr>
                      <a:picLocks noChangeAspect="1"/>
                    </pic:cNvPicPr>
                  </pic:nvPicPr>
                  <pic:blipFill>
                    <a:blip r:embed="rId9"/>
                    <a:stretch>
                      <a:fillRect/>
                    </a:stretch>
                  </pic:blipFill>
                  <pic:spPr>
                    <a:xfrm>
                      <a:off x="0" y="0"/>
                      <a:ext cx="3637602" cy="1333153"/>
                    </a:xfrm>
                    <a:prstGeom prst="rect">
                      <a:avLst/>
                    </a:prstGeom>
                  </pic:spPr>
                </pic:pic>
              </a:graphicData>
            </a:graphic>
          </wp:inline>
        </w:drawing>
      </w:r>
    </w:p>
    <w:p w14:paraId="63CE8A30" w14:textId="1B73870D" w:rsidR="00080406" w:rsidRDefault="00080406" w:rsidP="00080406">
      <w:pPr>
        <w:snapToGrid w:val="0"/>
        <w:spacing w:after="120"/>
        <w:jc w:val="center"/>
        <w:rPr>
          <w:b/>
          <w:bCs/>
          <w:color w:val="000000" w:themeColor="text1"/>
          <w:sz w:val="22"/>
          <w:szCs w:val="22"/>
        </w:rPr>
      </w:pPr>
      <w:r w:rsidRPr="00080406">
        <w:rPr>
          <w:b/>
          <w:bCs/>
          <w:color w:val="000000" w:themeColor="text1"/>
          <w:sz w:val="22"/>
          <w:szCs w:val="22"/>
        </w:rPr>
        <w:t>Figure 1. Scenario 1a for OD-SIB1</w:t>
      </w:r>
    </w:p>
    <w:p w14:paraId="31A61678" w14:textId="77777777" w:rsidR="00080406" w:rsidRPr="00080406" w:rsidRDefault="00080406" w:rsidP="00080406">
      <w:pPr>
        <w:snapToGrid w:val="0"/>
        <w:spacing w:after="120"/>
        <w:jc w:val="center"/>
        <w:rPr>
          <w:b/>
          <w:bCs/>
          <w:color w:val="000000" w:themeColor="text1"/>
          <w:sz w:val="22"/>
          <w:szCs w:val="22"/>
        </w:rPr>
      </w:pPr>
    </w:p>
    <w:p w14:paraId="60F8B8F9" w14:textId="795A7DB1" w:rsidR="00EB6E11" w:rsidRPr="00EB6E11" w:rsidRDefault="00080406" w:rsidP="00BA1EDF">
      <w:pPr>
        <w:snapToGrid w:val="0"/>
        <w:spacing w:after="120"/>
        <w:rPr>
          <w:color w:val="000000" w:themeColor="text1"/>
          <w:sz w:val="22"/>
          <w:szCs w:val="22"/>
        </w:rPr>
      </w:pPr>
      <w:r>
        <w:rPr>
          <w:color w:val="000000" w:themeColor="text1"/>
          <w:sz w:val="22"/>
          <w:szCs w:val="22"/>
        </w:rPr>
        <w:t xml:space="preserve">As shown in Figure 1, a UE may be at both Cell A and NES cell coverage (e.g., receiving UL WUS configuration from Cell A and transmitting UL WUS to NES cell), where more than one Cell A may broadcast the UL WUS configuration for a NES cell and more than one NES cell’s UL WUS </w:t>
      </w:r>
      <w:r>
        <w:rPr>
          <w:color w:val="000000" w:themeColor="text1"/>
          <w:sz w:val="22"/>
          <w:szCs w:val="22"/>
        </w:rPr>
        <w:lastRenderedPageBreak/>
        <w:t>configurations may be broadcasted by a Cell A. With such combinations</w:t>
      </w:r>
      <w:r w:rsidR="00BA1EDF">
        <w:rPr>
          <w:color w:val="000000" w:themeColor="text1"/>
          <w:sz w:val="22"/>
          <w:szCs w:val="22"/>
        </w:rPr>
        <w:t xml:space="preserve"> of Cell A’s and NES cells, it’s not clear for the case that a NES cell containing a co-located SUL with lower frequency.</w:t>
      </w:r>
    </w:p>
    <w:p w14:paraId="2AF09623" w14:textId="448840D3" w:rsidR="002C701D" w:rsidRDefault="00BA1EDF" w:rsidP="008A4C46">
      <w:pPr>
        <w:pStyle w:val="Comments"/>
        <w:rPr>
          <w:rFonts w:ascii="Times New Roman" w:eastAsia="SimSun" w:hAnsi="Times New Roman"/>
          <w:b/>
          <w:bCs/>
          <w:iCs/>
          <w:noProof w:val="0"/>
          <w:color w:val="000000" w:themeColor="text1"/>
          <w:sz w:val="22"/>
          <w:szCs w:val="22"/>
          <w:lang w:val="en-US" w:eastAsia="ja-JP"/>
        </w:rPr>
      </w:pPr>
      <w:bookmarkStart w:id="2" w:name="_Hlk206080348"/>
      <w:r w:rsidRPr="00BA1EDF">
        <w:rPr>
          <w:rFonts w:ascii="Times New Roman" w:eastAsia="SimSun" w:hAnsi="Times New Roman"/>
          <w:b/>
          <w:bCs/>
          <w:iCs/>
          <w:noProof w:val="0"/>
          <w:color w:val="000000" w:themeColor="text1"/>
          <w:sz w:val="22"/>
          <w:szCs w:val="22"/>
          <w:lang w:val="en-US" w:eastAsia="ja-JP"/>
        </w:rPr>
        <w:t xml:space="preserve">Observation 3. It is not clear </w:t>
      </w:r>
      <w:r w:rsidRPr="00BA1EDF">
        <w:rPr>
          <w:rFonts w:ascii="Times New Roman" w:eastAsia="SimSun" w:hAnsi="Times New Roman"/>
          <w:b/>
          <w:bCs/>
          <w:iCs/>
          <w:noProof w:val="0"/>
          <w:color w:val="000000" w:themeColor="text1"/>
          <w:sz w:val="22"/>
          <w:szCs w:val="22"/>
          <w:lang w:val="en-US" w:eastAsia="ja-JP"/>
        </w:rPr>
        <w:t>about</w:t>
      </w:r>
      <w:r w:rsidRPr="00BA1EDF">
        <w:rPr>
          <w:rFonts w:ascii="Times New Roman" w:eastAsia="SimSun" w:hAnsi="Times New Roman"/>
          <w:b/>
          <w:bCs/>
          <w:iCs/>
          <w:noProof w:val="0"/>
          <w:color w:val="000000" w:themeColor="text1"/>
          <w:sz w:val="22"/>
          <w:szCs w:val="22"/>
          <w:lang w:val="en-US" w:eastAsia="ja-JP"/>
        </w:rPr>
        <w:t xml:space="preserve"> the SUL deployment with NES </w:t>
      </w:r>
      <w:proofErr w:type="gramStart"/>
      <w:r w:rsidRPr="00BA1EDF">
        <w:rPr>
          <w:rFonts w:ascii="Times New Roman" w:eastAsia="SimSun" w:hAnsi="Times New Roman"/>
          <w:b/>
          <w:bCs/>
          <w:iCs/>
          <w:noProof w:val="0"/>
          <w:color w:val="000000" w:themeColor="text1"/>
          <w:sz w:val="22"/>
          <w:szCs w:val="22"/>
          <w:lang w:val="en-US" w:eastAsia="ja-JP"/>
        </w:rPr>
        <w:t>cell</w:t>
      </w:r>
      <w:proofErr w:type="gramEnd"/>
      <w:r w:rsidRPr="00BA1EDF">
        <w:rPr>
          <w:rFonts w:ascii="Times New Roman" w:eastAsia="SimSun" w:hAnsi="Times New Roman"/>
          <w:b/>
          <w:bCs/>
          <w:iCs/>
          <w:noProof w:val="0"/>
          <w:color w:val="000000" w:themeColor="text1"/>
          <w:sz w:val="22"/>
          <w:szCs w:val="22"/>
          <w:lang w:val="en-US" w:eastAsia="ja-JP"/>
        </w:rPr>
        <w:t xml:space="preserve"> (e.g., whether a SUL is deployed with a low frequency and co-located with the NES cell).</w:t>
      </w:r>
    </w:p>
    <w:bookmarkEnd w:id="2"/>
    <w:p w14:paraId="10544106" w14:textId="77777777" w:rsidR="002C701D" w:rsidRDefault="002C701D" w:rsidP="008A4C46">
      <w:pPr>
        <w:pStyle w:val="Comments"/>
        <w:rPr>
          <w:rFonts w:ascii="Times New Roman" w:eastAsia="SimSun" w:hAnsi="Times New Roman"/>
          <w:b/>
          <w:bCs/>
          <w:iCs/>
          <w:noProof w:val="0"/>
          <w:color w:val="000000" w:themeColor="text1"/>
          <w:sz w:val="22"/>
          <w:szCs w:val="22"/>
          <w:lang w:val="en-US" w:eastAsia="ja-JP"/>
        </w:rPr>
      </w:pPr>
    </w:p>
    <w:p w14:paraId="4C8157E0" w14:textId="119D0C22" w:rsidR="000E63C6" w:rsidRPr="000E63C6" w:rsidRDefault="000E63C6" w:rsidP="008A4C46">
      <w:pPr>
        <w:pStyle w:val="Comments"/>
        <w:rPr>
          <w:rFonts w:ascii="Times New Roman" w:eastAsia="SimSun" w:hAnsi="Times New Roman"/>
          <w:i w:val="0"/>
          <w:noProof w:val="0"/>
          <w:color w:val="000000" w:themeColor="text1"/>
          <w:sz w:val="22"/>
          <w:szCs w:val="22"/>
          <w:lang w:val="en-US" w:eastAsia="ja-JP"/>
        </w:rPr>
      </w:pPr>
      <w:r w:rsidRPr="000E63C6">
        <w:rPr>
          <w:rFonts w:ascii="Times New Roman" w:eastAsia="SimSun" w:hAnsi="Times New Roman"/>
          <w:i w:val="0"/>
          <w:noProof w:val="0"/>
          <w:color w:val="000000" w:themeColor="text1"/>
          <w:sz w:val="22"/>
          <w:szCs w:val="22"/>
          <w:lang w:val="en-US" w:eastAsia="ja-JP"/>
        </w:rPr>
        <w:t>Based on the observation</w:t>
      </w:r>
      <w:r w:rsidR="002C701D">
        <w:rPr>
          <w:rFonts w:ascii="Times New Roman" w:eastAsia="SimSun" w:hAnsi="Times New Roman"/>
          <w:i w:val="0"/>
          <w:noProof w:val="0"/>
          <w:color w:val="000000" w:themeColor="text1"/>
          <w:sz w:val="22"/>
          <w:szCs w:val="22"/>
          <w:lang w:val="en-US" w:eastAsia="ja-JP"/>
        </w:rPr>
        <w:t>s</w:t>
      </w:r>
      <w:r w:rsidRPr="000E63C6">
        <w:rPr>
          <w:rFonts w:ascii="Times New Roman" w:eastAsia="SimSun" w:hAnsi="Times New Roman"/>
          <w:i w:val="0"/>
          <w:noProof w:val="0"/>
          <w:color w:val="000000" w:themeColor="text1"/>
          <w:sz w:val="22"/>
          <w:szCs w:val="22"/>
          <w:lang w:val="en-US" w:eastAsia="ja-JP"/>
        </w:rPr>
        <w:t xml:space="preserve">, we </w:t>
      </w:r>
      <w:r w:rsidR="00BA1EDF">
        <w:rPr>
          <w:rFonts w:ascii="Times New Roman" w:eastAsia="SimSun" w:hAnsi="Times New Roman"/>
          <w:i w:val="0"/>
          <w:noProof w:val="0"/>
          <w:color w:val="000000" w:themeColor="text1"/>
          <w:sz w:val="22"/>
          <w:szCs w:val="22"/>
          <w:lang w:val="en-US" w:eastAsia="ja-JP"/>
        </w:rPr>
        <w:t>don’t see the justifications or benefits for supporting OD-SIB1 for SUL</w:t>
      </w:r>
      <w:r w:rsidRPr="000E63C6">
        <w:rPr>
          <w:rFonts w:ascii="Times New Roman" w:eastAsia="SimSun" w:hAnsi="Times New Roman"/>
          <w:i w:val="0"/>
          <w:noProof w:val="0"/>
          <w:color w:val="000000" w:themeColor="text1"/>
          <w:sz w:val="22"/>
          <w:szCs w:val="22"/>
          <w:lang w:val="en-US" w:eastAsia="ja-JP"/>
        </w:rPr>
        <w:t>.</w:t>
      </w:r>
      <w:r w:rsidR="00BA1EDF">
        <w:rPr>
          <w:rFonts w:ascii="Times New Roman" w:eastAsia="SimSun" w:hAnsi="Times New Roman"/>
          <w:i w:val="0"/>
          <w:noProof w:val="0"/>
          <w:color w:val="000000" w:themeColor="text1"/>
          <w:sz w:val="22"/>
          <w:szCs w:val="22"/>
          <w:lang w:val="en-US" w:eastAsia="ja-JP"/>
        </w:rPr>
        <w:t xml:space="preserve"> Therefore, we propose not to support this case, especially at the last meeting for Rel 19 NES design.</w:t>
      </w:r>
    </w:p>
    <w:p w14:paraId="0A77893A" w14:textId="215171A4" w:rsidR="008A4C46" w:rsidRPr="000E63C6" w:rsidRDefault="008A4C46" w:rsidP="008A4C46">
      <w:pPr>
        <w:pStyle w:val="Comments"/>
        <w:rPr>
          <w:rFonts w:ascii="Times New Roman" w:eastAsia="SimSun" w:hAnsi="Times New Roman"/>
          <w:i w:val="0"/>
          <w:noProof w:val="0"/>
          <w:color w:val="000000" w:themeColor="text1"/>
          <w:sz w:val="22"/>
          <w:szCs w:val="22"/>
          <w:lang w:val="en-US" w:eastAsia="ja-JP"/>
        </w:rPr>
      </w:pPr>
      <w:r w:rsidRPr="000E63C6">
        <w:rPr>
          <w:rFonts w:ascii="Times New Roman" w:eastAsia="SimSun" w:hAnsi="Times New Roman"/>
          <w:i w:val="0"/>
          <w:noProof w:val="0"/>
          <w:color w:val="000000" w:themeColor="text1"/>
          <w:sz w:val="22"/>
          <w:szCs w:val="22"/>
          <w:lang w:val="en-US" w:eastAsia="ja-JP"/>
        </w:rPr>
        <w:t> </w:t>
      </w:r>
    </w:p>
    <w:p w14:paraId="68F9D5FC" w14:textId="79226F2E" w:rsidR="002C701D" w:rsidRDefault="00BA1EDF" w:rsidP="002C701D">
      <w:pPr>
        <w:pStyle w:val="Comments"/>
        <w:rPr>
          <w:rFonts w:ascii="Times New Roman" w:eastAsia="SimSun" w:hAnsi="Times New Roman"/>
          <w:b/>
          <w:bCs/>
          <w:iCs/>
          <w:noProof w:val="0"/>
          <w:color w:val="000000" w:themeColor="text1"/>
          <w:sz w:val="22"/>
          <w:szCs w:val="22"/>
          <w:lang w:val="en-US" w:eastAsia="ja-JP"/>
        </w:rPr>
      </w:pPr>
      <w:r w:rsidRPr="00BA1EDF">
        <w:rPr>
          <w:rFonts w:ascii="Times New Roman" w:eastAsia="SimSun" w:hAnsi="Times New Roman"/>
          <w:b/>
          <w:bCs/>
          <w:iCs/>
          <w:noProof w:val="0"/>
          <w:color w:val="000000" w:themeColor="text1"/>
          <w:sz w:val="22"/>
          <w:szCs w:val="22"/>
          <w:lang w:val="en-US" w:eastAsia="ja-JP"/>
        </w:rPr>
        <w:t>Proposal: Do not support SUL for OD-SIB1 NES cell</w:t>
      </w:r>
      <w:r w:rsidR="002C701D" w:rsidRPr="002C701D">
        <w:rPr>
          <w:rFonts w:ascii="Times New Roman" w:eastAsia="SimSun" w:hAnsi="Times New Roman"/>
          <w:b/>
          <w:bCs/>
          <w:iCs/>
          <w:noProof w:val="0"/>
          <w:color w:val="000000" w:themeColor="text1"/>
          <w:sz w:val="22"/>
          <w:szCs w:val="22"/>
          <w:lang w:val="en-US" w:eastAsia="ja-JP"/>
        </w:rPr>
        <w:t xml:space="preserve">. </w:t>
      </w:r>
    </w:p>
    <w:p w14:paraId="3CE0A1B9" w14:textId="61D83B5C" w:rsidR="00ED2BCB" w:rsidRPr="00BA1EDF" w:rsidRDefault="002C701D" w:rsidP="000E63C6">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 </w:t>
      </w:r>
    </w:p>
    <w:bookmarkEnd w:id="1"/>
    <w:p w14:paraId="034395A0" w14:textId="77777777" w:rsidR="00440C2B" w:rsidRPr="00692DEB" w:rsidRDefault="00440C2B" w:rsidP="00D02CC1">
      <w:pPr>
        <w:pStyle w:val="Heading1"/>
        <w:ind w:left="360" w:hanging="360"/>
        <w:rPr>
          <w:b/>
          <w:lang w:val="en-US"/>
        </w:rPr>
      </w:pPr>
      <w:r>
        <w:rPr>
          <w:lang w:val="en-US"/>
        </w:rPr>
        <w:t>Conclusion</w:t>
      </w:r>
    </w:p>
    <w:p w14:paraId="52CFD56B" w14:textId="07CA9CCA" w:rsidR="004C4F7D" w:rsidRPr="00BA1EDF" w:rsidRDefault="008E65BF" w:rsidP="00BA1EDF">
      <w:pPr>
        <w:snapToGrid w:val="0"/>
        <w:spacing w:after="120"/>
        <w:rPr>
          <w:color w:val="000000" w:themeColor="text1"/>
          <w:sz w:val="22"/>
          <w:szCs w:val="22"/>
        </w:rPr>
      </w:pPr>
      <w:r w:rsidRPr="00BA1EDF">
        <w:rPr>
          <w:color w:val="000000" w:themeColor="text1"/>
          <w:sz w:val="22"/>
          <w:szCs w:val="22"/>
        </w:rPr>
        <w:t xml:space="preserve">In this contribution, we </w:t>
      </w:r>
      <w:bookmarkStart w:id="3" w:name="_Hlk92772570"/>
      <w:r w:rsidR="003A2ABD" w:rsidRPr="00BA1EDF">
        <w:rPr>
          <w:color w:val="auto"/>
          <w:sz w:val="22"/>
          <w:szCs w:val="22"/>
        </w:rPr>
        <w:t>discuss</w:t>
      </w:r>
      <w:r w:rsidR="00F26D1D" w:rsidRPr="00BA1EDF">
        <w:rPr>
          <w:color w:val="auto"/>
          <w:sz w:val="22"/>
          <w:szCs w:val="22"/>
        </w:rPr>
        <w:t>ed</w:t>
      </w:r>
      <w:r w:rsidR="003A2ABD" w:rsidRPr="00BA1EDF">
        <w:rPr>
          <w:color w:val="auto"/>
          <w:sz w:val="22"/>
          <w:szCs w:val="22"/>
        </w:rPr>
        <w:t xml:space="preserve"> </w:t>
      </w:r>
      <w:r w:rsidR="00EA1660" w:rsidRPr="00BA1EDF">
        <w:rPr>
          <w:color w:val="000000" w:themeColor="text1"/>
          <w:sz w:val="22"/>
          <w:szCs w:val="22"/>
        </w:rPr>
        <w:t xml:space="preserve">the </w:t>
      </w:r>
      <w:r w:rsidR="00BA1EDF" w:rsidRPr="00BA1EDF">
        <w:rPr>
          <w:color w:val="000000" w:themeColor="text1"/>
          <w:sz w:val="22"/>
          <w:szCs w:val="22"/>
        </w:rPr>
        <w:t>remaining design issues of OD-SIB1</w:t>
      </w:r>
      <w:r w:rsidR="00EA1660" w:rsidRPr="00BA1EDF">
        <w:rPr>
          <w:color w:val="000000" w:themeColor="text1"/>
          <w:sz w:val="22"/>
          <w:szCs w:val="22"/>
        </w:rPr>
        <w:t xml:space="preserve">and </w:t>
      </w:r>
      <w:r w:rsidR="00DB0F72" w:rsidRPr="00BA1EDF">
        <w:rPr>
          <w:color w:val="auto"/>
          <w:sz w:val="22"/>
          <w:szCs w:val="22"/>
        </w:rPr>
        <w:t xml:space="preserve">concluded with </w:t>
      </w:r>
      <w:r w:rsidR="004C4F7D" w:rsidRPr="00BA1EDF">
        <w:rPr>
          <w:color w:val="auto"/>
          <w:sz w:val="22"/>
          <w:szCs w:val="22"/>
        </w:rPr>
        <w:t xml:space="preserve">the following </w:t>
      </w:r>
      <w:r w:rsidR="00A261D8" w:rsidRPr="00BA1EDF">
        <w:rPr>
          <w:color w:val="auto"/>
          <w:sz w:val="22"/>
          <w:szCs w:val="22"/>
        </w:rPr>
        <w:t>observation</w:t>
      </w:r>
      <w:r w:rsidR="00287D93" w:rsidRPr="00BA1EDF">
        <w:rPr>
          <w:color w:val="auto"/>
          <w:sz w:val="22"/>
          <w:szCs w:val="22"/>
        </w:rPr>
        <w:t>s</w:t>
      </w:r>
      <w:r w:rsidR="00A261D8" w:rsidRPr="00BA1EDF">
        <w:rPr>
          <w:color w:val="auto"/>
          <w:sz w:val="22"/>
          <w:szCs w:val="22"/>
        </w:rPr>
        <w:t xml:space="preserve"> and </w:t>
      </w:r>
      <w:r w:rsidR="004C4F7D" w:rsidRPr="00BA1EDF">
        <w:rPr>
          <w:color w:val="auto"/>
          <w:sz w:val="22"/>
          <w:szCs w:val="22"/>
        </w:rPr>
        <w:t>proposal</w:t>
      </w:r>
      <w:bookmarkEnd w:id="3"/>
      <w:r w:rsidR="00D305C8" w:rsidRPr="00BA1EDF">
        <w:rPr>
          <w:color w:val="auto"/>
          <w:sz w:val="22"/>
          <w:szCs w:val="22"/>
        </w:rPr>
        <w:t>s</w:t>
      </w:r>
      <w:r w:rsidR="004C4F7D" w:rsidRPr="00BA1EDF">
        <w:rPr>
          <w:color w:val="BFBFBF" w:themeColor="background1" w:themeShade="BF"/>
          <w:sz w:val="22"/>
          <w:szCs w:val="22"/>
        </w:rPr>
        <w:t>.</w:t>
      </w:r>
    </w:p>
    <w:p w14:paraId="1B55D06E" w14:textId="7CB3A5C4" w:rsidR="004435A5" w:rsidRPr="00BA1EDF" w:rsidRDefault="00BA1EDF" w:rsidP="00BA1EDF">
      <w:pPr>
        <w:snapToGrid w:val="0"/>
        <w:spacing w:after="120"/>
        <w:rPr>
          <w:color w:val="000000" w:themeColor="text1"/>
          <w:sz w:val="22"/>
          <w:szCs w:val="22"/>
        </w:rPr>
      </w:pPr>
      <w:r w:rsidRPr="00BA1EDF">
        <w:rPr>
          <w:b/>
          <w:bCs/>
          <w:color w:val="000000" w:themeColor="text1"/>
          <w:sz w:val="22"/>
          <w:szCs w:val="22"/>
        </w:rPr>
        <w:t>Observation 1.</w:t>
      </w:r>
      <w:r w:rsidRPr="00BA1EDF">
        <w:rPr>
          <w:color w:val="000000" w:themeColor="text1"/>
          <w:sz w:val="22"/>
          <w:szCs w:val="22"/>
        </w:rPr>
        <w:t xml:space="preserve"> Originally, SUL was introduced for enhancing UL coverage with a low frequence carrier.</w:t>
      </w:r>
    </w:p>
    <w:p w14:paraId="20C5D25F" w14:textId="60243BC9" w:rsidR="00BA1EDF" w:rsidRPr="00BA1EDF" w:rsidRDefault="00BA1EDF" w:rsidP="00BA1EDF">
      <w:pPr>
        <w:pStyle w:val="Comments"/>
        <w:adjustRightInd w:val="0"/>
        <w:snapToGrid w:val="0"/>
        <w:spacing w:before="0" w:after="120"/>
        <w:rPr>
          <w:rFonts w:ascii="Times New Roman" w:eastAsia="SimSun" w:hAnsi="Times New Roman"/>
          <w:i w:val="0"/>
          <w:noProof w:val="0"/>
          <w:color w:val="000000" w:themeColor="text1"/>
          <w:sz w:val="22"/>
          <w:szCs w:val="22"/>
          <w:lang w:val="en-US" w:eastAsia="ja-JP"/>
        </w:rPr>
      </w:pPr>
      <w:r w:rsidRPr="00BA1EDF">
        <w:rPr>
          <w:rFonts w:ascii="Times New Roman" w:eastAsia="SimSun" w:hAnsi="Times New Roman"/>
          <w:b/>
          <w:bCs/>
          <w:i w:val="0"/>
          <w:noProof w:val="0"/>
          <w:color w:val="000000" w:themeColor="text1"/>
          <w:sz w:val="22"/>
          <w:szCs w:val="22"/>
          <w:lang w:val="en-US" w:eastAsia="ja-JP"/>
        </w:rPr>
        <w:t>Observation 2.</w:t>
      </w:r>
      <w:r w:rsidRPr="00BA1EDF">
        <w:rPr>
          <w:rFonts w:ascii="Times New Roman" w:eastAsia="SimSun" w:hAnsi="Times New Roman"/>
          <w:i w:val="0"/>
          <w:noProof w:val="0"/>
          <w:color w:val="000000" w:themeColor="text1"/>
          <w:sz w:val="22"/>
          <w:szCs w:val="22"/>
          <w:lang w:val="en-US" w:eastAsia="ja-JP"/>
        </w:rPr>
        <w:t xml:space="preserve"> RAN1 could not conclude an agreement to support NES cell with SUL.</w:t>
      </w:r>
    </w:p>
    <w:p w14:paraId="63CAD4E2" w14:textId="7DD99F6B" w:rsidR="00BA1EDF" w:rsidRPr="00BA1EDF" w:rsidRDefault="00BA1EDF" w:rsidP="00BA1EDF">
      <w:pPr>
        <w:pStyle w:val="Comments"/>
        <w:adjustRightInd w:val="0"/>
        <w:snapToGrid w:val="0"/>
        <w:spacing w:before="0" w:after="120"/>
        <w:rPr>
          <w:rFonts w:ascii="Times New Roman" w:eastAsia="SimSun" w:hAnsi="Times New Roman"/>
          <w:i w:val="0"/>
          <w:noProof w:val="0"/>
          <w:color w:val="000000" w:themeColor="text1"/>
          <w:sz w:val="22"/>
          <w:szCs w:val="22"/>
          <w:lang w:val="en-US" w:eastAsia="ja-JP"/>
        </w:rPr>
      </w:pPr>
      <w:r w:rsidRPr="00BA1EDF">
        <w:rPr>
          <w:rFonts w:ascii="Times New Roman" w:eastAsia="SimSun" w:hAnsi="Times New Roman"/>
          <w:b/>
          <w:bCs/>
          <w:i w:val="0"/>
          <w:noProof w:val="0"/>
          <w:color w:val="000000" w:themeColor="text1"/>
          <w:sz w:val="22"/>
          <w:szCs w:val="22"/>
          <w:lang w:val="en-US" w:eastAsia="ja-JP"/>
        </w:rPr>
        <w:t>Observation 3.</w:t>
      </w:r>
      <w:r w:rsidRPr="00BA1EDF">
        <w:rPr>
          <w:rFonts w:ascii="Times New Roman" w:eastAsia="SimSun" w:hAnsi="Times New Roman"/>
          <w:i w:val="0"/>
          <w:noProof w:val="0"/>
          <w:color w:val="000000" w:themeColor="text1"/>
          <w:sz w:val="22"/>
          <w:szCs w:val="22"/>
          <w:lang w:val="en-US" w:eastAsia="ja-JP"/>
        </w:rPr>
        <w:t xml:space="preserve"> It is not clear about the SUL deployment with NES </w:t>
      </w:r>
      <w:proofErr w:type="gramStart"/>
      <w:r w:rsidRPr="00BA1EDF">
        <w:rPr>
          <w:rFonts w:ascii="Times New Roman" w:eastAsia="SimSun" w:hAnsi="Times New Roman"/>
          <w:i w:val="0"/>
          <w:noProof w:val="0"/>
          <w:color w:val="000000" w:themeColor="text1"/>
          <w:sz w:val="22"/>
          <w:szCs w:val="22"/>
          <w:lang w:val="en-US" w:eastAsia="ja-JP"/>
        </w:rPr>
        <w:t>cell</w:t>
      </w:r>
      <w:proofErr w:type="gramEnd"/>
      <w:r w:rsidRPr="00BA1EDF">
        <w:rPr>
          <w:rFonts w:ascii="Times New Roman" w:eastAsia="SimSun" w:hAnsi="Times New Roman"/>
          <w:i w:val="0"/>
          <w:noProof w:val="0"/>
          <w:color w:val="000000" w:themeColor="text1"/>
          <w:sz w:val="22"/>
          <w:szCs w:val="22"/>
          <w:lang w:val="en-US" w:eastAsia="ja-JP"/>
        </w:rPr>
        <w:t xml:space="preserve"> (e.g., whether a SUL is deployed with a low frequency and co-located with the NES cell).</w:t>
      </w:r>
    </w:p>
    <w:p w14:paraId="240D072C" w14:textId="6719CC98" w:rsidR="00EA1660" w:rsidRPr="00BA1EDF" w:rsidRDefault="00BA1EDF" w:rsidP="00BA1EDF">
      <w:pPr>
        <w:pStyle w:val="Comments"/>
        <w:adjustRightInd w:val="0"/>
        <w:snapToGrid w:val="0"/>
        <w:spacing w:before="0" w:after="120"/>
        <w:rPr>
          <w:rFonts w:ascii="Times New Roman" w:eastAsia="SimSun" w:hAnsi="Times New Roman"/>
          <w:i w:val="0"/>
          <w:noProof w:val="0"/>
          <w:color w:val="000000" w:themeColor="text1"/>
          <w:sz w:val="22"/>
          <w:szCs w:val="22"/>
          <w:lang w:val="en-US" w:eastAsia="ja-JP"/>
        </w:rPr>
      </w:pPr>
      <w:r w:rsidRPr="00BA1EDF">
        <w:rPr>
          <w:rFonts w:ascii="Times New Roman" w:eastAsia="SimSun" w:hAnsi="Times New Roman"/>
          <w:b/>
          <w:bCs/>
          <w:i w:val="0"/>
          <w:noProof w:val="0"/>
          <w:color w:val="000000" w:themeColor="text1"/>
          <w:sz w:val="22"/>
          <w:szCs w:val="22"/>
          <w:lang w:val="en-US" w:eastAsia="ja-JP"/>
        </w:rPr>
        <w:t>Proposal:</w:t>
      </w:r>
      <w:r w:rsidRPr="00BA1EDF">
        <w:rPr>
          <w:rFonts w:ascii="Times New Roman" w:eastAsia="SimSun" w:hAnsi="Times New Roman"/>
          <w:i w:val="0"/>
          <w:noProof w:val="0"/>
          <w:color w:val="000000" w:themeColor="text1"/>
          <w:sz w:val="22"/>
          <w:szCs w:val="22"/>
          <w:lang w:val="en-US" w:eastAsia="ja-JP"/>
        </w:rPr>
        <w:t xml:space="preserve"> Do not support SUL for OD-SIB1 NES cell.</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586880E0" w:rsidR="009F6437" w:rsidRPr="006B04F9" w:rsidRDefault="007B156B" w:rsidP="00E94557">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4" w:name="_Ref197627317"/>
      <w:bookmarkStart w:id="5" w:name="_Ref149856481"/>
      <w:r w:rsidRPr="006B04F9">
        <w:rPr>
          <w:color w:val="000000" w:themeColor="text1"/>
          <w:sz w:val="22"/>
          <w:szCs w:val="22"/>
        </w:rPr>
        <w:t>RP-242354</w:t>
      </w:r>
      <w:r w:rsidR="003A2D98" w:rsidRPr="006B04F9">
        <w:rPr>
          <w:color w:val="000000" w:themeColor="text1"/>
          <w:sz w:val="22"/>
          <w:szCs w:val="22"/>
        </w:rPr>
        <w:t xml:space="preserve"> </w:t>
      </w:r>
      <w:r w:rsidR="009F6437" w:rsidRPr="006B04F9">
        <w:rPr>
          <w:color w:val="000000" w:themeColor="text1"/>
          <w:sz w:val="22"/>
          <w:szCs w:val="22"/>
        </w:rPr>
        <w:t>“</w:t>
      </w:r>
      <w:r w:rsidRPr="006B04F9">
        <w:rPr>
          <w:color w:val="000000" w:themeColor="text1"/>
          <w:sz w:val="22"/>
          <w:szCs w:val="22"/>
        </w:rPr>
        <w:t>Revised WID: Enhancements of network energy savings for NR</w:t>
      </w:r>
      <w:r w:rsidR="009F6437" w:rsidRPr="006B04F9">
        <w:rPr>
          <w:color w:val="000000" w:themeColor="text1"/>
          <w:sz w:val="22"/>
          <w:szCs w:val="22"/>
        </w:rPr>
        <w:t xml:space="preserve">”, </w:t>
      </w:r>
      <w:r w:rsidR="003A2D98" w:rsidRPr="006B04F9">
        <w:rPr>
          <w:color w:val="000000" w:themeColor="text1"/>
          <w:sz w:val="22"/>
          <w:szCs w:val="22"/>
        </w:rPr>
        <w:t>RAN Meeting #10</w:t>
      </w:r>
      <w:r w:rsidRPr="006B04F9">
        <w:rPr>
          <w:color w:val="000000" w:themeColor="text1"/>
          <w:sz w:val="22"/>
          <w:szCs w:val="22"/>
        </w:rPr>
        <w:t>5</w:t>
      </w:r>
      <w:r w:rsidR="009F6437" w:rsidRPr="006B04F9">
        <w:rPr>
          <w:color w:val="000000" w:themeColor="text1"/>
          <w:sz w:val="22"/>
          <w:szCs w:val="22"/>
        </w:rPr>
        <w:t xml:space="preserve">, </w:t>
      </w:r>
      <w:r w:rsidRPr="006B04F9">
        <w:rPr>
          <w:color w:val="000000" w:themeColor="text1"/>
          <w:sz w:val="22"/>
          <w:szCs w:val="22"/>
        </w:rPr>
        <w:t>Melbourne, Australia, Sep 9-12</w:t>
      </w:r>
      <w:r w:rsidR="003F261E" w:rsidRPr="006B04F9">
        <w:rPr>
          <w:color w:val="000000" w:themeColor="text1"/>
          <w:sz w:val="22"/>
          <w:szCs w:val="22"/>
        </w:rPr>
        <w:t>, 2024</w:t>
      </w:r>
      <w:r w:rsidR="009F6437" w:rsidRPr="006B04F9">
        <w:rPr>
          <w:color w:val="000000" w:themeColor="text1"/>
          <w:sz w:val="22"/>
          <w:szCs w:val="22"/>
        </w:rPr>
        <w:t>.</w:t>
      </w:r>
      <w:bookmarkEnd w:id="4"/>
    </w:p>
    <w:p w14:paraId="6163BF0F" w14:textId="306C1F5D" w:rsidR="00241CC6" w:rsidRPr="00BA3EDD" w:rsidRDefault="00BA3EDD" w:rsidP="00BA3EDD">
      <w:pPr>
        <w:pStyle w:val="ListParagraph"/>
        <w:numPr>
          <w:ilvl w:val="0"/>
          <w:numId w:val="33"/>
        </w:numPr>
        <w:tabs>
          <w:tab w:val="center" w:pos="4536"/>
          <w:tab w:val="right" w:pos="7938"/>
          <w:tab w:val="right" w:pos="9639"/>
        </w:tabs>
        <w:snapToGrid w:val="0"/>
        <w:spacing w:after="120"/>
        <w:ind w:firstLineChars="0"/>
        <w:rPr>
          <w:sz w:val="22"/>
          <w:szCs w:val="22"/>
        </w:rPr>
      </w:pPr>
      <w:bookmarkStart w:id="6" w:name="_Ref206073862"/>
      <w:bookmarkStart w:id="7" w:name="_Ref197624460"/>
      <w:bookmarkStart w:id="8" w:name="_Hlk193973158"/>
      <w:bookmarkEnd w:id="5"/>
      <w:r>
        <w:rPr>
          <w:sz w:val="22"/>
          <w:szCs w:val="22"/>
        </w:rPr>
        <w:t xml:space="preserve">TS 38.300 </w:t>
      </w:r>
      <w:r w:rsidRPr="00BA3EDD">
        <w:rPr>
          <w:sz w:val="22"/>
          <w:szCs w:val="22"/>
        </w:rPr>
        <w:t>V18.6.0 (2025-06)</w:t>
      </w:r>
      <w:r w:rsidRPr="00672C37">
        <w:rPr>
          <w:sz w:val="22"/>
          <w:szCs w:val="22"/>
        </w:rPr>
        <w:t xml:space="preserve"> </w:t>
      </w:r>
      <w:r w:rsidR="00241CC6" w:rsidRPr="00672C37">
        <w:rPr>
          <w:sz w:val="22"/>
          <w:szCs w:val="22"/>
        </w:rPr>
        <w:t>“</w:t>
      </w:r>
      <w:r w:rsidRPr="00BA3EDD">
        <w:rPr>
          <w:sz w:val="22"/>
          <w:szCs w:val="22"/>
        </w:rPr>
        <w:t>NR and NG-RAN Overall Description;</w:t>
      </w:r>
      <w:r>
        <w:rPr>
          <w:sz w:val="22"/>
          <w:szCs w:val="22"/>
        </w:rPr>
        <w:t xml:space="preserve"> </w:t>
      </w:r>
      <w:r w:rsidRPr="00BA3EDD">
        <w:rPr>
          <w:sz w:val="22"/>
          <w:szCs w:val="22"/>
        </w:rPr>
        <w:t>Stage 2</w:t>
      </w:r>
      <w:r>
        <w:rPr>
          <w:sz w:val="22"/>
          <w:szCs w:val="22"/>
        </w:rPr>
        <w:t xml:space="preserve"> </w:t>
      </w:r>
      <w:r w:rsidRPr="00BA3EDD">
        <w:rPr>
          <w:sz w:val="22"/>
          <w:szCs w:val="22"/>
        </w:rPr>
        <w:t>(Release 18)</w:t>
      </w:r>
      <w:r w:rsidR="00241CC6" w:rsidRPr="00BA3EDD">
        <w:rPr>
          <w:sz w:val="22"/>
          <w:szCs w:val="22"/>
        </w:rPr>
        <w:t xml:space="preserve">” </w:t>
      </w:r>
      <w:bookmarkEnd w:id="6"/>
    </w:p>
    <w:p w14:paraId="5F3B61B9" w14:textId="5120DD4F" w:rsidR="00BB1767" w:rsidRPr="00C1556E" w:rsidRDefault="00F37FBF" w:rsidP="00C1556E">
      <w:pPr>
        <w:pStyle w:val="ListParagraph"/>
        <w:numPr>
          <w:ilvl w:val="0"/>
          <w:numId w:val="33"/>
        </w:numPr>
        <w:tabs>
          <w:tab w:val="center" w:pos="4536"/>
          <w:tab w:val="right" w:pos="7938"/>
          <w:tab w:val="right" w:pos="9639"/>
        </w:tabs>
        <w:snapToGrid w:val="0"/>
        <w:spacing w:after="120"/>
        <w:ind w:firstLineChars="0"/>
        <w:rPr>
          <w:sz w:val="22"/>
          <w:szCs w:val="22"/>
        </w:rPr>
      </w:pPr>
      <w:bookmarkStart w:id="9" w:name="_Ref197622404"/>
      <w:bookmarkStart w:id="10" w:name="_Ref206074760"/>
      <w:bookmarkEnd w:id="7"/>
      <w:bookmarkEnd w:id="8"/>
      <w:r>
        <w:rPr>
          <w:sz w:val="22"/>
          <w:szCs w:val="22"/>
        </w:rPr>
        <w:t>“</w:t>
      </w:r>
      <w:r w:rsidRPr="008A7CA8">
        <w:rPr>
          <w:sz w:val="22"/>
          <w:szCs w:val="22"/>
        </w:rPr>
        <w:t xml:space="preserve">R2_126_R18 SL_R19 </w:t>
      </w:r>
      <w:proofErr w:type="spellStart"/>
      <w:r w:rsidRPr="008A7CA8">
        <w:rPr>
          <w:sz w:val="22"/>
          <w:szCs w:val="22"/>
        </w:rPr>
        <w:t>NES_MOB_Session</w:t>
      </w:r>
      <w:proofErr w:type="spellEnd"/>
      <w:r w:rsidRPr="008A7CA8">
        <w:rPr>
          <w:sz w:val="22"/>
          <w:szCs w:val="22"/>
        </w:rPr>
        <w:t xml:space="preserve"> Notes (Kyeongin Jeong)_</w:t>
      </w:r>
      <w:proofErr w:type="spellStart"/>
      <w:r w:rsidRPr="008A7CA8">
        <w:rPr>
          <w:sz w:val="22"/>
          <w:szCs w:val="22"/>
        </w:rPr>
        <w:t>EoM</w:t>
      </w:r>
      <w:proofErr w:type="spellEnd"/>
      <w:r>
        <w:rPr>
          <w:sz w:val="22"/>
          <w:szCs w:val="22"/>
        </w:rPr>
        <w:t xml:space="preserve">”, </w:t>
      </w:r>
      <w:r w:rsidRPr="00AB720E">
        <w:rPr>
          <w:sz w:val="22"/>
          <w:szCs w:val="22"/>
        </w:rPr>
        <w:t>RAN2 #12</w:t>
      </w:r>
      <w:r>
        <w:rPr>
          <w:sz w:val="22"/>
          <w:szCs w:val="22"/>
        </w:rPr>
        <w:t>6,</w:t>
      </w:r>
      <w:r w:rsidRPr="00AB720E">
        <w:rPr>
          <w:sz w:val="22"/>
          <w:szCs w:val="22"/>
        </w:rPr>
        <w:t xml:space="preserve"> </w:t>
      </w:r>
      <w:r w:rsidRPr="008A7CA8">
        <w:rPr>
          <w:sz w:val="22"/>
          <w:szCs w:val="22"/>
        </w:rPr>
        <w:t>Fukuoka City</w:t>
      </w:r>
      <w:r>
        <w:rPr>
          <w:sz w:val="22"/>
          <w:szCs w:val="22"/>
        </w:rPr>
        <w:t>,</w:t>
      </w:r>
      <w:r w:rsidRPr="008A7CA8">
        <w:rPr>
          <w:sz w:val="22"/>
          <w:szCs w:val="22"/>
        </w:rPr>
        <w:t xml:space="preserve"> Fukuoka, Japan, May 20th – 24th, 2024</w:t>
      </w:r>
      <w:r w:rsidRPr="00AB720E">
        <w:rPr>
          <w:sz w:val="22"/>
          <w:szCs w:val="22"/>
        </w:rPr>
        <w:t>.</w:t>
      </w:r>
      <w:r w:rsidRPr="00DA3C50">
        <w:rPr>
          <w:sz w:val="22"/>
          <w:szCs w:val="22"/>
        </w:rPr>
        <w:t xml:space="preserve"> </w:t>
      </w:r>
      <w:bookmarkEnd w:id="9"/>
      <w:bookmarkEnd w:id="10"/>
    </w:p>
    <w:sectPr w:rsidR="00BB1767" w:rsidRPr="00C1556E" w:rsidSect="00F74498">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BDB77" w14:textId="77777777" w:rsidR="00CD2294" w:rsidRDefault="00CD2294">
      <w:r>
        <w:separator/>
      </w:r>
    </w:p>
    <w:p w14:paraId="733F22A5" w14:textId="77777777" w:rsidR="00CD2294" w:rsidRDefault="00CD2294"/>
  </w:endnote>
  <w:endnote w:type="continuationSeparator" w:id="0">
    <w:p w14:paraId="04122F07" w14:textId="77777777" w:rsidR="00CD2294" w:rsidRDefault="00CD2294">
      <w:r>
        <w:continuationSeparator/>
      </w:r>
    </w:p>
    <w:p w14:paraId="48A2D7BD" w14:textId="77777777" w:rsidR="00CD2294" w:rsidRDefault="00CD2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60536" w14:textId="77777777" w:rsidR="00CD2294" w:rsidRDefault="00CD2294">
      <w:r>
        <w:separator/>
      </w:r>
    </w:p>
    <w:p w14:paraId="3212C8C0" w14:textId="77777777" w:rsidR="00CD2294" w:rsidRDefault="00CD2294"/>
  </w:footnote>
  <w:footnote w:type="continuationSeparator" w:id="0">
    <w:p w14:paraId="0D855A8E" w14:textId="77777777" w:rsidR="00CD2294" w:rsidRDefault="00CD2294">
      <w:r>
        <w:continuationSeparator/>
      </w:r>
    </w:p>
    <w:p w14:paraId="4FEFC0EB" w14:textId="77777777" w:rsidR="00CD2294" w:rsidRDefault="00CD2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8"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5"/>
  </w:num>
  <w:num w:numId="2" w16cid:durableId="1542982269">
    <w:abstractNumId w:val="33"/>
  </w:num>
  <w:num w:numId="3" w16cid:durableId="89743588">
    <w:abstractNumId w:val="21"/>
  </w:num>
  <w:num w:numId="4" w16cid:durableId="545223178">
    <w:abstractNumId w:val="31"/>
  </w:num>
  <w:num w:numId="5" w16cid:durableId="423693691">
    <w:abstractNumId w:val="0"/>
  </w:num>
  <w:num w:numId="6" w16cid:durableId="1419671084">
    <w:abstractNumId w:val="18"/>
  </w:num>
  <w:num w:numId="7" w16cid:durableId="650253530">
    <w:abstractNumId w:val="23"/>
  </w:num>
  <w:num w:numId="8" w16cid:durableId="1295909628">
    <w:abstractNumId w:val="25"/>
  </w:num>
  <w:num w:numId="9" w16cid:durableId="152263208">
    <w:abstractNumId w:val="32"/>
  </w:num>
  <w:num w:numId="10" w16cid:durableId="135495240">
    <w:abstractNumId w:val="19"/>
  </w:num>
  <w:num w:numId="11" w16cid:durableId="2085713698">
    <w:abstractNumId w:val="22"/>
  </w:num>
  <w:num w:numId="12" w16cid:durableId="1243757309">
    <w:abstractNumId w:val="10"/>
  </w:num>
  <w:num w:numId="13" w16cid:durableId="1197543716">
    <w:abstractNumId w:val="3"/>
  </w:num>
  <w:num w:numId="14" w16cid:durableId="1659337165">
    <w:abstractNumId w:val="5"/>
  </w:num>
  <w:num w:numId="15" w16cid:durableId="1595241230">
    <w:abstractNumId w:val="24"/>
  </w:num>
  <w:num w:numId="16" w16cid:durableId="1642885515">
    <w:abstractNumId w:val="8"/>
  </w:num>
  <w:num w:numId="17" w16cid:durableId="409931203">
    <w:abstractNumId w:val="17"/>
  </w:num>
  <w:num w:numId="18" w16cid:durableId="15425684">
    <w:abstractNumId w:val="13"/>
  </w:num>
  <w:num w:numId="19" w16cid:durableId="1881548205">
    <w:abstractNumId w:val="11"/>
  </w:num>
  <w:num w:numId="20" w16cid:durableId="999651394">
    <w:abstractNumId w:val="20"/>
  </w:num>
  <w:num w:numId="21" w16cid:durableId="1779180892">
    <w:abstractNumId w:val="27"/>
  </w:num>
  <w:num w:numId="22" w16cid:durableId="1334604806">
    <w:abstractNumId w:val="30"/>
  </w:num>
  <w:num w:numId="23" w16cid:durableId="102192062">
    <w:abstractNumId w:val="28"/>
  </w:num>
  <w:num w:numId="24" w16cid:durableId="1947345492">
    <w:abstractNumId w:val="14"/>
  </w:num>
  <w:num w:numId="25" w16cid:durableId="1866096880">
    <w:abstractNumId w:val="7"/>
  </w:num>
  <w:num w:numId="26" w16cid:durableId="1199121508">
    <w:abstractNumId w:val="26"/>
  </w:num>
  <w:num w:numId="27" w16cid:durableId="1891187839">
    <w:abstractNumId w:val="12"/>
  </w:num>
  <w:num w:numId="28" w16cid:durableId="566765770">
    <w:abstractNumId w:val="15"/>
  </w:num>
  <w:num w:numId="29" w16cid:durableId="1437940957">
    <w:abstractNumId w:val="2"/>
  </w:num>
  <w:num w:numId="30" w16cid:durableId="1619294686">
    <w:abstractNumId w:val="16"/>
  </w:num>
  <w:num w:numId="31" w16cid:durableId="728454561">
    <w:abstractNumId w:val="6"/>
  </w:num>
  <w:num w:numId="32" w16cid:durableId="1209956202">
    <w:abstractNumId w:val="9"/>
  </w:num>
  <w:num w:numId="33" w16cid:durableId="681862082">
    <w:abstractNumId w:val="29"/>
  </w:num>
  <w:num w:numId="34" w16cid:durableId="291327086">
    <w:abstractNumId w:val="4"/>
  </w:num>
  <w:num w:numId="35" w16cid:durableId="491138821">
    <w:abstractNumId w:val="34"/>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294B"/>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2CC"/>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4FAA"/>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01"/>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1EDF"/>
    <w:rsid w:val="00BA29A4"/>
    <w:rsid w:val="00BA3078"/>
    <w:rsid w:val="00BA33B5"/>
    <w:rsid w:val="00BA3518"/>
    <w:rsid w:val="00BA3EDD"/>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56E"/>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2BCB"/>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65FF"/>
    <w:rsid w:val="00F366FC"/>
    <w:rsid w:val="00F37012"/>
    <w:rsid w:val="00F372A6"/>
    <w:rsid w:val="00F3764A"/>
    <w:rsid w:val="00F37FBF"/>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2025-08-14T20:14:00Z</dcterms:created>
  <dcterms:modified xsi:type="dcterms:W3CDTF">2025-08-14T20:14:00Z</dcterms:modified>
</cp:coreProperties>
</file>