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4891" w14:textId="21000488" w:rsidR="00CC20BA" w:rsidRPr="00CC20BA" w:rsidRDefault="00CC20BA" w:rsidP="00CC20BA">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CC20BA">
        <w:rPr>
          <w:rFonts w:cs="Arial"/>
          <w:b/>
          <w:kern w:val="0"/>
          <w:sz w:val="24"/>
          <w:szCs w:val="24"/>
          <w:lang w:val="en-US" w:eastAsia="ja-JP"/>
        </w:rPr>
        <w:t>3GPP TSG-RAN WG2 Meeting #131</w:t>
      </w:r>
      <w:r w:rsidRPr="00CC20BA">
        <w:rPr>
          <w:rFonts w:cs="Arial"/>
          <w:b/>
          <w:kern w:val="0"/>
          <w:sz w:val="24"/>
          <w:szCs w:val="24"/>
          <w:lang w:val="en-US" w:eastAsia="ja-JP"/>
        </w:rPr>
        <w:tab/>
      </w:r>
      <w:r w:rsidRPr="00CC20BA">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42DC8">
        <w:rPr>
          <w:rFonts w:cs="Arial"/>
          <w:b/>
          <w:kern w:val="0"/>
          <w:sz w:val="24"/>
          <w:szCs w:val="24"/>
          <w:lang w:val="en-US" w:eastAsia="ja-JP"/>
        </w:rPr>
        <w:tab/>
      </w:r>
      <w:r w:rsidR="00CC771C" w:rsidRPr="00CC771C">
        <w:rPr>
          <w:rFonts w:cs="Arial"/>
          <w:b/>
          <w:kern w:val="0"/>
          <w:sz w:val="24"/>
          <w:szCs w:val="24"/>
          <w:lang w:val="en-US" w:eastAsia="ja-JP"/>
        </w:rPr>
        <w:t>R2-2505376</w:t>
      </w:r>
    </w:p>
    <w:p w14:paraId="2442430F" w14:textId="77777777" w:rsidR="00CC20BA" w:rsidRDefault="00CC20BA" w:rsidP="00CC20BA">
      <w:pPr>
        <w:overflowPunct w:val="0"/>
        <w:autoSpaceDE w:val="0"/>
        <w:autoSpaceDN w:val="0"/>
        <w:adjustRightInd w:val="0"/>
        <w:snapToGrid w:val="0"/>
        <w:spacing w:after="100"/>
        <w:jc w:val="left"/>
        <w:textAlignment w:val="baseline"/>
        <w:rPr>
          <w:rFonts w:cs="Arial"/>
          <w:b/>
          <w:kern w:val="0"/>
          <w:sz w:val="24"/>
          <w:szCs w:val="24"/>
          <w:lang w:val="en-US" w:eastAsia="ja-JP"/>
        </w:rPr>
      </w:pPr>
      <w:r w:rsidRPr="00CC20BA">
        <w:rPr>
          <w:rFonts w:cs="Arial"/>
          <w:b/>
          <w:kern w:val="0"/>
          <w:sz w:val="24"/>
          <w:szCs w:val="24"/>
          <w:lang w:val="en-US" w:eastAsia="ja-JP"/>
        </w:rPr>
        <w:t>Bengaluru, India, Aug 25th – 29th, 2025</w:t>
      </w:r>
    </w:p>
    <w:p w14:paraId="3DAC631A" w14:textId="439773CC" w:rsidR="0079402A" w:rsidRDefault="00000000" w:rsidP="00CC20BA">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ZTE Corporation, Sanechips</w:t>
      </w:r>
    </w:p>
    <w:p w14:paraId="1962ACEC" w14:textId="57E2F962" w:rsidR="0079402A"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CC20BA">
        <w:rPr>
          <w:rFonts w:cs="Arial"/>
          <w:b/>
          <w:bCs/>
          <w:snapToGrid w:val="0"/>
          <w:kern w:val="0"/>
          <w:sz w:val="24"/>
          <w:szCs w:val="24"/>
        </w:rPr>
        <w:t xml:space="preserve">Open issues for </w:t>
      </w:r>
      <w:r w:rsidR="009C5C0B">
        <w:rPr>
          <w:rFonts w:cs="Arial"/>
          <w:b/>
          <w:bCs/>
          <w:snapToGrid w:val="0"/>
          <w:kern w:val="0"/>
          <w:sz w:val="24"/>
          <w:szCs w:val="24"/>
        </w:rPr>
        <w:t>random access</w:t>
      </w:r>
    </w:p>
    <w:p w14:paraId="7990905B" w14:textId="61A07F44" w:rsidR="0079402A"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8.2.</w:t>
      </w:r>
      <w:r w:rsidR="009C5C0B">
        <w:rPr>
          <w:rFonts w:cs="Arial"/>
          <w:b/>
          <w:bCs/>
          <w:snapToGrid w:val="0"/>
          <w:kern w:val="0"/>
          <w:sz w:val="24"/>
          <w:szCs w:val="24"/>
          <w:lang w:val="en-US" w:eastAsia="zh-CN"/>
        </w:rPr>
        <w:t>3</w:t>
      </w:r>
    </w:p>
    <w:p w14:paraId="39FEDCDC" w14:textId="4947C163" w:rsidR="0079402A"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510DB6DC" w14:textId="104B1369" w:rsidR="0079402A" w:rsidRDefault="00B76E77">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take a look at the remaining open issues for </w:t>
      </w:r>
      <w:r w:rsidR="009C5C0B">
        <w:rPr>
          <w:rFonts w:ascii="Times New Roman" w:hAnsi="Times New Roman"/>
          <w:sz w:val="20"/>
          <w:szCs w:val="20"/>
        </w:rPr>
        <w:t>RACH</w:t>
      </w:r>
      <w:r>
        <w:rPr>
          <w:rFonts w:ascii="Times New Roman" w:hAnsi="Times New Roman"/>
          <w:sz w:val="20"/>
          <w:szCs w:val="20"/>
        </w:rPr>
        <w:t xml:space="preserve"> procedure. </w:t>
      </w:r>
    </w:p>
    <w:p w14:paraId="737FF42A" w14:textId="77777777" w:rsidR="009C5C0B" w:rsidRDefault="009C5C0B" w:rsidP="00EA77A8">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CBRA failure detection </w:t>
      </w:r>
    </w:p>
    <w:p w14:paraId="3F9BF54A" w14:textId="1DCA6A42" w:rsidR="009C5C0B" w:rsidRDefault="009C5C0B" w:rsidP="009C5C0B">
      <w:pPr>
        <w:pStyle w:val="BodyText"/>
        <w:rPr>
          <w:rFonts w:ascii="Times New Roman" w:hAnsi="Times New Roman"/>
          <w:szCs w:val="20"/>
        </w:rPr>
      </w:pPr>
      <w:r>
        <w:rPr>
          <w:rFonts w:ascii="Times New Roman" w:hAnsi="Times New Roman"/>
          <w:szCs w:val="20"/>
        </w:rPr>
        <w:t>At RAN2#130 meeting it was agreed that the MSG2 monitoring window length will be limited and will not be extended until the subsequent paging message. Further, it was agreed that a</w:t>
      </w:r>
      <w:r w:rsidRPr="009C5C0B">
        <w:rPr>
          <w:rFonts w:ascii="Times New Roman" w:hAnsi="Times New Roman"/>
          <w:szCs w:val="20"/>
        </w:rPr>
        <w:t xml:space="preserve"> device expecting MSG2 assumes CBRA failure if its MSG2 is not received before a boundary, where the boundary can be further down</w:t>
      </w:r>
      <w:r>
        <w:rPr>
          <w:rFonts w:ascii="Times New Roman" w:hAnsi="Times New Roman"/>
          <w:szCs w:val="20"/>
        </w:rPr>
        <w:t>-</w:t>
      </w:r>
      <w:r w:rsidRPr="009C5C0B">
        <w:rPr>
          <w:rFonts w:ascii="Times New Roman" w:hAnsi="Times New Roman"/>
          <w:szCs w:val="20"/>
        </w:rPr>
        <w:t xml:space="preserve">selected between </w:t>
      </w:r>
      <w:r>
        <w:rPr>
          <w:rFonts w:ascii="Times New Roman" w:hAnsi="Times New Roman"/>
          <w:szCs w:val="20"/>
        </w:rPr>
        <w:t xml:space="preserve">two options below: </w:t>
      </w:r>
    </w:p>
    <w:p w14:paraId="03FEF542" w14:textId="0C465F05" w:rsidR="009C5C0B" w:rsidRPr="009C5C0B" w:rsidRDefault="009C5C0B" w:rsidP="009C5C0B">
      <w:pPr>
        <w:pStyle w:val="BodyText"/>
        <w:rPr>
          <w:rFonts w:ascii="Times New Roman" w:hAnsi="Times New Roman"/>
          <w:szCs w:val="20"/>
        </w:rPr>
      </w:pPr>
      <w:r w:rsidRPr="009C5C0B">
        <w:rPr>
          <w:rFonts w:ascii="Times New Roman" w:hAnsi="Times New Roman"/>
          <w:szCs w:val="20"/>
        </w:rPr>
        <w:t xml:space="preserve">The device does not process MSG2 (re)transmission received after the boundary. </w:t>
      </w:r>
    </w:p>
    <w:p w14:paraId="6713AA0F" w14:textId="16074BEB" w:rsidR="009C5C0B" w:rsidRPr="009C5C0B" w:rsidRDefault="009C5C0B" w:rsidP="009C5C0B">
      <w:pPr>
        <w:pStyle w:val="BodyText"/>
        <w:numPr>
          <w:ilvl w:val="0"/>
          <w:numId w:val="19"/>
        </w:numPr>
        <w:rPr>
          <w:rFonts w:ascii="Times New Roman" w:hAnsi="Times New Roman"/>
          <w:szCs w:val="20"/>
        </w:rPr>
      </w:pPr>
      <w:r w:rsidRPr="009C5C0B">
        <w:rPr>
          <w:rFonts w:ascii="Times New Roman" w:hAnsi="Times New Roman"/>
          <w:szCs w:val="20"/>
        </w:rPr>
        <w:t xml:space="preserve">Option B – the boundary is the reception of either the next R2D trigger message or the subsequent paging message </w:t>
      </w:r>
    </w:p>
    <w:p w14:paraId="19164A35" w14:textId="56D73A9D" w:rsidR="009C5C0B" w:rsidRDefault="009C5C0B" w:rsidP="009C5C0B">
      <w:pPr>
        <w:pStyle w:val="BodyText"/>
        <w:numPr>
          <w:ilvl w:val="0"/>
          <w:numId w:val="19"/>
        </w:numPr>
        <w:rPr>
          <w:rFonts w:ascii="Times New Roman" w:hAnsi="Times New Roman"/>
          <w:szCs w:val="20"/>
        </w:rPr>
      </w:pPr>
      <w:r w:rsidRPr="009C5C0B">
        <w:rPr>
          <w:rFonts w:ascii="Times New Roman" w:hAnsi="Times New Roman"/>
          <w:szCs w:val="20"/>
        </w:rPr>
        <w:t>Option C – the boundary is the reception of either the kth R2D trigger message or the subsequent paging message (K is FFS)</w:t>
      </w:r>
      <w:r>
        <w:rPr>
          <w:rFonts w:ascii="Times New Roman" w:hAnsi="Times New Roman"/>
          <w:szCs w:val="20"/>
        </w:rPr>
        <w:t xml:space="preserve"> </w:t>
      </w:r>
    </w:p>
    <w:p w14:paraId="02446FF7" w14:textId="30447DB1" w:rsidR="009C5C0B" w:rsidRDefault="009C5C0B" w:rsidP="009C5C0B">
      <w:pPr>
        <w:pStyle w:val="BodyText"/>
        <w:rPr>
          <w:rFonts w:ascii="Times New Roman" w:hAnsi="Times New Roman"/>
          <w:szCs w:val="20"/>
        </w:rPr>
      </w:pPr>
      <w:r>
        <w:rPr>
          <w:rFonts w:ascii="Times New Roman" w:hAnsi="Times New Roman"/>
          <w:szCs w:val="20"/>
        </w:rPr>
        <w:t xml:space="preserve">Advantage of option B is that it is simple and has a well bounded end for the CBRA failure detection. Option C on the other hand has the following issues: </w:t>
      </w:r>
    </w:p>
    <w:p w14:paraId="0622E49F" w14:textId="1ED8DF7F" w:rsidR="009C5C0B" w:rsidRDefault="009C5C0B" w:rsidP="009C5C0B">
      <w:pPr>
        <w:pStyle w:val="BodyText"/>
        <w:numPr>
          <w:ilvl w:val="0"/>
          <w:numId w:val="19"/>
        </w:numPr>
        <w:rPr>
          <w:rFonts w:ascii="Times New Roman" w:hAnsi="Times New Roman"/>
          <w:szCs w:val="20"/>
        </w:rPr>
      </w:pPr>
      <w:r>
        <w:rPr>
          <w:rFonts w:ascii="Times New Roman" w:hAnsi="Times New Roman"/>
          <w:szCs w:val="20"/>
        </w:rPr>
        <w:t xml:space="preserve">It requires the device to keep count of a number of trigger messages </w:t>
      </w:r>
    </w:p>
    <w:p w14:paraId="22F31716" w14:textId="5DC59A45" w:rsidR="009C5C0B" w:rsidRDefault="009C5C0B" w:rsidP="005D4F42">
      <w:pPr>
        <w:pStyle w:val="BodyText"/>
        <w:numPr>
          <w:ilvl w:val="0"/>
          <w:numId w:val="19"/>
        </w:numPr>
        <w:rPr>
          <w:rFonts w:ascii="Times New Roman" w:hAnsi="Times New Roman"/>
          <w:szCs w:val="20"/>
        </w:rPr>
      </w:pPr>
      <w:r>
        <w:rPr>
          <w:rFonts w:ascii="Times New Roman" w:hAnsi="Times New Roman"/>
          <w:szCs w:val="20"/>
        </w:rPr>
        <w:t>It increases the overall collision probability as any device transmitting with “k” trigger messages may collide and hence increases the overall failure rate</w:t>
      </w:r>
    </w:p>
    <w:p w14:paraId="4F4B90A8" w14:textId="53748B7E" w:rsidR="005D4F42" w:rsidRDefault="005D4F42" w:rsidP="005D4F42">
      <w:pPr>
        <w:pStyle w:val="BodyText"/>
        <w:rPr>
          <w:rFonts w:ascii="Times New Roman" w:hAnsi="Times New Roman"/>
          <w:szCs w:val="20"/>
        </w:rPr>
      </w:pPr>
      <w:r>
        <w:rPr>
          <w:rFonts w:ascii="Times New Roman" w:hAnsi="Times New Roman"/>
          <w:szCs w:val="20"/>
        </w:rPr>
        <w:t xml:space="preserve">Given the above and the lack of a clear use case for k&gt;1, it is proposed to adopt option B. </w:t>
      </w:r>
    </w:p>
    <w:p w14:paraId="70205B21" w14:textId="2449460C" w:rsidR="005D4F42" w:rsidRPr="005D4F42" w:rsidRDefault="005D4F42" w:rsidP="005D4F42">
      <w:pPr>
        <w:pStyle w:val="BodyText"/>
        <w:rPr>
          <w:rFonts w:ascii="Times New Roman" w:hAnsi="Times New Roman"/>
          <w:b/>
          <w:bCs/>
          <w:szCs w:val="20"/>
        </w:rPr>
      </w:pPr>
      <w:r w:rsidRPr="005D4F42">
        <w:rPr>
          <w:rFonts w:ascii="Times New Roman" w:hAnsi="Times New Roman"/>
          <w:b/>
          <w:bCs/>
          <w:szCs w:val="20"/>
        </w:rPr>
        <w:t>Proposal 1</w:t>
      </w:r>
      <w:r>
        <w:rPr>
          <w:rFonts w:ascii="Times New Roman" w:hAnsi="Times New Roman"/>
          <w:b/>
          <w:bCs/>
          <w:szCs w:val="20"/>
        </w:rPr>
        <w:t xml:space="preserve"> (Issue 2-4)</w:t>
      </w:r>
      <w:r w:rsidRPr="005D4F42">
        <w:rPr>
          <w:rFonts w:ascii="Times New Roman" w:hAnsi="Times New Roman"/>
          <w:b/>
          <w:bCs/>
          <w:szCs w:val="20"/>
        </w:rPr>
        <w:t>: For MSG2 retransmission window, adopt option B i.e. the device does not process MSG2 (re)transmission received after the subsequent R2D trigger message or the paging message whichever is earlier</w:t>
      </w:r>
    </w:p>
    <w:p w14:paraId="79E1C855" w14:textId="374B05F9" w:rsidR="005D4F42" w:rsidRDefault="005D4F42" w:rsidP="005D4F42">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Frequency index indication in MSG2 </w:t>
      </w:r>
    </w:p>
    <w:p w14:paraId="2C0B101A" w14:textId="7A1830CC" w:rsidR="005D4F42" w:rsidRDefault="005D4F42" w:rsidP="005D4F42">
      <w:pPr>
        <w:pStyle w:val="BodyText"/>
        <w:rPr>
          <w:rFonts w:ascii="Times New Roman" w:hAnsi="Times New Roman"/>
          <w:szCs w:val="20"/>
        </w:rPr>
      </w:pPr>
      <w:r>
        <w:rPr>
          <w:rFonts w:ascii="Times New Roman" w:hAnsi="Times New Roman"/>
          <w:szCs w:val="20"/>
        </w:rPr>
        <w:t xml:space="preserve">One of the open issues for CBRA is whether to include frequency index along with the RN16 in MSG2 to reduce collisions of MSG1 between devices. As noted in the previous section, the collision probability is a function of the MSG2 window size and the total number of contending devices on a given slot. Since slotted aloha algorithm will anyway distribute the devices uniformly with the entire paging frame, the collision probability is very minimal if k = 1 is adopted for MSG2 window size. Thus, the usefulness of having a separate frequency index indication is really not that critical in this case. </w:t>
      </w:r>
      <w:r w:rsidR="00C42DC8">
        <w:rPr>
          <w:rFonts w:ascii="Times New Roman" w:hAnsi="Times New Roman"/>
          <w:szCs w:val="20"/>
        </w:rPr>
        <w:t>Furthermore, requiring the device to check the frequency index along with the RN16 echoed in MSG2 will increase device complexity. Thus</w:t>
      </w:r>
      <w:r w:rsidR="000C03A8">
        <w:rPr>
          <w:rFonts w:ascii="Times New Roman" w:hAnsi="Times New Roman"/>
          <w:szCs w:val="20"/>
        </w:rPr>
        <w:t>,</w:t>
      </w:r>
      <w:r w:rsidR="00C42DC8">
        <w:rPr>
          <w:rFonts w:ascii="Times New Roman" w:hAnsi="Times New Roman"/>
          <w:szCs w:val="20"/>
        </w:rPr>
        <w:t xml:space="preserve"> it is proposed to avoid this. </w:t>
      </w:r>
    </w:p>
    <w:p w14:paraId="5FDCA603" w14:textId="41141307" w:rsidR="005D7840" w:rsidRDefault="005D4F42" w:rsidP="005D4F42">
      <w:pPr>
        <w:pStyle w:val="BodyText"/>
        <w:rPr>
          <w:rFonts w:ascii="Times New Roman" w:hAnsi="Times New Roman"/>
          <w:b/>
          <w:bCs/>
          <w:szCs w:val="20"/>
        </w:rPr>
      </w:pPr>
      <w:r w:rsidRPr="005D4F42">
        <w:rPr>
          <w:rFonts w:ascii="Times New Roman" w:hAnsi="Times New Roman"/>
          <w:b/>
          <w:bCs/>
          <w:szCs w:val="20"/>
        </w:rPr>
        <w:t xml:space="preserve">Proposal 2: (Issue 2-5): There is no need to include the frequency index along with RN16 in MSG2 </w:t>
      </w:r>
    </w:p>
    <w:p w14:paraId="279E162D"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7F69BC9C" w14:textId="77777777" w:rsidR="001E5C87" w:rsidRPr="005D4F42" w:rsidRDefault="001E5C87" w:rsidP="001E5C87">
      <w:pPr>
        <w:pStyle w:val="BodyText"/>
        <w:rPr>
          <w:rFonts w:ascii="Times New Roman" w:hAnsi="Times New Roman"/>
          <w:b/>
          <w:bCs/>
          <w:szCs w:val="20"/>
        </w:rPr>
      </w:pPr>
      <w:r w:rsidRPr="005D4F42">
        <w:rPr>
          <w:rFonts w:ascii="Times New Roman" w:hAnsi="Times New Roman"/>
          <w:b/>
          <w:bCs/>
          <w:szCs w:val="20"/>
        </w:rPr>
        <w:t>Proposal 1</w:t>
      </w:r>
      <w:r>
        <w:rPr>
          <w:rFonts w:ascii="Times New Roman" w:hAnsi="Times New Roman"/>
          <w:b/>
          <w:bCs/>
          <w:szCs w:val="20"/>
        </w:rPr>
        <w:t xml:space="preserve"> (Issue 2-4)</w:t>
      </w:r>
      <w:r w:rsidRPr="005D4F42">
        <w:rPr>
          <w:rFonts w:ascii="Times New Roman" w:hAnsi="Times New Roman"/>
          <w:b/>
          <w:bCs/>
          <w:szCs w:val="20"/>
        </w:rPr>
        <w:t>: For MSG2 retransmission window, adopt option B i.e. the device does not process MSG2 (re)transmission received after the subsequent R2D trigger message or the paging message whichever is earlier</w:t>
      </w:r>
    </w:p>
    <w:p w14:paraId="1675A4DC" w14:textId="77777777" w:rsidR="001E5C87" w:rsidRDefault="001E5C87" w:rsidP="001E5C87">
      <w:pPr>
        <w:pStyle w:val="BodyText"/>
        <w:rPr>
          <w:rFonts w:ascii="Times New Roman" w:hAnsi="Times New Roman"/>
          <w:b/>
          <w:bCs/>
          <w:szCs w:val="20"/>
        </w:rPr>
      </w:pPr>
      <w:r w:rsidRPr="005D4F42">
        <w:rPr>
          <w:rFonts w:ascii="Times New Roman" w:hAnsi="Times New Roman"/>
          <w:b/>
          <w:bCs/>
          <w:szCs w:val="20"/>
        </w:rPr>
        <w:t xml:space="preserve">Proposal 2: (Issue 2-5): There is no need to include the frequency index along with RN16 in MSG2 </w:t>
      </w:r>
    </w:p>
    <w:p w14:paraId="1762C26F" w14:textId="77777777" w:rsidR="005D7840" w:rsidRPr="007731DC" w:rsidRDefault="005D7840" w:rsidP="00032020">
      <w:pPr>
        <w:pStyle w:val="BodyText"/>
        <w:rPr>
          <w:rFonts w:ascii="Times New Roman" w:hAnsi="Times New Roman"/>
          <w:szCs w:val="20"/>
        </w:rPr>
      </w:pPr>
    </w:p>
    <w:p w14:paraId="12CC7BE2" w14:textId="77777777" w:rsidR="0079402A" w:rsidRDefault="00000000">
      <w:pPr>
        <w:pStyle w:val="ListParagraph"/>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4" w:name="_Toc18403976"/>
      <w:bookmarkStart w:id="5" w:name="_Toc18404543"/>
      <w:bookmarkStart w:id="6" w:name="_Toc18413612"/>
      <w:r>
        <w:rPr>
          <w:rFonts w:cs="Arial"/>
          <w:kern w:val="0"/>
          <w:sz w:val="30"/>
          <w:szCs w:val="30"/>
        </w:rPr>
        <w:t>References</w:t>
      </w:r>
      <w:bookmarkEnd w:id="4"/>
      <w:bookmarkEnd w:id="5"/>
      <w:bookmarkEnd w:id="6"/>
    </w:p>
    <w:sectPr w:rsidR="0079402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A3974" w14:textId="77777777" w:rsidR="000175A0" w:rsidRDefault="000175A0">
      <w:pPr>
        <w:spacing w:line="240" w:lineRule="auto"/>
      </w:pPr>
      <w:r>
        <w:separator/>
      </w:r>
    </w:p>
  </w:endnote>
  <w:endnote w:type="continuationSeparator" w:id="0">
    <w:p w14:paraId="4A29D706" w14:textId="77777777" w:rsidR="000175A0" w:rsidRDefault="000175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4055" w14:textId="77777777" w:rsidR="0079402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4AB4B" w14:textId="77777777" w:rsidR="001E5C87" w:rsidRDefault="001E5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34CF2" w14:textId="77777777" w:rsidR="000175A0" w:rsidRDefault="000175A0">
      <w:pPr>
        <w:spacing w:after="0"/>
      </w:pPr>
      <w:r>
        <w:separator/>
      </w:r>
    </w:p>
  </w:footnote>
  <w:footnote w:type="continuationSeparator" w:id="0">
    <w:p w14:paraId="1EDCE556" w14:textId="77777777" w:rsidR="000175A0" w:rsidRDefault="000175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D2F8E" w14:textId="77777777" w:rsidR="001E5C87" w:rsidRDefault="001E5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3C8E3" w14:textId="77777777" w:rsidR="001E5C87" w:rsidRDefault="001E5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5BED9E4"/>
    <w:multiLevelType w:val="singleLevel"/>
    <w:tmpl w:val="35BED9E4"/>
    <w:lvl w:ilvl="0">
      <w:start w:val="1"/>
      <w:numFmt w:val="decimal"/>
      <w:suff w:val="space"/>
      <w:lvlText w:val="%1."/>
      <w:lvlJc w:val="left"/>
    </w:lvl>
  </w:abstractNum>
  <w:abstractNum w:abstractNumId="8"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4" w15:restartNumberingAfterBreak="0">
    <w:nsid w:val="61B77998"/>
    <w:multiLevelType w:val="hybridMultilevel"/>
    <w:tmpl w:val="5E1A765A"/>
    <w:lvl w:ilvl="0" w:tplc="E336395E">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6"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2084406">
    <w:abstractNumId w:val="1"/>
  </w:num>
  <w:num w:numId="2" w16cid:durableId="1343236371">
    <w:abstractNumId w:val="10"/>
  </w:num>
  <w:num w:numId="3" w16cid:durableId="1685787966">
    <w:abstractNumId w:val="5"/>
  </w:num>
  <w:num w:numId="4" w16cid:durableId="1455752493">
    <w:abstractNumId w:val="6"/>
  </w:num>
  <w:num w:numId="5" w16cid:durableId="1893997933">
    <w:abstractNumId w:val="3"/>
  </w:num>
  <w:num w:numId="6" w16cid:durableId="839124300">
    <w:abstractNumId w:val="0"/>
  </w:num>
  <w:num w:numId="7" w16cid:durableId="1150900980">
    <w:abstractNumId w:val="7"/>
  </w:num>
  <w:num w:numId="8" w16cid:durableId="1562523887">
    <w:abstractNumId w:val="2"/>
  </w:num>
  <w:num w:numId="9" w16cid:durableId="1095901547">
    <w:abstractNumId w:val="17"/>
  </w:num>
  <w:num w:numId="10" w16cid:durableId="1874883967">
    <w:abstractNumId w:val="9"/>
  </w:num>
  <w:num w:numId="11" w16cid:durableId="990524288">
    <w:abstractNumId w:val="16"/>
  </w:num>
  <w:num w:numId="12" w16cid:durableId="1977949854">
    <w:abstractNumId w:val="4"/>
  </w:num>
  <w:num w:numId="13" w16cid:durableId="517738882">
    <w:abstractNumId w:val="15"/>
  </w:num>
  <w:num w:numId="14" w16cid:durableId="1870602710">
    <w:abstractNumId w:val="11"/>
  </w:num>
  <w:num w:numId="15" w16cid:durableId="32194999">
    <w:abstractNumId w:val="13"/>
  </w:num>
  <w:num w:numId="16" w16cid:durableId="1623998751">
    <w:abstractNumId w:val="12"/>
  </w:num>
  <w:num w:numId="17" w16cid:durableId="1626961286">
    <w:abstractNumId w:val="18"/>
  </w:num>
  <w:num w:numId="18" w16cid:durableId="902760601">
    <w:abstractNumId w:val="8"/>
  </w:num>
  <w:num w:numId="19" w16cid:durableId="10826810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495"/>
    <w:rsid w:val="000175A0"/>
    <w:rsid w:val="00017BA5"/>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F79"/>
    <w:rsid w:val="000C57D3"/>
    <w:rsid w:val="000C5D4C"/>
    <w:rsid w:val="000C6FF6"/>
    <w:rsid w:val="000C7FC7"/>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4F7"/>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5C87"/>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76D0"/>
    <w:rsid w:val="0055002F"/>
    <w:rsid w:val="005506C7"/>
    <w:rsid w:val="00550834"/>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0FA"/>
    <w:rsid w:val="005D3143"/>
    <w:rsid w:val="005D3628"/>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8BE"/>
    <w:rsid w:val="00BE2902"/>
    <w:rsid w:val="00BE42CB"/>
    <w:rsid w:val="00BE4FEE"/>
    <w:rsid w:val="00BE5AAF"/>
    <w:rsid w:val="00BE6162"/>
    <w:rsid w:val="00BE6C9C"/>
    <w:rsid w:val="00BE776C"/>
    <w:rsid w:val="00BF0072"/>
    <w:rsid w:val="00BF0409"/>
    <w:rsid w:val="00BF06B0"/>
    <w:rsid w:val="00BF0850"/>
    <w:rsid w:val="00BF0BCC"/>
    <w:rsid w:val="00BF1509"/>
    <w:rsid w:val="00BF289A"/>
    <w:rsid w:val="00BF2D9E"/>
    <w:rsid w:val="00BF3613"/>
    <w:rsid w:val="00BF37B7"/>
    <w:rsid w:val="00BF3ED2"/>
    <w:rsid w:val="00BF49A8"/>
    <w:rsid w:val="00BF5C82"/>
    <w:rsid w:val="00BF70EA"/>
    <w:rsid w:val="00BF7A5E"/>
    <w:rsid w:val="00BF7C02"/>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2DC8"/>
    <w:rsid w:val="00C43809"/>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C771C"/>
    <w:rsid w:val="00CD16C7"/>
    <w:rsid w:val="00CD229F"/>
    <w:rsid w:val="00CD28DD"/>
    <w:rsid w:val="00CD2E60"/>
    <w:rsid w:val="00CD3DA3"/>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6C6"/>
    <w:rsid w:val="00E8482E"/>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21</cp:revision>
  <cp:lastPrinted>2113-01-01T16:00:00Z</cp:lastPrinted>
  <dcterms:created xsi:type="dcterms:W3CDTF">2025-05-09T07:54:00Z</dcterms:created>
  <dcterms:modified xsi:type="dcterms:W3CDTF">2025-08-14T11:43:00Z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