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26839" w14:textId="66C93AC3" w:rsidR="007370BE" w:rsidRPr="009A4826" w:rsidRDefault="007370BE" w:rsidP="007370BE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9A4826">
        <w:rPr>
          <w:rFonts w:ascii="Arial" w:eastAsia="DengXian" w:hAnsi="Arial"/>
          <w:b/>
          <w:noProof/>
          <w:sz w:val="24"/>
        </w:rPr>
        <w:t>3GPP TSG RAN WG2#13</w:t>
      </w:r>
      <w:r w:rsidRPr="009A4826">
        <w:rPr>
          <w:rFonts w:ascii="Arial" w:hAnsi="Arial" w:hint="eastAsia"/>
          <w:b/>
          <w:noProof/>
          <w:sz w:val="24"/>
          <w:lang w:eastAsia="ja-JP"/>
        </w:rPr>
        <w:t>1</w:t>
      </w:r>
      <w:r w:rsidRPr="009A4826">
        <w:rPr>
          <w:rFonts w:ascii="Arial" w:eastAsia="DengXian" w:hAnsi="Arial"/>
          <w:b/>
          <w:noProof/>
          <w:sz w:val="24"/>
        </w:rPr>
        <w:tab/>
        <w:t>R2-250</w:t>
      </w:r>
      <w:r w:rsidRPr="009A4826">
        <w:rPr>
          <w:rFonts w:ascii="Arial" w:hAnsi="Arial" w:hint="eastAsia"/>
          <w:b/>
          <w:noProof/>
          <w:sz w:val="24"/>
          <w:lang w:eastAsia="ja-JP"/>
        </w:rPr>
        <w:t>50</w:t>
      </w:r>
      <w:r>
        <w:rPr>
          <w:rFonts w:ascii="Arial" w:hAnsi="Arial"/>
          <w:b/>
          <w:noProof/>
          <w:sz w:val="24"/>
          <w:lang w:eastAsia="ja-JP"/>
        </w:rPr>
        <w:t>5</w:t>
      </w:r>
      <w:r>
        <w:rPr>
          <w:rFonts w:ascii="Arial" w:hAnsi="Arial"/>
          <w:b/>
          <w:noProof/>
          <w:sz w:val="24"/>
          <w:lang w:eastAsia="ja-JP"/>
        </w:rPr>
        <w:t>4</w:t>
      </w:r>
    </w:p>
    <w:p w14:paraId="237548B9" w14:textId="77777777" w:rsidR="007370BE" w:rsidRPr="009A4826" w:rsidRDefault="007370BE" w:rsidP="007370BE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9A4826">
        <w:rPr>
          <w:rFonts w:ascii="Arial" w:hAnsi="Arial" w:hint="eastAsia"/>
          <w:b/>
          <w:noProof/>
          <w:sz w:val="24"/>
          <w:lang w:eastAsia="ja-JP"/>
        </w:rPr>
        <w:t>B</w:t>
      </w:r>
      <w:r w:rsidRPr="009A4826">
        <w:rPr>
          <w:rFonts w:ascii="Arial" w:hAnsi="Arial"/>
          <w:b/>
          <w:noProof/>
          <w:sz w:val="24"/>
          <w:lang w:eastAsia="ja-JP"/>
        </w:rPr>
        <w:t>e</w:t>
      </w:r>
      <w:r w:rsidRPr="009A4826">
        <w:rPr>
          <w:rFonts w:ascii="Arial" w:hAnsi="Arial" w:hint="eastAsia"/>
          <w:b/>
          <w:noProof/>
          <w:sz w:val="24"/>
          <w:lang w:eastAsia="ja-JP"/>
        </w:rPr>
        <w:t>ngal</w:t>
      </w:r>
      <w:r w:rsidRPr="009A4826">
        <w:rPr>
          <w:rFonts w:ascii="Arial" w:hAnsi="Arial"/>
          <w:b/>
          <w:noProof/>
          <w:sz w:val="24"/>
          <w:lang w:eastAsia="ja-JP"/>
        </w:rPr>
        <w:t>u</w:t>
      </w:r>
      <w:r w:rsidRPr="009A4826">
        <w:rPr>
          <w:rFonts w:ascii="Arial" w:hAnsi="Arial" w:hint="eastAsia"/>
          <w:b/>
          <w:noProof/>
          <w:sz w:val="24"/>
          <w:lang w:eastAsia="ja-JP"/>
        </w:rPr>
        <w:t>r</w:t>
      </w:r>
      <w:r w:rsidRPr="009A4826">
        <w:rPr>
          <w:rFonts w:ascii="Arial" w:hAnsi="Arial"/>
          <w:b/>
          <w:noProof/>
          <w:sz w:val="24"/>
          <w:lang w:eastAsia="ja-JP"/>
        </w:rPr>
        <w:t>u</w:t>
      </w:r>
      <w:r w:rsidRPr="009A4826">
        <w:rPr>
          <w:rFonts w:ascii="Arial" w:hAnsi="Arial" w:hint="eastAsia"/>
          <w:b/>
          <w:noProof/>
          <w:sz w:val="24"/>
          <w:lang w:eastAsia="ja-JP"/>
        </w:rPr>
        <w:t>, India</w:t>
      </w:r>
      <w:r w:rsidRPr="009A4826">
        <w:rPr>
          <w:rFonts w:ascii="Arial" w:eastAsia="DengXian" w:hAnsi="Arial"/>
          <w:b/>
          <w:noProof/>
          <w:sz w:val="24"/>
        </w:rPr>
        <w:t xml:space="preserve">, </w:t>
      </w:r>
      <w:r w:rsidRPr="009A4826">
        <w:rPr>
          <w:rFonts w:ascii="Arial" w:hAnsi="Arial" w:hint="eastAsia"/>
          <w:b/>
          <w:noProof/>
          <w:sz w:val="24"/>
          <w:lang w:eastAsia="ja-JP"/>
        </w:rPr>
        <w:t>25</w:t>
      </w:r>
      <w:r w:rsidRPr="009A482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9A4826">
        <w:rPr>
          <w:rFonts w:ascii="Arial" w:eastAsia="DengXian" w:hAnsi="Arial"/>
          <w:b/>
          <w:noProof/>
          <w:sz w:val="24"/>
        </w:rPr>
        <w:t xml:space="preserve"> - 2</w:t>
      </w:r>
      <w:r w:rsidRPr="009A4826">
        <w:rPr>
          <w:rFonts w:ascii="Arial" w:hAnsi="Arial" w:hint="eastAsia"/>
          <w:b/>
          <w:noProof/>
          <w:sz w:val="24"/>
          <w:lang w:eastAsia="ja-JP"/>
        </w:rPr>
        <w:t>9</w:t>
      </w:r>
      <w:r w:rsidRPr="009A4826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9A4826">
        <w:rPr>
          <w:rFonts w:ascii="Arial" w:hAnsi="Arial" w:hint="eastAsia"/>
          <w:b/>
          <w:noProof/>
          <w:sz w:val="24"/>
          <w:lang w:eastAsia="ja-JP"/>
        </w:rPr>
        <w:t>August</w:t>
      </w:r>
      <w:r w:rsidRPr="009A4826">
        <w:rPr>
          <w:rFonts w:ascii="Arial" w:eastAsia="DengXian" w:hAnsi="Arial"/>
          <w:b/>
          <w:noProof/>
          <w:sz w:val="24"/>
        </w:rPr>
        <w:t xml:space="preserve"> 2025</w:t>
      </w:r>
    </w:p>
    <w:p w14:paraId="657397FA" w14:textId="77777777" w:rsidR="007370BE" w:rsidRPr="009A4826" w:rsidRDefault="007370BE" w:rsidP="007370B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E9A498F" w14:textId="77777777" w:rsidR="007370BE" w:rsidRPr="009A4826" w:rsidRDefault="007370BE" w:rsidP="007370BE">
      <w:pPr>
        <w:rPr>
          <w:rFonts w:ascii="Arial" w:hAnsi="Arial" w:cs="Arial"/>
        </w:rPr>
      </w:pPr>
    </w:p>
    <w:p w14:paraId="2B68DBB5" w14:textId="50E0451F" w:rsidR="00F655CF" w:rsidRPr="00A079D3" w:rsidRDefault="00F655CF" w:rsidP="007370BE">
      <w:pPr>
        <w:keepLines/>
        <w:tabs>
          <w:tab w:val="right" w:pos="9781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RP-25</w:t>
      </w:r>
      <w:r w:rsidR="007730B3" w:rsidRPr="007730B3">
        <w:rPr>
          <w:rFonts w:ascii="Arial" w:hAnsi="Arial" w:cs="Arial"/>
          <w:b/>
          <w:sz w:val="28"/>
          <w:szCs w:val="28"/>
        </w:rPr>
        <w:t>18</w:t>
      </w:r>
      <w:r w:rsidR="001326BB">
        <w:rPr>
          <w:rFonts w:ascii="Arial" w:hAnsi="Arial" w:cs="Arial"/>
          <w:b/>
          <w:sz w:val="28"/>
          <w:szCs w:val="28"/>
        </w:rPr>
        <w:t>86</w:t>
      </w:r>
    </w:p>
    <w:p w14:paraId="70C16DB1" w14:textId="77777777" w:rsidR="00F655CF" w:rsidRPr="00A079D3" w:rsidRDefault="00F655CF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7C4A858B" w14:textId="6AC71B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E0191E" w:rsidRPr="001953A8">
        <w:rPr>
          <w:rFonts w:ascii="Arial" w:hAnsi="Arial" w:cs="Arial"/>
          <w:bCs/>
        </w:rPr>
        <w:t>LS on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 xml:space="preserve">power </w:t>
      </w:r>
      <w:r w:rsidR="005C3532">
        <w:rPr>
          <w:rFonts w:ascii="Arial" w:hAnsi="Arial" w:cs="Arial"/>
          <w:bCs/>
        </w:rPr>
        <w:t xml:space="preserve">and energy </w:t>
      </w:r>
      <w:r w:rsidR="00E0191E">
        <w:rPr>
          <w:rFonts w:ascii="Arial" w:hAnsi="Arial" w:cs="Arial"/>
          <w:bCs/>
        </w:rPr>
        <w:t>consumption budget</w:t>
      </w:r>
      <w:r w:rsidR="00E0191E" w:rsidRPr="00E0191E">
        <w:rPr>
          <w:rFonts w:ascii="Arial" w:hAnsi="Arial" w:cs="Arial"/>
          <w:bCs/>
        </w:rPr>
        <w:t xml:space="preserve"> for secur</w:t>
      </w:r>
      <w:r w:rsidR="00E0191E">
        <w:rPr>
          <w:rFonts w:ascii="Arial" w:hAnsi="Arial" w:cs="Arial"/>
          <w:bCs/>
        </w:rPr>
        <w:t>ity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>features</w:t>
      </w:r>
      <w:r w:rsidR="00E0191E" w:rsidRPr="00E0191E">
        <w:rPr>
          <w:rFonts w:ascii="Arial" w:hAnsi="Arial" w:cs="Arial"/>
          <w:bCs/>
        </w:rPr>
        <w:t xml:space="preserve"> in A</w:t>
      </w:r>
      <w:r w:rsidR="001953A8">
        <w:rPr>
          <w:rFonts w:ascii="Arial" w:hAnsi="Arial" w:cs="Arial"/>
          <w:bCs/>
        </w:rPr>
        <w:t>-I</w:t>
      </w:r>
      <w:r w:rsidR="00E0191E" w:rsidRPr="00E0191E">
        <w:rPr>
          <w:rFonts w:ascii="Arial" w:hAnsi="Arial" w:cs="Arial"/>
          <w:bCs/>
        </w:rPr>
        <w:t>oT</w:t>
      </w:r>
    </w:p>
    <w:bookmarkEnd w:id="4"/>
    <w:p w14:paraId="51F20D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S3-252335</w:t>
      </w:r>
    </w:p>
    <w:p w14:paraId="4E025F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C1146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2A81" w:rsidRPr="00CC2A81">
        <w:rPr>
          <w:rFonts w:ascii="Arial" w:eastAsia="SimSun" w:hAnsi="Arial" w:cs="Arial"/>
          <w:bCs/>
        </w:rPr>
        <w:t>Ambient</w:t>
      </w:r>
      <w:r w:rsidR="00373E1F">
        <w:rPr>
          <w:rFonts w:ascii="Arial" w:eastAsia="SimSun" w:hAnsi="Arial" w:cs="Arial"/>
          <w:bCs/>
        </w:rPr>
        <w:t>_</w:t>
      </w:r>
      <w:r w:rsidR="00CC2A81" w:rsidRPr="00CC2A81">
        <w:rPr>
          <w:rFonts w:ascii="Arial" w:eastAsia="SimSun" w:hAnsi="Arial" w:cs="Arial"/>
          <w:bCs/>
        </w:rPr>
        <w:t>IoT</w:t>
      </w:r>
      <w:r w:rsidR="00CC2A81">
        <w:rPr>
          <w:rFonts w:ascii="Arial" w:eastAsia="SimSun" w:hAnsi="Arial" w:cs="Arial" w:hint="eastAsia"/>
          <w:bCs/>
          <w:lang w:eastAsia="zh-CN"/>
        </w:rPr>
        <w:t>_</w:t>
      </w:r>
      <w:r w:rsidR="00CC2A81">
        <w:rPr>
          <w:rFonts w:ascii="Arial" w:eastAsia="SimSun" w:hAnsi="Arial" w:cs="Arial"/>
          <w:bCs/>
          <w:lang w:eastAsia="zh-CN"/>
        </w:rPr>
        <w:t>Sec</w:t>
      </w:r>
      <w:r w:rsidR="0001228A">
        <w:rPr>
          <w:rFonts w:ascii="Arial" w:eastAsia="SimSun" w:hAnsi="Arial" w:cs="Arial"/>
          <w:bCs/>
          <w:lang w:eastAsia="zh-CN"/>
        </w:rPr>
        <w:t>, Ambient_IoT_Solutions-Core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19D0EA2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FC3FFC" w:rsidRPr="001326BB">
        <w:rPr>
          <w:rFonts w:ascii="Arial" w:hAnsi="Arial" w:cs="Arial"/>
          <w:bCs/>
        </w:rPr>
        <w:t>RAN</w:t>
      </w:r>
    </w:p>
    <w:p w14:paraId="65EA197D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To:</w:t>
      </w:r>
      <w:r w:rsidRPr="001326BB">
        <w:rPr>
          <w:rFonts w:ascii="Arial" w:hAnsi="Arial" w:cs="Arial"/>
          <w:bCs/>
          <w:lang w:val="fr-FR"/>
        </w:rPr>
        <w:tab/>
      </w:r>
      <w:r w:rsidR="0001228A" w:rsidRPr="001326BB">
        <w:rPr>
          <w:rFonts w:ascii="Arial" w:hAnsi="Arial" w:cs="Arial"/>
          <w:bCs/>
          <w:lang w:val="fr-FR"/>
        </w:rPr>
        <w:t>SA3, RAN1</w:t>
      </w:r>
    </w:p>
    <w:p w14:paraId="60E0BAF5" w14:textId="30E3F4FF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Cc:</w:t>
      </w:r>
      <w:r w:rsidRPr="001326BB">
        <w:rPr>
          <w:rFonts w:ascii="Arial" w:hAnsi="Arial" w:cs="Arial"/>
          <w:bCs/>
          <w:lang w:val="fr-FR"/>
        </w:rPr>
        <w:tab/>
      </w:r>
      <w:r w:rsidR="00786BC1" w:rsidRPr="001326BB">
        <w:rPr>
          <w:rFonts w:ascii="Arial" w:hAnsi="Arial" w:cs="Arial"/>
          <w:bCs/>
          <w:lang w:val="fr-FR"/>
        </w:rPr>
        <w:t>RAN2</w:t>
      </w:r>
      <w:r w:rsidR="00BC5DAA" w:rsidRPr="001326BB">
        <w:rPr>
          <w:rFonts w:ascii="Arial" w:hAnsi="Arial" w:cs="Arial"/>
          <w:bCs/>
          <w:lang w:val="fr-FR"/>
        </w:rPr>
        <w:t>, SA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Contact Person:</w:t>
      </w:r>
    </w:p>
    <w:p w14:paraId="303D6880" w14:textId="20DCF2F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30B3">
        <w:rPr>
          <w:rFonts w:cs="Arial"/>
          <w:b w:val="0"/>
          <w:bCs/>
        </w:rPr>
        <w:t>Matthew Webb</w:t>
      </w:r>
    </w:p>
    <w:p w14:paraId="3EDED67C" w14:textId="46C8A0E2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7730B3" w:rsidRPr="0026033C">
          <w:rPr>
            <w:rStyle w:val="Hyperlink"/>
            <w:rFonts w:cs="Arial"/>
            <w:b w:val="0"/>
            <w:bCs/>
          </w:rPr>
          <w:t>matthew.webb@huawei.com</w:t>
        </w:r>
      </w:hyperlink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1F55FAFF" w:rsidR="00FF609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74046A">
        <w:rPr>
          <w:rFonts w:eastAsia="SimSun"/>
          <w:sz w:val="22"/>
          <w:szCs w:val="22"/>
          <w:lang w:val="en-US" w:eastAsia="zh-CN"/>
        </w:rPr>
        <w:t>RAN thanks SA3 for the LS referenced above.</w:t>
      </w:r>
    </w:p>
    <w:p w14:paraId="483097FB" w14:textId="1DA53B86" w:rsidR="00280AC5" w:rsidRPr="00C853F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 wishes to inform SA3 that the Rel-19 SI and WI on Ambient IoT solutions did not establish a division of power consumption into different aspects</w:t>
      </w:r>
      <w:r w:rsidR="00FF6095">
        <w:rPr>
          <w:rFonts w:eastAsia="SimSun"/>
          <w:sz w:val="22"/>
          <w:szCs w:val="22"/>
          <w:lang w:val="en-US" w:eastAsia="zh-CN"/>
        </w:rPr>
        <w:t xml:space="preserve"> </w:t>
      </w:r>
      <w:r w:rsidR="00FF6095" w:rsidRPr="00C853F5">
        <w:rPr>
          <w:rFonts w:eastAsia="SimSun"/>
          <w:sz w:val="22"/>
          <w:szCs w:val="22"/>
          <w:lang w:val="en-US" w:eastAsia="zh-CN"/>
        </w:rPr>
        <w:t>and hence RAN WGs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have not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analyze</w:t>
      </w:r>
      <w:r w:rsidR="00230537" w:rsidRPr="00C853F5">
        <w:rPr>
          <w:rFonts w:eastAsia="SimSun"/>
          <w:sz w:val="22"/>
          <w:szCs w:val="22"/>
          <w:lang w:val="en-US" w:eastAsia="zh-CN"/>
        </w:rPr>
        <w:t>d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which portion of it is left for security functions after non-security related parts are accounted for</w:t>
      </w:r>
      <w:r w:rsidRPr="00C853F5">
        <w:rPr>
          <w:rFonts w:eastAsia="SimSun"/>
          <w:sz w:val="22"/>
          <w:szCs w:val="22"/>
          <w:lang w:val="en-US" w:eastAsia="zh-CN"/>
        </w:rPr>
        <w:t>.</w:t>
      </w:r>
      <w:r w:rsidR="00280AC5" w:rsidRPr="00C853F5">
        <w:rPr>
          <w:rFonts w:eastAsia="SimSun"/>
          <w:sz w:val="22"/>
          <w:szCs w:val="22"/>
          <w:lang w:val="en-US" w:eastAsia="zh-CN"/>
        </w:rPr>
        <w:t xml:space="preserve"> In response to the points in the SA3 LS:</w:t>
      </w:r>
    </w:p>
    <w:p w14:paraId="32F6535A" w14:textId="0EF614F0" w:rsidR="00280AC5" w:rsidRPr="00C853F5" w:rsidRDefault="00280AC5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Expected operational patterns (e.g., duty cycles, active time slots) of Device Type 1 and the required portion for non-security functions”</w:t>
      </w:r>
    </w:p>
    <w:p w14:paraId="118DEB72" w14:textId="0C8E26FE" w:rsidR="00230537" w:rsidRPr="00C853F5" w:rsidRDefault="00230537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Power and energy budgets and constraints during operations”</w:t>
      </w:r>
    </w:p>
    <w:p w14:paraId="20009CA6" w14:textId="1165836A" w:rsidR="00230537" w:rsidRPr="00C853F5" w:rsidRDefault="00230537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C853F5">
        <w:rPr>
          <w:sz w:val="22"/>
          <w:szCs w:val="22"/>
          <w:lang w:val="en-US" w:eastAsia="zh-CN"/>
        </w:rPr>
        <w:t>Although RAN1 studied device unavailability (see clause 6.2 of TR 38.769) due to energy harvesting, RAN1 did not break down the power consumption into individual procedures.</w:t>
      </w:r>
    </w:p>
    <w:p w14:paraId="103F1737" w14:textId="130E7803" w:rsidR="00280AC5" w:rsidRPr="00280AC5" w:rsidRDefault="001747E2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above-referenced clause of TR 38.769 includes </w:t>
      </w:r>
      <w:r w:rsidR="003A734B">
        <w:rPr>
          <w:sz w:val="22"/>
          <w:szCs w:val="22"/>
          <w:lang w:val="en-US" w:eastAsia="zh-CN"/>
        </w:rPr>
        <w:t>per-</w:t>
      </w:r>
      <w:r>
        <w:rPr>
          <w:sz w:val="22"/>
          <w:szCs w:val="22"/>
          <w:lang w:val="en-US" w:eastAsia="zh-CN"/>
        </w:rPr>
        <w:t>company reports on their assumptions on power and energy budgets for the A-IoT devices, including Device 1.</w:t>
      </w:r>
    </w:p>
    <w:p w14:paraId="2512BA0A" w14:textId="609C3A70" w:rsidR="00280AC5" w:rsidRPr="00C853F5" w:rsidRDefault="00280AC5" w:rsidP="00280AC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7BD8B273" w14:textId="0DC047CE" w:rsidR="001747E2" w:rsidRPr="00851C40" w:rsidRDefault="001747E2" w:rsidP="001747E2">
      <w:pPr>
        <w:pStyle w:val="Header"/>
        <w:rPr>
          <w:rFonts w:ascii="Arial" w:hAnsi="Arial" w:cs="Arial"/>
          <w:b/>
          <w:bCs/>
          <w:lang w:eastAsia="ko-KR"/>
        </w:rPr>
      </w:pPr>
      <w:r w:rsidRPr="00851C40">
        <w:rPr>
          <w:rFonts w:eastAsia="SimSun"/>
          <w:b/>
          <w:bCs/>
          <w:sz w:val="22"/>
          <w:szCs w:val="22"/>
          <w:lang w:eastAsia="zh-CN"/>
        </w:rPr>
        <w:t>“</w:t>
      </w:r>
      <w:r w:rsidRPr="00851C40">
        <w:rPr>
          <w:rFonts w:ascii="Arial" w:hAnsi="Arial" w:cs="Arial"/>
          <w:b/>
          <w:bCs/>
          <w:lang w:eastAsia="ko-KR"/>
        </w:rPr>
        <w:t>Any assumptions RAN1 are making regarding security feature support for this device category in terms of power and energy consumption.”</w:t>
      </w:r>
    </w:p>
    <w:p w14:paraId="248F6781" w14:textId="1DE0F74E" w:rsidR="001747E2" w:rsidRPr="001747E2" w:rsidRDefault="001747E2" w:rsidP="001747E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1747E2">
        <w:rPr>
          <w:sz w:val="22"/>
          <w:szCs w:val="22"/>
          <w:lang w:val="en-US" w:eastAsia="zh-CN"/>
        </w:rPr>
        <w:t>RAN1 have made no such assumptions.</w:t>
      </w:r>
      <w:r>
        <w:rPr>
          <w:sz w:val="22"/>
          <w:szCs w:val="22"/>
          <w:lang w:val="en-US" w:eastAsia="zh-CN"/>
        </w:rPr>
        <w:t xml:space="preserve"> </w:t>
      </w:r>
      <w:r w:rsidR="002908EB" w:rsidRPr="002908EB">
        <w:rPr>
          <w:sz w:val="22"/>
          <w:szCs w:val="22"/>
          <w:lang w:val="en-US" w:eastAsia="zh-CN"/>
        </w:rPr>
        <w:t xml:space="preserve">NOTE: </w:t>
      </w:r>
      <w:r w:rsidR="00CF7927">
        <w:rPr>
          <w:sz w:val="22"/>
          <w:szCs w:val="22"/>
          <w:lang w:val="en-US" w:eastAsia="zh-CN"/>
        </w:rPr>
        <w:t>D</w:t>
      </w:r>
      <w:r w:rsidR="002908EB" w:rsidRPr="002908EB">
        <w:rPr>
          <w:sz w:val="22"/>
          <w:szCs w:val="22"/>
          <w:lang w:val="en-US" w:eastAsia="zh-CN"/>
        </w:rPr>
        <w:t>evice 1 has ~1</w:t>
      </w:r>
      <w:r w:rsidR="002908EB">
        <w:rPr>
          <w:sz w:val="22"/>
          <w:szCs w:val="22"/>
          <w:lang w:val="en-US" w:eastAsia="zh-CN"/>
        </w:rPr>
        <w:t xml:space="preserve"> μW</w:t>
      </w:r>
      <w:r w:rsidR="002908EB" w:rsidRPr="002908EB">
        <w:rPr>
          <w:sz w:val="22"/>
          <w:szCs w:val="22"/>
          <w:lang w:val="en-US" w:eastAsia="zh-CN"/>
        </w:rPr>
        <w:t xml:space="preserve"> peak power consumption.</w:t>
      </w:r>
    </w:p>
    <w:p w14:paraId="02001443" w14:textId="684588D2" w:rsidR="00A40764" w:rsidRPr="00301484" w:rsidRDefault="001747E2" w:rsidP="00C853F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Further to the aspects contained in the SA3 LS, RAN wishes to remind SA3 that RAN2 made the following agreement relating to AS security. RAN</w:t>
      </w:r>
      <w:r w:rsidR="003D523C">
        <w:rPr>
          <w:rFonts w:eastAsia="SimSun"/>
          <w:sz w:val="22"/>
          <w:szCs w:val="22"/>
          <w:lang w:eastAsia="zh-CN"/>
        </w:rPr>
        <w:t xml:space="preserve"> is aware that SA3 also considers NAS security</w:t>
      </w:r>
      <w:r>
        <w:rPr>
          <w:rFonts w:eastAsia="SimSun"/>
          <w:sz w:val="22"/>
          <w:szCs w:val="22"/>
          <w:lang w:eastAsia="zh-CN"/>
        </w:rPr>
        <w:t>.</w:t>
      </w:r>
    </w:p>
    <w:p w14:paraId="58160D81" w14:textId="6780A71D" w:rsidR="0074046A" w:rsidRDefault="0074046A" w:rsidP="001747E2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74046A" w:rsidRPr="004B4F05" w14:paraId="4FFD6ED5" w14:textId="77777777" w:rsidTr="004B4F05">
        <w:tc>
          <w:tcPr>
            <w:tcW w:w="10081" w:type="dxa"/>
            <w:shd w:val="clear" w:color="auto" w:fill="auto"/>
          </w:tcPr>
          <w:p w14:paraId="6110EC6C" w14:textId="77777777" w:rsidR="0064274F" w:rsidRPr="0064274F" w:rsidRDefault="0064274F" w:rsidP="004B4F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5" w:name="_Toc187176136"/>
            <w:r w:rsidRPr="0064274F">
              <w:rPr>
                <w:rFonts w:ascii="Arial" w:eastAsia="DengXian" w:hAnsi="Arial"/>
                <w:sz w:val="28"/>
                <w:lang w:eastAsia="en-GB"/>
              </w:rPr>
              <w:lastRenderedPageBreak/>
              <w:t>6.3.2</w:t>
            </w:r>
            <w:r w:rsidRPr="0064274F">
              <w:rPr>
                <w:rFonts w:ascii="Arial" w:eastAsia="DengXian" w:hAnsi="Arial"/>
                <w:sz w:val="28"/>
                <w:lang w:eastAsia="en-GB"/>
              </w:rPr>
              <w:tab/>
              <w:t>Protocol stack and functionality aspects</w:t>
            </w:r>
            <w:bookmarkEnd w:id="5"/>
          </w:p>
          <w:p w14:paraId="614AE4EB" w14:textId="77777777" w:rsidR="0064274F" w:rsidRPr="004B4F05" w:rsidRDefault="0064274F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13CE49D" w14:textId="77777777" w:rsidR="0074046A" w:rsidRPr="0074046A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74046A">
              <w:rPr>
                <w:rFonts w:eastAsia="Times New Roman"/>
                <w:lang w:eastAsia="zh-CN"/>
              </w:rPr>
              <w:t xml:space="preserve">As to the A-IoT required functionalities, at least the following functionalities are NOT supported (see TS </w:t>
            </w:r>
            <w:r w:rsidRPr="0074046A">
              <w:rPr>
                <w:rFonts w:eastAsia="Times New Roman"/>
                <w:lang w:eastAsia="ja-JP"/>
              </w:rPr>
              <w:t xml:space="preserve">38.300 [153] for references for any legacy NR </w:t>
            </w:r>
            <w:r w:rsidRPr="0074046A">
              <w:rPr>
                <w:rFonts w:eastAsia="Times New Roman"/>
                <w:lang w:eastAsia="zh-CN"/>
              </w:rPr>
              <w:t>functionality):</w:t>
            </w:r>
          </w:p>
          <w:p w14:paraId="681B1B52" w14:textId="77777777" w:rsidR="00DA1909" w:rsidRPr="004B4F05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DengXian"/>
                <w:noProof/>
                <w:lang w:eastAsia="zh-CN"/>
              </w:rPr>
            </w:pPr>
            <w:r w:rsidRPr="0074046A">
              <w:rPr>
                <w:rFonts w:eastAsia="DengXian"/>
                <w:noProof/>
                <w:lang w:eastAsia="zh-CN"/>
              </w:rPr>
              <w:t>-</w:t>
            </w:r>
            <w:r w:rsidRPr="0074046A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14:paraId="72F41325" w14:textId="77777777" w:rsidR="000D2D91" w:rsidRPr="004B4F05" w:rsidRDefault="000D2D91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noProof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88F6409" w14:textId="77777777" w:rsidR="00DA1909" w:rsidRPr="004B4F05" w:rsidRDefault="00DA1909" w:rsidP="004B4F0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en-GB"/>
              </w:rPr>
            </w:pPr>
            <w:r w:rsidRPr="00DA1909">
              <w:rPr>
                <w:rFonts w:eastAsia="DengXian"/>
                <w:lang w:eastAsia="en-GB"/>
              </w:rPr>
              <w:t>[15</w:t>
            </w:r>
            <w:r w:rsidRPr="004B4F05">
              <w:rPr>
                <w:rFonts w:eastAsia="DengXian"/>
                <w:lang w:eastAsia="en-GB"/>
              </w:rPr>
              <w:t>2</w:t>
            </w:r>
            <w:r w:rsidRPr="00DA1909">
              <w:rPr>
                <w:rFonts w:eastAsia="DengXian"/>
                <w:lang w:eastAsia="en-GB"/>
              </w:rPr>
              <w:t>]</w:t>
            </w:r>
            <w:r w:rsidRPr="004B4F05">
              <w:rPr>
                <w:rFonts w:eastAsia="DengXian"/>
                <w:lang w:eastAsia="en-GB"/>
              </w:rPr>
              <w:t xml:space="preserve"> </w:t>
            </w:r>
            <w:r w:rsidRPr="00DA1909" w:rsidDel="008D682C">
              <w:rPr>
                <w:rFonts w:eastAsia="DengXian"/>
                <w:lang w:eastAsia="en-GB"/>
              </w:rPr>
              <w:t>3GPP TR 33.713: "Study on security aspects of Ambient Internet of Things (AIoT) services in 5G".</w:t>
            </w:r>
          </w:p>
        </w:tc>
      </w:tr>
    </w:tbl>
    <w:p w14:paraId="4891B8BF" w14:textId="77777777" w:rsidR="0074046A" w:rsidRDefault="0074046A" w:rsidP="0074046A">
      <w:pPr>
        <w:autoSpaceDE w:val="0"/>
        <w:autoSpaceDN w:val="0"/>
        <w:adjustRightInd w:val="0"/>
        <w:snapToGrid w:val="0"/>
        <w:jc w:val="both"/>
        <w:rPr>
          <w:rFonts w:eastAsia="SimSun"/>
          <w:sz w:val="22"/>
          <w:szCs w:val="22"/>
          <w:lang w:val="en-US" w:eastAsia="zh-CN"/>
        </w:rPr>
      </w:pPr>
    </w:p>
    <w:p w14:paraId="1EDD7583" w14:textId="7EB38ACB" w:rsidR="006A758C" w:rsidRDefault="006A758C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6A758C">
        <w:rPr>
          <w:rFonts w:eastAsia="SimSun"/>
          <w:sz w:val="22"/>
          <w:szCs w:val="22"/>
          <w:lang w:val="en-US" w:eastAsia="zh-CN"/>
        </w:rPr>
        <w:t xml:space="preserve">TSG-RAN </w:t>
      </w:r>
      <w:r>
        <w:rPr>
          <w:rFonts w:eastAsia="SimSun"/>
          <w:sz w:val="22"/>
          <w:szCs w:val="22"/>
          <w:lang w:val="en-US" w:eastAsia="zh-CN"/>
        </w:rPr>
        <w:t>advises SA3 that</w:t>
      </w:r>
      <w:r w:rsidRPr="006A758C">
        <w:rPr>
          <w:rFonts w:eastAsia="SimSun"/>
          <w:sz w:val="22"/>
          <w:szCs w:val="22"/>
          <w:lang w:val="en-US" w:eastAsia="zh-CN"/>
        </w:rPr>
        <w:t xml:space="preserve"> this is the extent of information that can be provided to SA3 </w:t>
      </w:r>
      <w:r>
        <w:rPr>
          <w:rFonts w:eastAsia="SimSun"/>
          <w:sz w:val="22"/>
          <w:szCs w:val="22"/>
          <w:lang w:val="en-US" w:eastAsia="zh-CN"/>
        </w:rPr>
        <w:t xml:space="preserve">from TSG RAN and </w:t>
      </w:r>
      <w:r w:rsidRPr="00C853F5">
        <w:rPr>
          <w:rFonts w:eastAsia="SimSun"/>
          <w:sz w:val="22"/>
          <w:szCs w:val="22"/>
          <w:lang w:val="en-US" w:eastAsia="zh-CN"/>
        </w:rPr>
        <w:t>RAN WGs.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RAN expects</w:t>
      </w:r>
      <w:r w:rsidR="001327D1" w:rsidRPr="00C853F5">
        <w:rPr>
          <w:rFonts w:eastAsia="SimSun"/>
          <w:sz w:val="22"/>
          <w:szCs w:val="22"/>
          <w:lang w:val="en-US" w:eastAsia="zh-CN"/>
        </w:rPr>
        <w:t xml:space="preserve"> that completion of the Rel-19 WI in RAN </w:t>
      </w:r>
      <w:r w:rsidR="00BC5DAA">
        <w:rPr>
          <w:rFonts w:eastAsia="SimSun"/>
          <w:sz w:val="22"/>
          <w:szCs w:val="22"/>
          <w:lang w:val="en-US" w:eastAsia="zh-CN"/>
        </w:rPr>
        <w:t xml:space="preserve">and SA </w:t>
      </w:r>
      <w:r w:rsidR="001327D1" w:rsidRPr="00C853F5">
        <w:rPr>
          <w:rFonts w:eastAsia="SimSun"/>
          <w:sz w:val="22"/>
          <w:szCs w:val="22"/>
          <w:lang w:val="en-US" w:eastAsia="zh-CN"/>
        </w:rPr>
        <w:t>WGs will be as planned</w:t>
      </w:r>
      <w:r w:rsidR="00BC5DAA">
        <w:rPr>
          <w:rFonts w:eastAsia="SimSun"/>
          <w:sz w:val="22"/>
          <w:szCs w:val="22"/>
          <w:lang w:val="en-US" w:eastAsia="zh-CN"/>
        </w:rPr>
        <w:t>.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228A">
        <w:rPr>
          <w:rFonts w:ascii="Arial" w:hAnsi="Arial" w:cs="Arial"/>
          <w:b/>
        </w:rPr>
        <w:t>SA3</w:t>
      </w:r>
      <w:r w:rsidR="00EE2763">
        <w:rPr>
          <w:rFonts w:ascii="Arial" w:hAnsi="Arial" w:cs="Arial"/>
          <w:b/>
        </w:rPr>
        <w:t>:</w:t>
      </w:r>
    </w:p>
    <w:p w14:paraId="3AE8E63D" w14:textId="0EE6ADEC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01228A" w:rsidRPr="0001228A">
        <w:rPr>
          <w:rFonts w:ascii="Arial" w:hAnsi="Arial" w:cs="Arial"/>
          <w:bCs/>
        </w:rPr>
        <w:t xml:space="preserve">SA3 </w:t>
      </w:r>
      <w:r w:rsidR="00BC5DAA">
        <w:rPr>
          <w:rFonts w:ascii="Arial" w:hAnsi="Arial" w:cs="Arial"/>
          <w:bCs/>
          <w:lang w:eastAsia="ko-KR"/>
        </w:rPr>
        <w:t>is</w:t>
      </w:r>
      <w:r w:rsidR="00F47964" w:rsidRPr="0001228A">
        <w:rPr>
          <w:rFonts w:ascii="Arial" w:hAnsi="Arial" w:cs="Arial"/>
          <w:bCs/>
          <w:lang w:eastAsia="ko-KR"/>
        </w:rPr>
        <w:t xml:space="preserve"> </w:t>
      </w:r>
      <w:r w:rsidR="00BC5DAA">
        <w:rPr>
          <w:rFonts w:ascii="Arial" w:hAnsi="Arial" w:cs="Arial"/>
          <w:bCs/>
          <w:lang w:eastAsia="ko-KR"/>
        </w:rPr>
        <w:t>respectfully</w:t>
      </w:r>
      <w:r w:rsidR="000118FD" w:rsidRPr="0001228A">
        <w:rPr>
          <w:rFonts w:ascii="Arial" w:hAnsi="Arial" w:cs="Arial"/>
          <w:bCs/>
          <w:lang w:eastAsia="ko-KR"/>
        </w:rPr>
        <w:t xml:space="preserve"> requested to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13D583C3" w14:textId="77777777" w:rsidR="0001228A" w:rsidRPr="00C853F5" w:rsidRDefault="0001228A" w:rsidP="000E0B82">
      <w:pPr>
        <w:spacing w:after="120"/>
        <w:ind w:left="1985" w:hanging="1985"/>
        <w:rPr>
          <w:rFonts w:ascii="Arial" w:hAnsi="Arial" w:cs="Arial"/>
          <w:b/>
        </w:rPr>
      </w:pPr>
      <w:r w:rsidRPr="000E0B82">
        <w:rPr>
          <w:rFonts w:ascii="Arial" w:hAnsi="Arial" w:cs="Arial"/>
          <w:b/>
        </w:rPr>
        <w:t>To RAN1:</w:t>
      </w:r>
    </w:p>
    <w:p w14:paraId="012C7BE7" w14:textId="43B763B9" w:rsidR="0001228A" w:rsidRPr="00C853F5" w:rsidRDefault="0001228A" w:rsidP="000118FD">
      <w:pPr>
        <w:spacing w:after="120"/>
        <w:ind w:left="993" w:hanging="993"/>
        <w:rPr>
          <w:rFonts w:ascii="Arial" w:hAnsi="Arial" w:cs="Arial"/>
          <w:bCs/>
        </w:rPr>
      </w:pPr>
      <w:r w:rsidRPr="00C853F5">
        <w:rPr>
          <w:rFonts w:ascii="Arial" w:hAnsi="Arial" w:cs="Arial"/>
          <w:b/>
        </w:rPr>
        <w:t>ACTION:</w:t>
      </w:r>
      <w:r w:rsidR="0049684A" w:rsidRPr="00C853F5">
        <w:rPr>
          <w:rFonts w:ascii="Arial" w:hAnsi="Arial" w:cs="Arial"/>
          <w:b/>
        </w:rPr>
        <w:tab/>
      </w:r>
      <w:r w:rsidRPr="00C853F5">
        <w:rPr>
          <w:rFonts w:ascii="Arial" w:hAnsi="Arial" w:cs="Arial"/>
          <w:bCs/>
        </w:rPr>
        <w:t xml:space="preserve">RAN guides RAN1 that no </w:t>
      </w:r>
      <w:r w:rsidR="001327D1" w:rsidRPr="00C853F5">
        <w:rPr>
          <w:rFonts w:ascii="Arial" w:hAnsi="Arial" w:cs="Arial"/>
          <w:bCs/>
        </w:rPr>
        <w:t>additional</w:t>
      </w:r>
      <w:r w:rsidRPr="00C853F5">
        <w:rPr>
          <w:rFonts w:ascii="Arial" w:hAnsi="Arial" w:cs="Arial"/>
          <w:bCs/>
        </w:rPr>
        <w:t xml:space="preserve"> reply</w:t>
      </w:r>
      <w:r w:rsidR="001327D1" w:rsidRPr="00C853F5">
        <w:rPr>
          <w:rFonts w:ascii="Arial" w:hAnsi="Arial" w:cs="Arial"/>
          <w:bCs/>
        </w:rPr>
        <w:t xml:space="preserve"> LS</w:t>
      </w:r>
      <w:r w:rsidRPr="00C853F5">
        <w:rPr>
          <w:rFonts w:ascii="Arial" w:hAnsi="Arial" w:cs="Arial"/>
          <w:bCs/>
        </w:rPr>
        <w:t xml:space="preserve"> to SA3 is needed.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1228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AA70D72" w14:textId="77777777" w:rsidR="00854A4C" w:rsidRPr="001E0DEA" w:rsidRDefault="0001228A" w:rsidP="00374CD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eastAsia="Times New Roman"/>
          <w:lang w:eastAsia="en-GB"/>
        </w:rPr>
        <w:t>RAN#109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15-18 September</w:t>
      </w:r>
      <w:r w:rsidR="00374CD4" w:rsidRPr="00EC2F9D">
        <w:rPr>
          <w:rFonts w:eastAsia="Times New Roman"/>
          <w:lang w:eastAsia="en-GB"/>
        </w:rPr>
        <w:t xml:space="preserve"> 202</w:t>
      </w:r>
      <w:r w:rsidR="00374CD4">
        <w:rPr>
          <w:rFonts w:eastAsia="Times New Roman"/>
          <w:lang w:eastAsia="en-GB"/>
        </w:rPr>
        <w:t>5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Beijing, China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D39A5" w14:textId="77777777" w:rsidR="0021753B" w:rsidRDefault="0021753B">
      <w:r>
        <w:separator/>
      </w:r>
    </w:p>
  </w:endnote>
  <w:endnote w:type="continuationSeparator" w:id="0">
    <w:p w14:paraId="1CC08579" w14:textId="77777777" w:rsidR="0021753B" w:rsidRDefault="0021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3445F" w14:textId="77777777" w:rsidR="0021753B" w:rsidRDefault="0021753B">
      <w:r>
        <w:separator/>
      </w:r>
    </w:p>
  </w:footnote>
  <w:footnote w:type="continuationSeparator" w:id="0">
    <w:p w14:paraId="1A53086D" w14:textId="77777777" w:rsidR="0021753B" w:rsidRDefault="0021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385059">
    <w:abstractNumId w:val="10"/>
  </w:num>
  <w:num w:numId="2" w16cid:durableId="932400313">
    <w:abstractNumId w:val="9"/>
  </w:num>
  <w:num w:numId="3" w16cid:durableId="877359206">
    <w:abstractNumId w:val="7"/>
  </w:num>
  <w:num w:numId="4" w16cid:durableId="1732120692">
    <w:abstractNumId w:val="4"/>
  </w:num>
  <w:num w:numId="5" w16cid:durableId="1925870107">
    <w:abstractNumId w:val="3"/>
  </w:num>
  <w:num w:numId="6" w16cid:durableId="1206722702">
    <w:abstractNumId w:val="2"/>
  </w:num>
  <w:num w:numId="7" w16cid:durableId="1901477614">
    <w:abstractNumId w:val="0"/>
  </w:num>
  <w:num w:numId="8" w16cid:durableId="1604993443">
    <w:abstractNumId w:val="5"/>
  </w:num>
  <w:num w:numId="9" w16cid:durableId="1469931353">
    <w:abstractNumId w:val="6"/>
  </w:num>
  <w:num w:numId="10" w16cid:durableId="394592532">
    <w:abstractNumId w:val="1"/>
  </w:num>
  <w:num w:numId="11" w16cid:durableId="423261687">
    <w:abstractNumId w:val="11"/>
  </w:num>
  <w:num w:numId="12" w16cid:durableId="42021877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1357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1753B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370BE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2427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B3214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0560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24A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ebb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2895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5</cp:revision>
  <cp:lastPrinted>2002-04-23T07:10:00Z</cp:lastPrinted>
  <dcterms:created xsi:type="dcterms:W3CDTF">2025-08-08T22:12:00Z</dcterms:created>
  <dcterms:modified xsi:type="dcterms:W3CDTF">2025-08-08T22:14:00Z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</Properties>
</file>