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4891" w14:textId="3B9F7E9F" w:rsidR="00CC20BA" w:rsidRP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CC20BA">
        <w:rPr>
          <w:rFonts w:cs="Arial"/>
          <w:b/>
          <w:kern w:val="0"/>
          <w:sz w:val="24"/>
          <w:szCs w:val="24"/>
          <w:lang w:val="en-US" w:eastAsia="ja-JP"/>
        </w:rPr>
        <w:t>3GPP TSG-RAN WG2 Meeting #131</w:t>
      </w:r>
      <w:r w:rsidRPr="00CC20BA">
        <w:rPr>
          <w:rFonts w:cs="Arial"/>
          <w:b/>
          <w:kern w:val="0"/>
          <w:sz w:val="24"/>
          <w:szCs w:val="24"/>
          <w:lang w:val="en-US" w:eastAsia="ja-JP"/>
        </w:rPr>
        <w:tab/>
      </w:r>
      <w:r w:rsidRPr="00CC20BA">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675700" w:rsidRPr="00675700">
        <w:rPr>
          <w:rFonts w:cs="Arial"/>
          <w:b/>
          <w:kern w:val="0"/>
          <w:sz w:val="24"/>
          <w:szCs w:val="24"/>
          <w:lang w:val="en-US" w:eastAsia="ja-JP"/>
        </w:rPr>
        <w:t>R2-2505377</w:t>
      </w:r>
    </w:p>
    <w:p w14:paraId="2442430F" w14:textId="77777777" w:rsid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r w:rsidRPr="00CC20BA">
        <w:rPr>
          <w:rFonts w:cs="Arial"/>
          <w:b/>
          <w:kern w:val="0"/>
          <w:sz w:val="24"/>
          <w:szCs w:val="24"/>
          <w:lang w:val="en-US" w:eastAsia="ja-JP"/>
        </w:rPr>
        <w:t>Bengaluru, India, Aug 25th – 29th, 2025</w:t>
      </w:r>
    </w:p>
    <w:p w14:paraId="3DAC631A" w14:textId="439773CC" w:rsidR="0079402A" w:rsidRDefault="00000000" w:rsidP="00CC20BA">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14:paraId="1962ACEC" w14:textId="3862CD6C"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CC20BA">
        <w:rPr>
          <w:rFonts w:cs="Arial"/>
          <w:b/>
          <w:bCs/>
          <w:snapToGrid w:val="0"/>
          <w:kern w:val="0"/>
          <w:sz w:val="24"/>
          <w:szCs w:val="24"/>
        </w:rPr>
        <w:t xml:space="preserve">Open issues for </w:t>
      </w:r>
      <w:r w:rsidR="004212E7">
        <w:rPr>
          <w:rFonts w:cs="Arial"/>
          <w:b/>
          <w:bCs/>
          <w:snapToGrid w:val="0"/>
          <w:kern w:val="0"/>
          <w:sz w:val="24"/>
          <w:szCs w:val="24"/>
        </w:rPr>
        <w:t>data transmission</w:t>
      </w:r>
    </w:p>
    <w:p w14:paraId="7990905B" w14:textId="61A07F44"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8.2.</w:t>
      </w:r>
      <w:r w:rsidR="009C5C0B">
        <w:rPr>
          <w:rFonts w:cs="Arial"/>
          <w:b/>
          <w:bCs/>
          <w:snapToGrid w:val="0"/>
          <w:kern w:val="0"/>
          <w:sz w:val="24"/>
          <w:szCs w:val="24"/>
          <w:lang w:val="en-US" w:eastAsia="zh-CN"/>
        </w:rPr>
        <w:t>3</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510DB6DC" w14:textId="6DECC722" w:rsidR="0079402A" w:rsidRDefault="00B76E77">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take a look at the remaining open issues for </w:t>
      </w:r>
      <w:r w:rsidR="004212E7">
        <w:rPr>
          <w:rFonts w:ascii="Times New Roman" w:hAnsi="Times New Roman"/>
          <w:sz w:val="20"/>
          <w:szCs w:val="20"/>
        </w:rPr>
        <w:t>overall procedure for data transmission for A-IoT</w:t>
      </w:r>
      <w:r>
        <w:rPr>
          <w:rFonts w:ascii="Times New Roman" w:hAnsi="Times New Roman"/>
          <w:sz w:val="20"/>
          <w:szCs w:val="20"/>
        </w:rPr>
        <w:t xml:space="preserve">. </w:t>
      </w:r>
    </w:p>
    <w:p w14:paraId="737FF42A" w14:textId="6C27681D" w:rsidR="009C5C0B" w:rsidRDefault="004212E7" w:rsidP="00EA77A8">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Availability of upper layer data</w:t>
      </w:r>
      <w:r w:rsidR="009C5C0B">
        <w:rPr>
          <w:rFonts w:cs="Arial"/>
          <w:b w:val="0"/>
          <w:bCs w:val="0"/>
          <w:kern w:val="0"/>
          <w:sz w:val="30"/>
          <w:szCs w:val="30"/>
        </w:rPr>
        <w:t xml:space="preserve"> </w:t>
      </w:r>
    </w:p>
    <w:p w14:paraId="6C774FEE" w14:textId="77777777" w:rsidR="00443151" w:rsidRDefault="00790A2F" w:rsidP="005D4F42">
      <w:pPr>
        <w:pStyle w:val="BodyText"/>
        <w:rPr>
          <w:rFonts w:ascii="Times New Roman" w:hAnsi="Times New Roman"/>
          <w:szCs w:val="20"/>
        </w:rPr>
      </w:pPr>
      <w:r>
        <w:rPr>
          <w:rFonts w:ascii="Times New Roman" w:hAnsi="Times New Roman"/>
          <w:szCs w:val="20"/>
        </w:rPr>
        <w:t xml:space="preserve">For ambient IoT devices the write operation takes significantly more energy and in case of passive devices this means that the devices need to accumulate enough charge and perform writing over a </w:t>
      </w:r>
      <w:r w:rsidR="006C326D">
        <w:rPr>
          <w:rFonts w:ascii="Times New Roman" w:hAnsi="Times New Roman"/>
          <w:szCs w:val="20"/>
        </w:rPr>
        <w:t>long period of</w:t>
      </w:r>
      <w:r>
        <w:rPr>
          <w:rFonts w:ascii="Times New Roman" w:hAnsi="Times New Roman"/>
          <w:szCs w:val="20"/>
        </w:rPr>
        <w:t xml:space="preserve"> time. Thus, completion of write operation within a well-defined period of time is not guaranteed. One open question is then whether RAN2 should define </w:t>
      </w:r>
      <w:r w:rsidR="002C604C">
        <w:rPr>
          <w:rFonts w:ascii="Times New Roman" w:hAnsi="Times New Roman"/>
          <w:szCs w:val="20"/>
        </w:rPr>
        <w:t xml:space="preserve">any procedures to capture the write response which may be generated only after successfully completing the overall write procedure. An LS was sent to CT1 asking to solve this problem at upper layers. </w:t>
      </w:r>
      <w:r w:rsidR="00443151">
        <w:rPr>
          <w:rFonts w:ascii="Times New Roman" w:hAnsi="Times New Roman"/>
          <w:szCs w:val="20"/>
        </w:rPr>
        <w:t xml:space="preserve">Subsequently, it was also agreed that if there is no NAS response available at the time of the scheduled D2R message, then the device can send D2R message with SDU of size zero. This will indicate to the reader that there is no further data pending transmission in D2R direction at this point in time. </w:t>
      </w:r>
    </w:p>
    <w:p w14:paraId="70205B21" w14:textId="3BF3D5EA" w:rsidR="005D4F42" w:rsidRDefault="00443151" w:rsidP="005D4F42">
      <w:pPr>
        <w:pStyle w:val="BodyText"/>
        <w:rPr>
          <w:rFonts w:ascii="Times New Roman" w:hAnsi="Times New Roman"/>
          <w:szCs w:val="20"/>
        </w:rPr>
      </w:pPr>
      <w:r w:rsidRPr="00443151">
        <w:rPr>
          <w:rFonts w:ascii="Times New Roman" w:hAnsi="Times New Roman"/>
          <w:szCs w:val="20"/>
        </w:rPr>
        <w:t>If CT1/SA2 confirms that the response from device indicates successful reception of the write command, then there is no issue. On the contrary, if CT1/SA2 confirms that the response from device indicates whether the Write Request was successful as captured in the TS 23.369 instead of successful reception, RAN2 needs to discuss how to handle the delayed NAS response</w:t>
      </w:r>
      <w:r>
        <w:rPr>
          <w:rFonts w:ascii="Times New Roman" w:hAnsi="Times New Roman"/>
          <w:szCs w:val="20"/>
        </w:rPr>
        <w:t xml:space="preserve">. Thus, it is first proposed to wait for CT1/SA2 response before any further action is taken in RAN2 for this issue. </w:t>
      </w:r>
    </w:p>
    <w:p w14:paraId="0ABAD115" w14:textId="5DFFF26A" w:rsidR="00443151" w:rsidRDefault="00443151" w:rsidP="005D4F42">
      <w:pPr>
        <w:pStyle w:val="BodyText"/>
        <w:rPr>
          <w:rFonts w:ascii="Times New Roman" w:hAnsi="Times New Roman"/>
          <w:b/>
          <w:bCs/>
          <w:szCs w:val="20"/>
        </w:rPr>
      </w:pPr>
      <w:r>
        <w:rPr>
          <w:rFonts w:ascii="Times New Roman" w:hAnsi="Times New Roman"/>
          <w:b/>
          <w:bCs/>
          <w:szCs w:val="20"/>
        </w:rPr>
        <w:t>Proposal 1</w:t>
      </w:r>
      <w:r w:rsidR="00E72BA4">
        <w:rPr>
          <w:rFonts w:ascii="Times New Roman" w:hAnsi="Times New Roman"/>
          <w:b/>
          <w:bCs/>
          <w:szCs w:val="20"/>
        </w:rPr>
        <w:t xml:space="preserve"> (Issue 3-7)</w:t>
      </w:r>
      <w:r>
        <w:rPr>
          <w:rFonts w:ascii="Times New Roman" w:hAnsi="Times New Roman"/>
          <w:b/>
          <w:bCs/>
          <w:szCs w:val="20"/>
        </w:rPr>
        <w:t xml:space="preserve">: RAN2 should wait for CT1/SA2 responses before agreeing any further solutions for the delayed upper layer response for write command. </w:t>
      </w:r>
    </w:p>
    <w:p w14:paraId="41D39BF3" w14:textId="16A3190D" w:rsidR="00443151" w:rsidRDefault="00443151" w:rsidP="005D4F42">
      <w:pPr>
        <w:pStyle w:val="BodyText"/>
        <w:rPr>
          <w:rFonts w:ascii="Times New Roman" w:hAnsi="Times New Roman"/>
          <w:szCs w:val="20"/>
        </w:rPr>
      </w:pPr>
      <w:r>
        <w:rPr>
          <w:rFonts w:ascii="Times New Roman" w:hAnsi="Times New Roman"/>
          <w:szCs w:val="20"/>
        </w:rPr>
        <w:t xml:space="preserve">Then the open question is how to set the “more data indication” field which is a mandatory field, in the MAC header for the case when the upper layer SDU is not available. From the reader perspective, it really doesn’t matter how this bit is set because there is no additional information provided by this bit in case there is the zero sized upper layer SDU included in the MAC PDU. Thus, the setting of the “more data indication” can be left to implementation in this case. </w:t>
      </w:r>
    </w:p>
    <w:p w14:paraId="1BBC01F0" w14:textId="6C910547" w:rsidR="00443151" w:rsidRDefault="00443151" w:rsidP="005D4F42">
      <w:pPr>
        <w:pStyle w:val="BodyText"/>
        <w:rPr>
          <w:rFonts w:ascii="Times New Roman" w:hAnsi="Times New Roman"/>
          <w:b/>
          <w:bCs/>
          <w:szCs w:val="20"/>
        </w:rPr>
      </w:pPr>
      <w:r w:rsidRPr="00443151">
        <w:rPr>
          <w:rFonts w:ascii="Times New Roman" w:hAnsi="Times New Roman"/>
          <w:b/>
          <w:bCs/>
          <w:szCs w:val="20"/>
        </w:rPr>
        <w:t>Proposal 2</w:t>
      </w:r>
      <w:r w:rsidR="00E72BA4">
        <w:rPr>
          <w:rFonts w:ascii="Times New Roman" w:hAnsi="Times New Roman"/>
          <w:b/>
          <w:bCs/>
          <w:szCs w:val="20"/>
        </w:rPr>
        <w:t xml:space="preserve"> (Issue 3-7): </w:t>
      </w:r>
      <w:r w:rsidRPr="00443151">
        <w:rPr>
          <w:rFonts w:ascii="Times New Roman" w:hAnsi="Times New Roman"/>
          <w:b/>
          <w:bCs/>
          <w:szCs w:val="20"/>
        </w:rPr>
        <w:t xml:space="preserve"> The setting of “more data indication” can be left to implementation in case zero</w:t>
      </w:r>
      <w:r w:rsidR="009573B6">
        <w:rPr>
          <w:rFonts w:ascii="Times New Roman" w:hAnsi="Times New Roman"/>
          <w:b/>
          <w:bCs/>
          <w:szCs w:val="20"/>
        </w:rPr>
        <w:t>-</w:t>
      </w:r>
      <w:r w:rsidRPr="00443151">
        <w:rPr>
          <w:rFonts w:ascii="Times New Roman" w:hAnsi="Times New Roman"/>
          <w:b/>
          <w:bCs/>
          <w:szCs w:val="20"/>
        </w:rPr>
        <w:t xml:space="preserve">sized upper layer SDU is included in the MAC PDU. </w:t>
      </w:r>
    </w:p>
    <w:p w14:paraId="1CA103BF" w14:textId="027BDEB4" w:rsidR="00443151" w:rsidRDefault="00443151" w:rsidP="005D4F42">
      <w:pPr>
        <w:pStyle w:val="BodyText"/>
        <w:rPr>
          <w:rFonts w:ascii="Times New Roman" w:hAnsi="Times New Roman"/>
          <w:szCs w:val="20"/>
        </w:rPr>
      </w:pPr>
      <w:r>
        <w:rPr>
          <w:rFonts w:ascii="Times New Roman" w:hAnsi="Times New Roman"/>
          <w:szCs w:val="20"/>
        </w:rPr>
        <w:t xml:space="preserve">If CT1 asks RAN2 to solve this issue then the following </w:t>
      </w:r>
      <w:r w:rsidR="009573B6">
        <w:rPr>
          <w:rFonts w:ascii="Times New Roman" w:hAnsi="Times New Roman"/>
          <w:szCs w:val="20"/>
        </w:rPr>
        <w:t>alternatives</w:t>
      </w:r>
      <w:r>
        <w:rPr>
          <w:rFonts w:ascii="Times New Roman" w:hAnsi="Times New Roman"/>
          <w:szCs w:val="20"/>
        </w:rPr>
        <w:t xml:space="preserve"> can be discussed. </w:t>
      </w:r>
    </w:p>
    <w:p w14:paraId="79DBA967" w14:textId="001D990B" w:rsidR="00443151" w:rsidRPr="009573B6" w:rsidRDefault="009573B6" w:rsidP="005D4F42">
      <w:pPr>
        <w:pStyle w:val="BodyText"/>
        <w:rPr>
          <w:rFonts w:ascii="Times New Roman" w:hAnsi="Times New Roman"/>
          <w:b/>
          <w:bCs/>
          <w:szCs w:val="20"/>
          <w:u w:val="single"/>
        </w:rPr>
      </w:pPr>
      <w:r>
        <w:rPr>
          <w:rFonts w:ascii="Times New Roman" w:hAnsi="Times New Roman"/>
          <w:b/>
          <w:bCs/>
          <w:szCs w:val="20"/>
          <w:u w:val="single"/>
        </w:rPr>
        <w:t>Alt</w:t>
      </w:r>
      <w:r w:rsidR="00443151" w:rsidRPr="009573B6">
        <w:rPr>
          <w:rFonts w:ascii="Times New Roman" w:hAnsi="Times New Roman"/>
          <w:b/>
          <w:bCs/>
          <w:szCs w:val="20"/>
          <w:u w:val="single"/>
        </w:rPr>
        <w:t xml:space="preserve"> 1: </w:t>
      </w:r>
      <w:r w:rsidRPr="009573B6">
        <w:rPr>
          <w:rFonts w:ascii="Times New Roman" w:hAnsi="Times New Roman"/>
          <w:b/>
          <w:bCs/>
          <w:szCs w:val="20"/>
          <w:u w:val="single"/>
        </w:rPr>
        <w:t>Reader indicates the command procedure to be complete without an upper layer payload</w:t>
      </w:r>
    </w:p>
    <w:p w14:paraId="01028E32" w14:textId="420F0335" w:rsidR="009573B6" w:rsidRDefault="009573B6" w:rsidP="005D4F42">
      <w:pPr>
        <w:pStyle w:val="BodyText"/>
        <w:rPr>
          <w:rFonts w:ascii="Times New Roman" w:hAnsi="Times New Roman"/>
          <w:szCs w:val="20"/>
        </w:rPr>
      </w:pPr>
      <w:r>
        <w:rPr>
          <w:rFonts w:ascii="Times New Roman" w:hAnsi="Times New Roman"/>
          <w:szCs w:val="20"/>
        </w:rPr>
        <w:t xml:space="preserve">In this option, it is up to upper layers (e.g. NAS) or the implementation to initiate another procedure (e.g. a read procedure) at a subsequent point in time to obtain the write status of the device. This requires no further changes to RAN2 design but may require some consideration in other groups including RAN3 and CT1 if it is agreed that a 3GPP based solution is needed for this issue. </w:t>
      </w:r>
    </w:p>
    <w:p w14:paraId="1EA2CF52" w14:textId="28FB400B" w:rsidR="009573B6" w:rsidRPr="009573B6" w:rsidRDefault="009573B6" w:rsidP="009573B6">
      <w:pPr>
        <w:pStyle w:val="BodyText"/>
        <w:rPr>
          <w:rFonts w:ascii="Times New Roman" w:hAnsi="Times New Roman"/>
          <w:b/>
          <w:bCs/>
          <w:szCs w:val="20"/>
          <w:u w:val="single"/>
        </w:rPr>
      </w:pPr>
      <w:r>
        <w:rPr>
          <w:rFonts w:ascii="Times New Roman" w:hAnsi="Times New Roman"/>
          <w:b/>
          <w:bCs/>
          <w:szCs w:val="20"/>
          <w:u w:val="single"/>
        </w:rPr>
        <w:t>Alt</w:t>
      </w:r>
      <w:r w:rsidRPr="009573B6">
        <w:rPr>
          <w:rFonts w:ascii="Times New Roman" w:hAnsi="Times New Roman"/>
          <w:b/>
          <w:bCs/>
          <w:szCs w:val="20"/>
          <w:u w:val="single"/>
        </w:rPr>
        <w:t xml:space="preserve"> </w:t>
      </w:r>
      <w:r>
        <w:rPr>
          <w:rFonts w:ascii="Times New Roman" w:hAnsi="Times New Roman"/>
          <w:b/>
          <w:bCs/>
          <w:szCs w:val="20"/>
          <w:u w:val="single"/>
        </w:rPr>
        <w:t>2</w:t>
      </w:r>
      <w:r w:rsidRPr="009573B6">
        <w:rPr>
          <w:rFonts w:ascii="Times New Roman" w:hAnsi="Times New Roman"/>
          <w:b/>
          <w:bCs/>
          <w:szCs w:val="20"/>
          <w:u w:val="single"/>
        </w:rPr>
        <w:t xml:space="preserve">: Reader </w:t>
      </w:r>
      <w:r>
        <w:rPr>
          <w:rFonts w:ascii="Times New Roman" w:hAnsi="Times New Roman"/>
          <w:b/>
          <w:bCs/>
          <w:szCs w:val="20"/>
          <w:u w:val="single"/>
        </w:rPr>
        <w:t>continues scheduling subsequent R2D messages until the device sends a non-zero sized SDU</w:t>
      </w:r>
    </w:p>
    <w:p w14:paraId="66F84E02" w14:textId="3530D912" w:rsidR="009573B6" w:rsidRDefault="009573B6" w:rsidP="009573B6">
      <w:pPr>
        <w:pStyle w:val="BodyText"/>
        <w:rPr>
          <w:rFonts w:ascii="Times New Roman" w:hAnsi="Times New Roman"/>
          <w:szCs w:val="20"/>
        </w:rPr>
      </w:pPr>
      <w:r>
        <w:rPr>
          <w:rFonts w:ascii="Times New Roman" w:hAnsi="Times New Roman"/>
          <w:szCs w:val="20"/>
        </w:rPr>
        <w:t xml:space="preserve">In this option, the reader continues to send further messages in R2D direction until a non-zero sized NAS SDU is obtained in D2R direction. The advantage of this option is that this has no impact to upper layers or RAN3. However, this means that the reader has to wait for an indefinite amount of time for completing the write procedure until the upper layer response is generated in the device. Before agreeing such solution, it would be at least good to understand how long such duration is going to be. In the end using such solution should anyway be left up to reader implementation since the device is always listening to R2D messages and will respond with a command response if and when it is available. </w:t>
      </w:r>
    </w:p>
    <w:p w14:paraId="7594E063" w14:textId="5389E7E7" w:rsidR="009573B6" w:rsidRDefault="001729F0" w:rsidP="009573B6">
      <w:pPr>
        <w:pStyle w:val="BodyText"/>
        <w:rPr>
          <w:rFonts w:ascii="Times New Roman" w:hAnsi="Times New Roman"/>
          <w:szCs w:val="20"/>
        </w:rPr>
      </w:pPr>
      <w:r>
        <w:rPr>
          <w:rFonts w:ascii="Times New Roman" w:hAnsi="Times New Roman"/>
          <w:szCs w:val="20"/>
        </w:rPr>
        <w:t>Thus,</w:t>
      </w:r>
      <w:r w:rsidR="009573B6">
        <w:rPr>
          <w:rFonts w:ascii="Times New Roman" w:hAnsi="Times New Roman"/>
          <w:szCs w:val="20"/>
        </w:rPr>
        <w:t xml:space="preserve"> the following proposal is made: </w:t>
      </w:r>
    </w:p>
    <w:p w14:paraId="7FBF54EF" w14:textId="53491497" w:rsidR="009573B6" w:rsidRPr="001729F0" w:rsidRDefault="001729F0" w:rsidP="009573B6">
      <w:pPr>
        <w:pStyle w:val="BodyText"/>
        <w:rPr>
          <w:rFonts w:ascii="Times New Roman" w:hAnsi="Times New Roman"/>
          <w:b/>
          <w:bCs/>
          <w:szCs w:val="20"/>
        </w:rPr>
      </w:pPr>
      <w:r w:rsidRPr="001729F0">
        <w:rPr>
          <w:rFonts w:ascii="Times New Roman" w:hAnsi="Times New Roman"/>
          <w:b/>
          <w:bCs/>
          <w:szCs w:val="20"/>
        </w:rPr>
        <w:t>Proposal 3</w:t>
      </w:r>
      <w:r w:rsidR="00E72BA4">
        <w:rPr>
          <w:rFonts w:ascii="Times New Roman" w:hAnsi="Times New Roman"/>
          <w:b/>
          <w:bCs/>
          <w:szCs w:val="20"/>
        </w:rPr>
        <w:t xml:space="preserve"> (Issue 3-7): </w:t>
      </w:r>
      <w:r w:rsidRPr="001729F0">
        <w:rPr>
          <w:rFonts w:ascii="Times New Roman" w:hAnsi="Times New Roman"/>
          <w:b/>
          <w:bCs/>
          <w:szCs w:val="20"/>
        </w:rPr>
        <w:t xml:space="preserve">If CT1/SA2 indicate </w:t>
      </w:r>
      <w:r w:rsidR="00F47AE3">
        <w:rPr>
          <w:rFonts w:ascii="Times New Roman" w:hAnsi="Times New Roman"/>
          <w:b/>
          <w:bCs/>
          <w:szCs w:val="20"/>
        </w:rPr>
        <w:t>that</w:t>
      </w:r>
      <w:r w:rsidRPr="001729F0">
        <w:rPr>
          <w:rFonts w:ascii="Times New Roman" w:hAnsi="Times New Roman"/>
          <w:b/>
          <w:bCs/>
          <w:szCs w:val="20"/>
        </w:rPr>
        <w:t xml:space="preserve"> RAN2 should further discuss solutions for this problem, then the following alternatives may be considered: </w:t>
      </w:r>
    </w:p>
    <w:p w14:paraId="6196BBF3" w14:textId="4DC7A801" w:rsidR="001729F0" w:rsidRPr="001729F0" w:rsidRDefault="001729F0" w:rsidP="009573B6">
      <w:pPr>
        <w:pStyle w:val="BodyText"/>
        <w:rPr>
          <w:rFonts w:ascii="Times New Roman" w:hAnsi="Times New Roman"/>
          <w:b/>
          <w:bCs/>
          <w:szCs w:val="20"/>
        </w:rPr>
      </w:pPr>
      <w:r w:rsidRPr="001729F0">
        <w:rPr>
          <w:rFonts w:ascii="Times New Roman" w:hAnsi="Times New Roman"/>
          <w:b/>
          <w:bCs/>
          <w:szCs w:val="20"/>
        </w:rPr>
        <w:t>Alt1: Reader indicates</w:t>
      </w:r>
      <w:r w:rsidR="00F47AE3">
        <w:rPr>
          <w:rFonts w:ascii="Times New Roman" w:hAnsi="Times New Roman"/>
          <w:b/>
          <w:bCs/>
          <w:szCs w:val="20"/>
        </w:rPr>
        <w:t xml:space="preserve"> that</w:t>
      </w:r>
      <w:r w:rsidRPr="001729F0">
        <w:rPr>
          <w:rFonts w:ascii="Times New Roman" w:hAnsi="Times New Roman"/>
          <w:b/>
          <w:bCs/>
          <w:szCs w:val="20"/>
        </w:rPr>
        <w:t xml:space="preserve"> the command procedure </w:t>
      </w:r>
      <w:r w:rsidR="00F47AE3">
        <w:rPr>
          <w:rFonts w:ascii="Times New Roman" w:hAnsi="Times New Roman"/>
          <w:b/>
          <w:bCs/>
          <w:szCs w:val="20"/>
        </w:rPr>
        <w:t>is</w:t>
      </w:r>
      <w:r w:rsidRPr="001729F0">
        <w:rPr>
          <w:rFonts w:ascii="Times New Roman" w:hAnsi="Times New Roman"/>
          <w:b/>
          <w:bCs/>
          <w:szCs w:val="20"/>
        </w:rPr>
        <w:t xml:space="preserve"> complete without an upper layer payload</w:t>
      </w:r>
    </w:p>
    <w:p w14:paraId="4FB96188" w14:textId="2BB87A29" w:rsidR="009573B6" w:rsidRPr="00F47AE3" w:rsidRDefault="001729F0" w:rsidP="005D4F42">
      <w:pPr>
        <w:pStyle w:val="BodyText"/>
        <w:rPr>
          <w:rFonts w:ascii="Times New Roman" w:hAnsi="Times New Roman"/>
          <w:b/>
          <w:bCs/>
          <w:szCs w:val="20"/>
        </w:rPr>
      </w:pPr>
      <w:r w:rsidRPr="001729F0">
        <w:rPr>
          <w:rFonts w:ascii="Times New Roman" w:hAnsi="Times New Roman"/>
          <w:b/>
          <w:bCs/>
          <w:szCs w:val="20"/>
        </w:rPr>
        <w:t>Alt2: Reader continues scheduling subsequent R2D messages until the device sends a non-zero sized SDU</w:t>
      </w:r>
      <w:r w:rsidR="00F47AE3">
        <w:rPr>
          <w:rFonts w:ascii="Times New Roman" w:hAnsi="Times New Roman"/>
          <w:b/>
          <w:bCs/>
          <w:szCs w:val="20"/>
        </w:rPr>
        <w:t xml:space="preserve"> </w:t>
      </w:r>
    </w:p>
    <w:p w14:paraId="279E162D"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30615E9D" w14:textId="77777777" w:rsidR="00DB7553" w:rsidRDefault="00DB7553" w:rsidP="00DB7553">
      <w:pPr>
        <w:pStyle w:val="BodyText"/>
        <w:rPr>
          <w:rFonts w:ascii="Times New Roman" w:hAnsi="Times New Roman"/>
          <w:b/>
          <w:bCs/>
          <w:szCs w:val="20"/>
        </w:rPr>
      </w:pPr>
      <w:r>
        <w:rPr>
          <w:rFonts w:ascii="Times New Roman" w:hAnsi="Times New Roman"/>
          <w:b/>
          <w:bCs/>
          <w:szCs w:val="20"/>
        </w:rPr>
        <w:t xml:space="preserve">Proposal 1 (Issue 3-7): RAN2 should wait for CT1/SA2 responses before agreeing any further solutions for the delayed upper layer response for write command. </w:t>
      </w:r>
    </w:p>
    <w:p w14:paraId="22776B01" w14:textId="77777777" w:rsidR="00DB7553" w:rsidRDefault="00DB7553" w:rsidP="00DB7553">
      <w:pPr>
        <w:pStyle w:val="BodyText"/>
        <w:rPr>
          <w:rFonts w:ascii="Times New Roman" w:hAnsi="Times New Roman"/>
          <w:b/>
          <w:bCs/>
          <w:szCs w:val="20"/>
        </w:rPr>
      </w:pPr>
      <w:r w:rsidRPr="00443151">
        <w:rPr>
          <w:rFonts w:ascii="Times New Roman" w:hAnsi="Times New Roman"/>
          <w:b/>
          <w:bCs/>
          <w:szCs w:val="20"/>
        </w:rPr>
        <w:t>Proposal 2</w:t>
      </w:r>
      <w:r>
        <w:rPr>
          <w:rFonts w:ascii="Times New Roman" w:hAnsi="Times New Roman"/>
          <w:b/>
          <w:bCs/>
          <w:szCs w:val="20"/>
        </w:rPr>
        <w:t xml:space="preserve"> (Issue 3-7): </w:t>
      </w:r>
      <w:r w:rsidRPr="00443151">
        <w:rPr>
          <w:rFonts w:ascii="Times New Roman" w:hAnsi="Times New Roman"/>
          <w:b/>
          <w:bCs/>
          <w:szCs w:val="20"/>
        </w:rPr>
        <w:t xml:space="preserve"> The setting of “more data indication” can be left to implementation in case zero</w:t>
      </w:r>
      <w:r>
        <w:rPr>
          <w:rFonts w:ascii="Times New Roman" w:hAnsi="Times New Roman"/>
          <w:b/>
          <w:bCs/>
          <w:szCs w:val="20"/>
        </w:rPr>
        <w:t>-</w:t>
      </w:r>
      <w:r w:rsidRPr="00443151">
        <w:rPr>
          <w:rFonts w:ascii="Times New Roman" w:hAnsi="Times New Roman"/>
          <w:b/>
          <w:bCs/>
          <w:szCs w:val="20"/>
        </w:rPr>
        <w:t xml:space="preserve">sized upper layer SDU is included in the MAC PDU. </w:t>
      </w:r>
    </w:p>
    <w:p w14:paraId="5A50C128" w14:textId="77777777" w:rsidR="00DB7553" w:rsidRPr="001729F0" w:rsidRDefault="00DB7553" w:rsidP="00DB7553">
      <w:pPr>
        <w:pStyle w:val="BodyText"/>
        <w:rPr>
          <w:rFonts w:ascii="Times New Roman" w:hAnsi="Times New Roman"/>
          <w:b/>
          <w:bCs/>
          <w:szCs w:val="20"/>
        </w:rPr>
      </w:pPr>
      <w:r w:rsidRPr="001729F0">
        <w:rPr>
          <w:rFonts w:ascii="Times New Roman" w:hAnsi="Times New Roman"/>
          <w:b/>
          <w:bCs/>
          <w:szCs w:val="20"/>
        </w:rPr>
        <w:t>Proposal 3</w:t>
      </w:r>
      <w:r>
        <w:rPr>
          <w:rFonts w:ascii="Times New Roman" w:hAnsi="Times New Roman"/>
          <w:b/>
          <w:bCs/>
          <w:szCs w:val="20"/>
        </w:rPr>
        <w:t xml:space="preserve"> (Issue 3-7): </w:t>
      </w:r>
      <w:r w:rsidRPr="001729F0">
        <w:rPr>
          <w:rFonts w:ascii="Times New Roman" w:hAnsi="Times New Roman"/>
          <w:b/>
          <w:bCs/>
          <w:szCs w:val="20"/>
        </w:rPr>
        <w:t xml:space="preserve">If CT1/SA2 indicate </w:t>
      </w:r>
      <w:r>
        <w:rPr>
          <w:rFonts w:ascii="Times New Roman" w:hAnsi="Times New Roman"/>
          <w:b/>
          <w:bCs/>
          <w:szCs w:val="20"/>
        </w:rPr>
        <w:t>that</w:t>
      </w:r>
      <w:r w:rsidRPr="001729F0">
        <w:rPr>
          <w:rFonts w:ascii="Times New Roman" w:hAnsi="Times New Roman"/>
          <w:b/>
          <w:bCs/>
          <w:szCs w:val="20"/>
        </w:rPr>
        <w:t xml:space="preserve"> RAN2 should further discuss solutions for this problem, then the following alternatives may be considered: </w:t>
      </w:r>
    </w:p>
    <w:p w14:paraId="670EF36C" w14:textId="77777777" w:rsidR="00DB7553" w:rsidRPr="001729F0" w:rsidRDefault="00DB7553" w:rsidP="00DB7553">
      <w:pPr>
        <w:pStyle w:val="BodyText"/>
        <w:numPr>
          <w:ilvl w:val="0"/>
          <w:numId w:val="20"/>
        </w:numPr>
        <w:rPr>
          <w:rFonts w:ascii="Times New Roman" w:hAnsi="Times New Roman"/>
          <w:b/>
          <w:bCs/>
          <w:szCs w:val="20"/>
        </w:rPr>
      </w:pPr>
      <w:r w:rsidRPr="001729F0">
        <w:rPr>
          <w:rFonts w:ascii="Times New Roman" w:hAnsi="Times New Roman"/>
          <w:b/>
          <w:bCs/>
          <w:szCs w:val="20"/>
        </w:rPr>
        <w:t>Alt1: Reader indicates</w:t>
      </w:r>
      <w:r>
        <w:rPr>
          <w:rFonts w:ascii="Times New Roman" w:hAnsi="Times New Roman"/>
          <w:b/>
          <w:bCs/>
          <w:szCs w:val="20"/>
        </w:rPr>
        <w:t xml:space="preserve"> that</w:t>
      </w:r>
      <w:r w:rsidRPr="001729F0">
        <w:rPr>
          <w:rFonts w:ascii="Times New Roman" w:hAnsi="Times New Roman"/>
          <w:b/>
          <w:bCs/>
          <w:szCs w:val="20"/>
        </w:rPr>
        <w:t xml:space="preserve"> the command procedure </w:t>
      </w:r>
      <w:r>
        <w:rPr>
          <w:rFonts w:ascii="Times New Roman" w:hAnsi="Times New Roman"/>
          <w:b/>
          <w:bCs/>
          <w:szCs w:val="20"/>
        </w:rPr>
        <w:t>is</w:t>
      </w:r>
      <w:r w:rsidRPr="001729F0">
        <w:rPr>
          <w:rFonts w:ascii="Times New Roman" w:hAnsi="Times New Roman"/>
          <w:b/>
          <w:bCs/>
          <w:szCs w:val="20"/>
        </w:rPr>
        <w:t xml:space="preserve"> complete without an upper layer payload</w:t>
      </w:r>
    </w:p>
    <w:p w14:paraId="439D528C" w14:textId="77777777" w:rsidR="00DB7553" w:rsidRPr="00F47AE3" w:rsidRDefault="00DB7553" w:rsidP="00DB7553">
      <w:pPr>
        <w:pStyle w:val="BodyText"/>
        <w:numPr>
          <w:ilvl w:val="0"/>
          <w:numId w:val="20"/>
        </w:numPr>
        <w:rPr>
          <w:rFonts w:ascii="Times New Roman" w:hAnsi="Times New Roman"/>
          <w:b/>
          <w:bCs/>
          <w:szCs w:val="20"/>
        </w:rPr>
      </w:pPr>
      <w:r w:rsidRPr="001729F0">
        <w:rPr>
          <w:rFonts w:ascii="Times New Roman" w:hAnsi="Times New Roman"/>
          <w:b/>
          <w:bCs/>
          <w:szCs w:val="20"/>
        </w:rPr>
        <w:t>Alt2: Reader continues scheduling subsequent R2D messages until the device sends a non-zero sized SDU</w:t>
      </w:r>
      <w:r>
        <w:rPr>
          <w:rFonts w:ascii="Times New Roman" w:hAnsi="Times New Roman"/>
          <w:b/>
          <w:bCs/>
          <w:szCs w:val="20"/>
        </w:rPr>
        <w:t xml:space="preserve"> </w:t>
      </w:r>
    </w:p>
    <w:p w14:paraId="1762C26F" w14:textId="77777777" w:rsidR="005D7840" w:rsidRPr="007731DC" w:rsidRDefault="005D7840" w:rsidP="00032020">
      <w:pPr>
        <w:pStyle w:val="BodyText"/>
        <w:rPr>
          <w:rFonts w:ascii="Times New Roman" w:hAnsi="Times New Roman"/>
          <w:szCs w:val="20"/>
        </w:rPr>
      </w:pPr>
    </w:p>
    <w:p w14:paraId="12CC7BE2" w14:textId="77777777" w:rsidR="0079402A" w:rsidRDefault="00000000">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4" w:name="_Toc18403976"/>
      <w:bookmarkStart w:id="5" w:name="_Toc18404543"/>
      <w:bookmarkStart w:id="6" w:name="_Toc18413612"/>
      <w:r>
        <w:rPr>
          <w:rFonts w:cs="Arial"/>
          <w:kern w:val="0"/>
          <w:sz w:val="30"/>
          <w:szCs w:val="30"/>
        </w:rPr>
        <w:t>References</w:t>
      </w:r>
      <w:bookmarkEnd w:id="4"/>
      <w:bookmarkEnd w:id="5"/>
      <w:bookmarkEnd w:id="6"/>
    </w:p>
    <w:sectPr w:rsidR="0079402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364A0" w14:textId="77777777" w:rsidR="009B1DFA" w:rsidRDefault="009B1DFA">
      <w:pPr>
        <w:spacing w:line="240" w:lineRule="auto"/>
      </w:pPr>
      <w:r>
        <w:separator/>
      </w:r>
    </w:p>
  </w:endnote>
  <w:endnote w:type="continuationSeparator" w:id="0">
    <w:p w14:paraId="3E236B23" w14:textId="77777777" w:rsidR="009B1DFA" w:rsidRDefault="009B1D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仿宋"/>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E788" w14:textId="77777777" w:rsidR="00DB7553" w:rsidRDefault="00DB75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DD88A" w14:textId="77777777" w:rsidR="009B1DFA" w:rsidRDefault="009B1DFA">
      <w:pPr>
        <w:spacing w:after="0"/>
      </w:pPr>
      <w:r>
        <w:separator/>
      </w:r>
    </w:p>
  </w:footnote>
  <w:footnote w:type="continuationSeparator" w:id="0">
    <w:p w14:paraId="2638C301" w14:textId="77777777" w:rsidR="009B1DFA" w:rsidRDefault="009B1D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9C50" w14:textId="77777777" w:rsidR="00DB7553" w:rsidRDefault="00DB75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A38BC" w14:textId="77777777" w:rsidR="00DB7553" w:rsidRDefault="00DB7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5BED9E4"/>
    <w:multiLevelType w:val="singleLevel"/>
    <w:tmpl w:val="35BED9E4"/>
    <w:lvl w:ilvl="0">
      <w:start w:val="1"/>
      <w:numFmt w:val="decimal"/>
      <w:suff w:val="space"/>
      <w:lvlText w:val="%1."/>
      <w:lvlJc w:val="left"/>
    </w:lvl>
  </w:abstractNum>
  <w:abstractNum w:abstractNumId="8"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4D0651"/>
    <w:multiLevelType w:val="hybridMultilevel"/>
    <w:tmpl w:val="EB12AC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5"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7"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1"/>
  </w:num>
  <w:num w:numId="3" w16cid:durableId="1685787966">
    <w:abstractNumId w:val="5"/>
  </w:num>
  <w:num w:numId="4" w16cid:durableId="1455752493">
    <w:abstractNumId w:val="6"/>
  </w:num>
  <w:num w:numId="5" w16cid:durableId="1893997933">
    <w:abstractNumId w:val="3"/>
  </w:num>
  <w:num w:numId="6" w16cid:durableId="839124300">
    <w:abstractNumId w:val="0"/>
  </w:num>
  <w:num w:numId="7" w16cid:durableId="1150900980">
    <w:abstractNumId w:val="7"/>
  </w:num>
  <w:num w:numId="8" w16cid:durableId="1562523887">
    <w:abstractNumId w:val="2"/>
  </w:num>
  <w:num w:numId="9" w16cid:durableId="1095901547">
    <w:abstractNumId w:val="18"/>
  </w:num>
  <w:num w:numId="10" w16cid:durableId="1874883967">
    <w:abstractNumId w:val="10"/>
  </w:num>
  <w:num w:numId="11" w16cid:durableId="990524288">
    <w:abstractNumId w:val="17"/>
  </w:num>
  <w:num w:numId="12" w16cid:durableId="1977949854">
    <w:abstractNumId w:val="4"/>
  </w:num>
  <w:num w:numId="13" w16cid:durableId="517738882">
    <w:abstractNumId w:val="16"/>
  </w:num>
  <w:num w:numId="14" w16cid:durableId="1870602710">
    <w:abstractNumId w:val="12"/>
  </w:num>
  <w:num w:numId="15" w16cid:durableId="32194999">
    <w:abstractNumId w:val="14"/>
  </w:num>
  <w:num w:numId="16" w16cid:durableId="1623998751">
    <w:abstractNumId w:val="13"/>
  </w:num>
  <w:num w:numId="17" w16cid:durableId="1626961286">
    <w:abstractNumId w:val="19"/>
  </w:num>
  <w:num w:numId="18" w16cid:durableId="902760601">
    <w:abstractNumId w:val="8"/>
  </w:num>
  <w:num w:numId="19" w16cid:durableId="1082681066">
    <w:abstractNumId w:val="15"/>
  </w:num>
  <w:num w:numId="20" w16cid:durableId="552935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12D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6DEA"/>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29F0"/>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277E9"/>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04C"/>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2E7"/>
    <w:rsid w:val="004214B5"/>
    <w:rsid w:val="004228A3"/>
    <w:rsid w:val="004229AC"/>
    <w:rsid w:val="00422C27"/>
    <w:rsid w:val="00423A4B"/>
    <w:rsid w:val="00423D3B"/>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151"/>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00"/>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BC9"/>
    <w:rsid w:val="006C2D21"/>
    <w:rsid w:val="006C326D"/>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5F2E"/>
    <w:rsid w:val="00787A57"/>
    <w:rsid w:val="00787A99"/>
    <w:rsid w:val="00787B7D"/>
    <w:rsid w:val="00790A2F"/>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3546"/>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3B6"/>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7EE"/>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DFA"/>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0DD2"/>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2DC8"/>
    <w:rsid w:val="00C43809"/>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76C"/>
    <w:rsid w:val="00D77EA3"/>
    <w:rsid w:val="00D800F9"/>
    <w:rsid w:val="00D806A3"/>
    <w:rsid w:val="00D80A7F"/>
    <w:rsid w:val="00D8151D"/>
    <w:rsid w:val="00D8160C"/>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553"/>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1BBC"/>
    <w:rsid w:val="00DE2CFF"/>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2BA4"/>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66A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AE3"/>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2113-01-01T16:00:00Z</cp:lastPrinted>
  <dcterms:created xsi:type="dcterms:W3CDTF">2025-08-12T14:36:00Z</dcterms:created>
  <dcterms:modified xsi:type="dcterms:W3CDTF">2025-08-14T11:44:00Z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