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30</w:t>
      </w:r>
      <w:r>
        <w:rPr>
          <w:rFonts w:hint="eastAsia" w:ascii="Arial" w:hAnsi="Arial" w:eastAsia="宋体" w:cs="Times New Roman"/>
          <w:b/>
          <w:sz w:val="24"/>
          <w:szCs w:val="24"/>
          <w:lang w:val="en-US" w:eastAsia="zh-CN" w:bidi="ar-SA"/>
        </w:rPr>
        <w:t xml:space="preserve">                              </w:t>
      </w:r>
      <w:bookmarkStart w:id="6" w:name="_GoBack"/>
      <w:bookmarkEnd w:id="6"/>
      <w:r>
        <w:rPr>
          <w:rFonts w:hint="eastAsia" w:ascii="Arial" w:hAnsi="Arial" w:eastAsia="宋体" w:cs="Times New Roman"/>
          <w:b/>
          <w:sz w:val="24"/>
          <w:szCs w:val="24"/>
          <w:lang w:val="en-US" w:eastAsia="zh-CN" w:bidi="ar-SA"/>
        </w:rPr>
        <w:t xml:space="preserve">R2-2504047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St.Julians, Malta, May 19th – 23rd,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uplink capacity enhancement</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eastAsia="Times New Roman" w:cs="Times New Roman"/>
          <w:lang w:val="en-GB" w:eastAsia="ja-JP" w:bidi="ar-SA"/>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RAN2#129b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uplink capacity enhancement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Agreements;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Both SA and DSA are mandatorily supported by UEs supporting CB-msg3-EDT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2.</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We will specify one single procedure to support both DSA and SA, i.e. SA is a special setting (k=1) of the overall procedure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3.</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 xml:space="preserve">For CB-msg3-EDT, the transmission window can be configured by the network with a starting point (e.g. H-SFN offset), a window length, and a window periodicity (window length and periodicity could be the same).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4.</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We don’t introduce support for eMTC CE mode B case (it will not be possible to signal resources to be used for this case)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5.</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We specify support for NB-IoT with 15kHz with no specific enhancements, leaving to NW implementation whether to implement this or not, accepting potential performance degradation.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6.</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If we will decide to support OCC for CB-msg3-EDT, separate resources will be used for non-OCC and OCC based transmission.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7.</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The start of CB-msg3 EDT transmission window is aligned with the start of time domain (N)PUSCH resource.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8.</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The CB-msg3 EDT transmission window length and periodicity may be different. FFS on possible signalling optimization in case the length and periodicity are the same.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9.</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RAN2 assumes power ramping should be supported for CB-msg3-EDT (for both eMTC and NB-IoT) should be supported and will ask RAN1 for confirmation and in case which parameters should apply</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(CB-Msg3-EDT configuration for eMTC)</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10.</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eMTC, introduce a new IE (e.g. CB-Msg3-ConfigSIB-r19) for shared resources configuration of CB-Msg3 in SIB2.</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11.</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eMTC, introduce MPDCCH configuration in shared resources configuration. The fields in IE PUR-MPDCCH-Config-r16 could be reused as baseline. Confirm with RAN1 on the detail parameters (e.g. whether additional narrow band is needed).</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12.</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We will not support TDD related parameters.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13.</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14.</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eMTC, check with RAN1 if anything is needed for PDSCH configuration in shared resources configuration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15.</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eMTC, introduce PUCCH configuration in shared resources configuration. The fields in IE PUR-PUCCH-Config-r16 could be reused as baseline. Confirm with RAN1 on the detail parameters.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(CB-Msg3 configuration for NB-IoT)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16.</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NB-IoT, introduce a new IE (e.g. CB-Msg3-ConfigSIB-NB-r19) for shared resources configuration of CB-Msg3 in SIB2-NB and SIB22-NB for non-anchor carrier.</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17.</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 xml:space="preserve">For NB-IoT, introduce below physical layer parameters in shared resources configuration as below: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Number of resource units for NPUSCH (as in npusch-NumRUsIndex-r16)</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Number of repetitions for NPUSCH (as in npusch-NumRepetitionsIndex-r16)</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Set of subcarriers (similar to npusch-SubCarrierSetIndex but change it to a “set”), FFS whether subcarriers are provided as a contiguous set.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 xml:space="preserve">MCS configuration for NPUSCH (as in npusch-MCS-r16).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PDCCH parameters (as in NPDCCH-ConfigDedicated-NB-r13)</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The non-anchor carrier index for monitoring Msg4. If this field is absent, anchor carrier is assumed to be used.</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NOTE: confirm with RAN1 is needed</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18.</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For NB-IoT, FFS whether periodicity of CB-Msg3 resource may be larger than H-SFN duration</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Agreements (part 2):</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1.</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 xml:space="preserve">For CB-msg3-EDT we adopt a Single Msg4 monitoring window and Single RNTI (the RNTI is derived on the transmit resource for the transmission window).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2.</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The lengths of the Msg3 transmission and Msg4 monitoring windows are configured by the network (in case of k=1 it will be possible to configure the parameters in a way to have the same behaviour as for normal Random Access procedure)</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3.</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The Msg4 monitoring starts at the end of CB-Msg3-EDT transmission window plus UE-eNB RTT (FFS NW/UE processing time is needed or not).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hint="eastAsia" w:ascii="Arial" w:hAnsi="Arial" w:eastAsia="Times New Roman" w:cs="Times New Roman"/>
          <w:lang w:val="en-GB" w:eastAsia="ja-JP" w:bidi="ar-SA"/>
        </w:rPr>
        <w:t>4.</w:t>
      </w:r>
      <w:r>
        <w:rPr>
          <w:rFonts w:hint="eastAsia" w:ascii="Arial" w:hAnsi="Arial" w:eastAsia="Times New Roman" w:cs="Times New Roman"/>
          <w:lang w:val="en-GB" w:eastAsia="ja-JP" w:bidi="ar-SA"/>
        </w:rPr>
        <w:tab/>
      </w:r>
      <w:r>
        <w:rPr>
          <w:rFonts w:hint="eastAsia" w:ascii="Arial" w:hAnsi="Arial" w:eastAsia="Times New Roman" w:cs="Times New Roman"/>
          <w:lang w:val="en-GB" w:eastAsia="ja-JP" w:bidi="ar-SA"/>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Agreements (part3):</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1.</w:t>
      </w:r>
      <w:r>
        <w:rPr>
          <w:rFonts w:ascii="Arial" w:hAnsi="Arial" w:eastAsia="Times New Roman" w:cs="Times New Roman"/>
          <w:lang w:val="en-GB" w:eastAsia="ja-JP" w:bidi="ar-SA"/>
        </w:rPr>
        <w:tab/>
      </w:r>
      <w:r>
        <w:rPr>
          <w:rFonts w:ascii="Arial" w:hAnsi="Arial" w:eastAsia="Times New Roman" w:cs="Times New Roman"/>
          <w:lang w:val="en-GB" w:eastAsia="ja-JP" w:bidi="ar-SA"/>
        </w:rPr>
        <w:t>The CB-msg3-EDT configuration (e.g., number of replicas, number of time resources and number of frequency resources) is CE level specific.</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2.</w:t>
      </w:r>
      <w:r>
        <w:rPr>
          <w:rFonts w:ascii="Arial" w:hAnsi="Arial" w:eastAsia="Times New Roman" w:cs="Times New Roman"/>
          <w:lang w:val="en-GB" w:eastAsia="ja-JP" w:bidi="ar-SA"/>
        </w:rPr>
        <w:tab/>
      </w:r>
      <w:r>
        <w:rPr>
          <w:rFonts w:ascii="Arial" w:hAnsi="Arial" w:eastAsia="Times New Roman" w:cs="Times New Roman"/>
          <w:lang w:val="en-GB" w:eastAsia="ja-JP" w:bidi="ar-SA"/>
        </w:rPr>
        <w:t>The Msg4 monitoring window configuration (e.g. length) is CE level specific</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3.</w:t>
      </w:r>
      <w:r>
        <w:rPr>
          <w:rFonts w:ascii="Arial" w:hAnsi="Arial" w:eastAsia="Times New Roman" w:cs="Times New Roman"/>
          <w:lang w:val="en-GB" w:eastAsia="ja-JP" w:bidi="ar-SA"/>
        </w:rPr>
        <w:tab/>
      </w:r>
      <w:r>
        <w:rPr>
          <w:rFonts w:ascii="Arial" w:hAnsi="Arial" w:eastAsia="Times New Roman" w:cs="Times New Roman"/>
          <w:lang w:val="en-GB" w:eastAsia="ja-JP" w:bidi="ar-SA"/>
        </w:rPr>
        <w:t>RAN2 confirms the working assumption that one CB-Msg4 can target multiple UEs simultaneously. FFS how the multiplexing is organized.</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4.</w:t>
      </w:r>
      <w:r>
        <w:rPr>
          <w:rFonts w:ascii="Arial" w:hAnsi="Arial" w:eastAsia="Times New Roman" w:cs="Times New Roman"/>
          <w:lang w:val="en-GB" w:eastAsia="ja-JP" w:bidi="ar-SA"/>
        </w:rPr>
        <w:tab/>
      </w:r>
      <w:r>
        <w:rPr>
          <w:rFonts w:ascii="Arial" w:hAnsi="Arial" w:eastAsia="Times New Roman" w:cs="Times New Roman"/>
          <w:lang w:val="en-GB" w:eastAsia="ja-JP" w:bidi="ar-SA"/>
        </w:rPr>
        <w:t>RAN2 confirms that existing UP-EDT and CP-EDT RRC message procedures shall be applicable for CB-Msg3-EDT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For UP solution, after RRCConnectionResumeRequest, network may reply with RRCConnectionResume, RRCConnectionSetup, RRCConnectionRelease and RRCConnectionReject</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ab/>
      </w: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 xml:space="preserve">For CP solution, after RRCEarlyDataRequest, the network can respond with RRCEarlyDataComplete, RRCConnectionSetup or RRCConnectionReject.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5.</w:t>
      </w:r>
      <w:r>
        <w:rPr>
          <w:rFonts w:ascii="Arial" w:hAnsi="Arial" w:eastAsia="Times New Roman" w:cs="Times New Roman"/>
          <w:lang w:val="en-GB" w:eastAsia="ja-JP" w:bidi="ar-SA"/>
        </w:rPr>
        <w:tab/>
      </w:r>
      <w:r>
        <w:rPr>
          <w:rFonts w:ascii="Arial" w:hAnsi="Arial" w:eastAsia="Times New Roman" w:cs="Times New Roman"/>
          <w:lang w:val="en-GB" w:eastAsia="ja-JP" w:bidi="ar-SA"/>
        </w:rPr>
        <w:t>RAN2 also intends to support CB-msg3-EDT for MT cases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6.</w:t>
      </w:r>
      <w:r>
        <w:rPr>
          <w:rFonts w:ascii="Arial" w:hAnsi="Arial" w:eastAsia="Times New Roman" w:cs="Times New Roman"/>
          <w:lang w:val="en-GB" w:eastAsia="ja-JP" w:bidi="ar-SA"/>
        </w:rPr>
        <w:tab/>
      </w:r>
      <w:r>
        <w:rPr>
          <w:rFonts w:ascii="Arial" w:hAnsi="Arial" w:eastAsia="Times New Roman" w:cs="Times New Roman"/>
          <w:lang w:val="en-GB" w:eastAsia="ja-JP" w:bidi="ar-SA"/>
        </w:rPr>
        <w:t>The C-RNTI is included in CB-Msg4 if the UE is expected to receive additional RRC messages or data from the network after CB-Msg4 (FFS how to include the C-RNTI)</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7.</w:t>
      </w:r>
      <w:r>
        <w:rPr>
          <w:rFonts w:ascii="Arial" w:hAnsi="Arial" w:eastAsia="Times New Roman" w:cs="Times New Roman"/>
          <w:lang w:val="en-GB" w:eastAsia="ja-JP" w:bidi="ar-SA"/>
        </w:rPr>
        <w:tab/>
      </w:r>
      <w:r>
        <w:rPr>
          <w:rFonts w:ascii="Arial" w:hAnsi="Arial" w:eastAsia="Times New Roman" w:cs="Times New Roman"/>
          <w:lang w:val="en-GB" w:eastAsia="ja-JP" w:bidi="ar-SA"/>
        </w:rPr>
        <w:t>Introduce a new RNTI (i.e. CB-RNTI) for CB-Msg4 monitoring and CB-Msg3 scrambling. We include this agreement in the LS to RAN1</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8.</w:t>
      </w:r>
      <w:r>
        <w:rPr>
          <w:rFonts w:ascii="Arial" w:hAnsi="Arial" w:eastAsia="Times New Roman" w:cs="Times New Roman"/>
          <w:lang w:val="en-GB" w:eastAsia="ja-JP" w:bidi="ar-SA"/>
        </w:rPr>
        <w:tab/>
      </w:r>
      <w:r>
        <w:rPr>
          <w:rFonts w:ascii="Arial" w:hAnsi="Arial" w:eastAsia="Times New Roman" w:cs="Times New Roman"/>
          <w:lang w:val="en-GB" w:eastAsia="ja-JP" w:bidi="ar-SA"/>
        </w:rPr>
        <w:t>The timing alignment information (FFS reusing TAC MAC-CE) can be included in the CB-Msg4.</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9.</w:t>
      </w:r>
      <w:r>
        <w:rPr>
          <w:rFonts w:ascii="Arial" w:hAnsi="Arial" w:eastAsia="Times New Roman" w:cs="Times New Roman"/>
          <w:lang w:val="en-GB" w:eastAsia="ja-JP" w:bidi="ar-SA"/>
        </w:rPr>
        <w:tab/>
      </w:r>
      <w:r>
        <w:rPr>
          <w:rFonts w:ascii="Arial" w:hAnsi="Arial" w:eastAsia="Times New Roman" w:cs="Times New Roman"/>
          <w:lang w:val="en-GB" w:eastAsia="ja-JP" w:bidi="ar-SA"/>
        </w:rPr>
        <w:t>Parameter for maximum re-attempt number per CE level is introduced and UE can re-attempt in the same CE level due to contention resolution failure until the max re-attempt number has been reached.</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10.</w:t>
      </w:r>
      <w:r>
        <w:rPr>
          <w:rFonts w:ascii="Arial" w:hAnsi="Arial" w:eastAsia="Times New Roman" w:cs="Times New Roman"/>
          <w:lang w:val="en-GB" w:eastAsia="ja-JP" w:bidi="ar-SA"/>
        </w:rPr>
        <w:tab/>
      </w:r>
      <w:r>
        <w:rPr>
          <w:rFonts w:ascii="Arial" w:hAnsi="Arial" w:eastAsia="Times New Roman" w:cs="Times New Roman"/>
          <w:lang w:val="en-GB" w:eastAsia="ja-JP" w:bidi="ar-SA"/>
        </w:rPr>
        <w:t>Backoff information could be included in CB-Msg4.</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zh-CN" w:bidi="ar-SA"/>
        </w:rPr>
      </w:pPr>
      <w:r>
        <w:rPr>
          <w:rFonts w:ascii="Arial" w:hAnsi="Arial" w:eastAsia="Times New Roman" w:cs="Times New Roman"/>
          <w:lang w:val="en-GB" w:eastAsia="zh-CN" w:bidi="ar-SA"/>
        </w:rPr>
        <w:t>11.</w:t>
      </w:r>
      <w:r>
        <w:rPr>
          <w:rFonts w:ascii="Arial" w:hAnsi="Arial" w:eastAsia="Times New Roman" w:cs="Times New Roman"/>
          <w:lang w:val="en-GB" w:eastAsia="zh-CN" w:bidi="ar-SA"/>
        </w:rPr>
        <w:tab/>
      </w:r>
      <w:r>
        <w:rPr>
          <w:rFonts w:ascii="Arial" w:hAnsi="Arial" w:eastAsia="Times New Roman" w:cs="Times New Roman"/>
          <w:lang w:val="en-GB" w:eastAsia="zh-CN" w:bidi="ar-SA"/>
        </w:rPr>
        <w:t>L1 ACK as the Msg4 for the CB-Msg3-EDT is not supported.</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hint="eastAsia" w:ascii="Arial" w:hAnsi="Arial" w:eastAsia="Times New Roman" w:cs="Times New Roman"/>
          <w:lang w:val="en-GB" w:eastAsia="ja-JP" w:bidi="ar-SA"/>
        </w:rPr>
      </w:pPr>
      <w:r>
        <w:rPr>
          <w:rFonts w:ascii="Arial" w:hAnsi="Arial" w:eastAsia="Times New Roman" w:cs="Times New Roman"/>
          <w:lang w:val="en-GB" w:eastAsia="zh-CN" w:bidi="ar-SA"/>
        </w:rPr>
        <w:t>12.</w:t>
      </w:r>
      <w:r>
        <w:rPr>
          <w:rFonts w:ascii="Arial" w:hAnsi="Arial" w:eastAsia="Times New Roman" w:cs="Times New Roman"/>
          <w:lang w:val="en-GB" w:eastAsia="zh-CN" w:bidi="ar-SA"/>
        </w:rPr>
        <w:tab/>
      </w:r>
      <w:r>
        <w:rPr>
          <w:rFonts w:ascii="Arial" w:hAnsi="Arial" w:eastAsia="Times New Roman" w:cs="Times New Roman"/>
          <w:lang w:val="en-GB" w:eastAsia="zh-CN" w:bidi="ar-SA"/>
        </w:rPr>
        <w:t>HARQ feedback is adopted to acknowledge Msg4. FFS for the detail (e.g., how the HARQ feedback is used for each response in Msg4 when there is multiplexing in Msg4.).</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w:t>
      </w:r>
      <w:r>
        <w:rPr>
          <w:rFonts w:hint="eastAsia" w:ascii="Arial" w:hAnsi="Arial" w:eastAsia="MS Mincho" w:cs="Arial"/>
          <w:sz w:val="21"/>
          <w:szCs w:val="20"/>
          <w:lang w:val="en-US" w:eastAsia="zh-CN"/>
        </w:rPr>
        <w:t>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Msg4 false alarm</w:t>
      </w:r>
    </w:p>
    <w:p>
      <w:pPr>
        <w:rPr>
          <w:rFonts w:hint="default"/>
          <w:lang w:val="en-US" w:eastAsia="zh-CN"/>
        </w:rPr>
      </w:pPr>
    </w:p>
    <w:p>
      <w:pPr>
        <w:spacing w:line="360" w:lineRule="auto"/>
        <w:rPr>
          <w:rFonts w:hint="default" w:ascii="Arial" w:hAnsi="Arial" w:cs="Arial"/>
          <w:lang w:val="en-US" w:eastAsia="zh-CN"/>
        </w:rPr>
      </w:pPr>
      <w:r>
        <w:rPr>
          <w:rFonts w:hint="default" w:ascii="Arial" w:hAnsi="Arial" w:cs="Arial"/>
          <w:lang w:val="en-US" w:eastAsia="zh-CN"/>
        </w:rPr>
        <w:t>It has been agreed that we will adopt a Single Msg4 monitoring window and Single RNTI(the RNTI is derived on the transmit resource for the transmission window) for CB-Msg3-EDT, the Msg4 monitoring starts at the end of CB-Msg3-EDT transmission window plus UE-eNB RTT and Msg4 can target multiple UEs simultaneously. As the UEs sending the CB-Msg3-EDT replicas in the same transmission window will have to monitoring the same RNTI and the Msg4 may target multiple UEs, the UE has to keep monitoring PDCCH and decoding the corresponding PDSCH before receiving the matched response or the expiring of the monitoring window</w:t>
      </w:r>
      <w:r>
        <w:rPr>
          <w:rFonts w:hint="eastAsia" w:ascii="Arial" w:hAnsi="Arial" w:cs="Arial"/>
          <w:lang w:val="en-US" w:eastAsia="zh-CN"/>
        </w:rPr>
        <w:t>(i.e. Msg4 false alarm)</w:t>
      </w:r>
      <w:r>
        <w:rPr>
          <w:rFonts w:hint="default" w:ascii="Arial" w:hAnsi="Arial" w:cs="Arial"/>
          <w:lang w:val="en-US" w:eastAsia="zh-CN"/>
        </w:rPr>
        <w:t>, which may cause power consumption. From the eNB’s perspective, the eNB have the decoding results of all the shared PUSCH resouces in the transmission window, and the eNB may can’t multiplex all the UE’s response into one Msg4 because of the limited size of Msg4. To reduce UE’s power consumption, eNB can indicate UE whether it needs to decode the corresponding PDSCH. For exapmle, some indication can be included in the DCI to tell UE which shared PUSCH resource’s response is included in the scheduled Msg4, if the UE finds out that the scheduled Msg4 doesn’t include the response corresponding to the shared PUSCH resource the UE sends CB-Msg3-EDT replica, the UE ignores the DCI or skips decoding the corresponding PDSCH.</w:t>
      </w:r>
      <w:r>
        <w:rPr>
          <w:rFonts w:hint="eastAsia" w:ascii="Arial" w:hAnsi="Arial" w:cs="Arial"/>
          <w:lang w:val="en-US" w:eastAsia="zh-CN"/>
        </w:rPr>
        <w:t xml:space="preserve"> Moreover, if the eNB finds out that there are no more response to be send(e.g. all shared PUSCH resources in the transmission window are decoded failure), the eNB can indicate UE to stop the </w:t>
      </w:r>
      <w:r>
        <w:rPr>
          <w:rFonts w:hint="default" w:ascii="Arial" w:hAnsi="Arial" w:cs="Arial"/>
          <w:lang w:val="en-US" w:eastAsia="zh-CN"/>
        </w:rPr>
        <w:t xml:space="preserve">Msg4 monitoring window </w:t>
      </w:r>
      <w:r>
        <w:rPr>
          <w:rFonts w:hint="eastAsia" w:ascii="Arial" w:hAnsi="Arial" w:cs="Arial"/>
          <w:lang w:val="en-US" w:eastAsia="zh-CN"/>
        </w:rPr>
        <w:t>for power saving.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which shared PUSCH resource</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s response is included in the scheduled Msg4, if the UE finds out that the scheduled Msg4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include the response corresponding to the shared PUSCH resource the UE sends CB-Msg3-EDT replica, the UE ignores the DCI or skips decoding the corresponding PDSCH.</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to stop the Msg4 monitoring window.</w:t>
      </w:r>
    </w:p>
    <w:p>
      <w:pPr>
        <w:pStyle w:val="3"/>
        <w:rPr>
          <w:rFonts w:hint="eastAsia" w:ascii="Arial" w:hAnsi="Arial" w:eastAsia="MS Mincho" w:cs="Arial"/>
          <w:b/>
          <w:bCs/>
          <w:iCs/>
          <w:kern w:val="32"/>
          <w:sz w:val="28"/>
          <w:szCs w:val="28"/>
          <w:lang w:val="en-US" w:eastAsia="zh-CN"/>
        </w:rPr>
      </w:pPr>
      <w:r>
        <w:rPr>
          <w:rFonts w:hint="eastAsia" w:ascii="Arial" w:hAnsi="Arial" w:eastAsia="MS Mincho" w:cs="Arial"/>
          <w:b/>
          <w:bCs/>
          <w:iCs/>
          <w:kern w:val="32"/>
          <w:sz w:val="28"/>
          <w:szCs w:val="28"/>
          <w:lang w:val="en-US" w:eastAsia="zh-CN"/>
        </w:rPr>
        <w:t>Failure handling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In last meeting it has agreed that there will be two RSRP thresholds for NB-IoT for the three CE levels and three RSRP thresholds for eMTC for the four CE levels, the UE selects the CE level based on the RSRP threshold. In the legacy RACH procedure there will be CE level increase after consecutive transmission failures, this is reasonable for failures caused by RF condition as higher CE level has higher repetition number which increases the transmission success rate. However, as the CB-Msg3 resources are shared between UEs and the change of RSRP is not obvious in NTN, it means the UEs may more likely select the same CE level and the failure may more likely caused by resource collision. So if the CE level increase mechanism is considered for CB-Msg3, it has to distinguish the consecutive failure reason. If the consecutive failures are mainly caused by RF condition, the UE increase the CE level to have another try, how to distinguish whether the consecutive failures are mainly caused by RF condition or resource collision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bCs w:val="0"/>
          <w:sz w:val="20"/>
          <w:szCs w:val="20"/>
          <w:lang w:val="en-US" w:eastAsia="zh-CN"/>
        </w:rPr>
        <w:t>Proposal 3</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the CE level increase mechanism can be considered for CB-Msg3, if the consecutive failures are mainly caused by RF condition,the UE can increase CE level, how to distinguish the failure causes can be FFS</w:t>
      </w:r>
      <w:r>
        <w:rPr>
          <w:rFonts w:hint="eastAsia" w:ascii="Arial" w:hAnsi="Arial" w:cs="Arial" w:eastAsiaTheme="minorEastAsia"/>
          <w:b w:val="0"/>
          <w:bCs/>
          <w:sz w:val="20"/>
          <w:szCs w:val="20"/>
          <w:lang w:val="en-US" w:eastAsia="zh-CN"/>
        </w:rPr>
        <w:t>.</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If the UE has distinguish that the consecutive failures are mainly caused by resource collision, some mechanism can be considered. For example the UE can just fallback to legacy RACH procedure or the UE can adjust the DSA parameters to mitigate collision as the resource collision maybe caused by unreasonable DSA parameter or the burst heavy traffic. For example the DSA window length can be increased or the replica number can be reduced, the details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Proposal 4</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if the consecutive failures are mainly caused by resource collision, the UE can fallback to legacy RACH procedure or adjust the DSA parameters to mitigate collision, the details can be FFS.</w:t>
      </w: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w:t>
      </w:r>
      <w:r>
        <w:rPr>
          <w:rFonts w:hint="eastAsia"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uplink capacity enhancement</w:t>
      </w:r>
      <w:r>
        <w:rPr>
          <w:rFonts w:hint="eastAsia" w:eastAsia="宋体" w:cs="Times New Roman"/>
          <w:color w:val="000000" w:themeColor="text1"/>
          <w:lang w:val="en-US" w:eastAsia="zh-CN"/>
          <w14:textFill>
            <w14:solidFill>
              <w14:schemeClr w14:val="tx1"/>
            </w14:solidFill>
          </w14:textFill>
        </w:rPr>
        <w:t xml:space="preserv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which shared PUSCH resource</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s response is included in the scheduled Msg4, if the UE finds out that the schedulred Msg4 doesn</w:t>
      </w:r>
      <w:r>
        <w:rPr>
          <w:rFonts w:hint="default" w:ascii="Arial" w:hAnsi="Arial" w:cs="Arial" w:eastAsiaTheme="minorEastAsia"/>
          <w:bCs w:val="0"/>
          <w:sz w:val="20"/>
          <w:szCs w:val="20"/>
          <w:lang w:val="en-US" w:eastAsia="zh-CN"/>
        </w:rPr>
        <w:t>’</w:t>
      </w:r>
      <w:r>
        <w:rPr>
          <w:rFonts w:hint="eastAsia" w:ascii="Arial" w:hAnsi="Arial" w:cs="Arial" w:eastAsiaTheme="minorEastAsia"/>
          <w:bCs w:val="0"/>
          <w:sz w:val="20"/>
          <w:szCs w:val="20"/>
          <w:lang w:val="en-US" w:eastAsia="zh-CN"/>
        </w:rPr>
        <w:t>t include the response corresponding to the shared PUSCH resource the UE sends CB-Msg3-EDT replica, the UE ignores the DCI or skips decoding the corresponding PDSCH.</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US" w:eastAsia="zh-CN"/>
        </w:rPr>
        <w:t>Proposal 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An indication can be included in the DCI to tell UE to stop the Msg4 monitoring window.</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0" w:beforeLines="0" w:after="0" w:line="360" w:lineRule="auto"/>
        <w:ind w:leftChars="0"/>
        <w:textAlignment w:val="auto"/>
        <w:rPr>
          <w:rFonts w:hint="eastAsia"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Proposal 3</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the CE level increase mechanism can be considered for CB-Msg3, if the consecutive failures are mainly caused by RF condition,the UE can increase CE level, how to distinguish the failure causes can be FFS.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bCs w:val="0"/>
          <w:sz w:val="20"/>
          <w:szCs w:val="20"/>
          <w:lang w:val="en-US" w:eastAsia="zh-CN"/>
        </w:rPr>
      </w:pPr>
      <w:r>
        <w:rPr>
          <w:rFonts w:hint="eastAsia" w:ascii="Arial" w:hAnsi="Arial" w:cs="Arial" w:eastAsiaTheme="minorEastAsia"/>
          <w:b/>
          <w:bCs w:val="0"/>
          <w:sz w:val="20"/>
          <w:szCs w:val="20"/>
          <w:lang w:val="en-US" w:eastAsia="zh-CN"/>
        </w:rPr>
        <w:t>Proposal 4</w:t>
      </w:r>
      <w:r>
        <w:rPr>
          <w:rFonts w:hint="eastAsia" w:ascii="Arial" w:hAnsi="Arial" w:cs="Arial" w:eastAsiaTheme="minorEastAsia"/>
          <w:b/>
          <w:bCs w:val="0"/>
          <w:sz w:val="20"/>
          <w:szCs w:val="20"/>
          <w:lang w:val="en-GB" w:eastAsia="zh-CN"/>
        </w:rPr>
        <w:t>:</w:t>
      </w:r>
      <w:r>
        <w:rPr>
          <w:rFonts w:hint="eastAsia" w:ascii="Arial" w:hAnsi="Arial" w:cs="Arial" w:eastAsiaTheme="minorEastAsia"/>
          <w:b/>
          <w:bCs w:val="0"/>
          <w:sz w:val="20"/>
          <w:szCs w:val="20"/>
          <w:lang w:val="en-US" w:eastAsia="zh-CN"/>
        </w:rPr>
        <w:t xml:space="preserve"> if the consecutive failures are mainly caused by resource collision, the UE can fallback to legacy RACH procedure or adjust the DSA parameters to mitigate collision, the details can be FFS.</w:t>
      </w:r>
    </w:p>
    <w:p>
      <w:pPr>
        <w:pStyle w:val="2"/>
        <w:keepLines/>
        <w:pBdr>
          <w:top w:val="single" w:color="auto" w:sz="12" w:space="3"/>
        </w:pBdr>
        <w:spacing w:before="240" w:after="180"/>
        <w:ind w:left="425" w:hanging="425"/>
        <w:jc w:val="both"/>
      </w:pPr>
      <w:bookmarkStart w:id="1" w:name="OLE_LINK48"/>
      <w:bookmarkStart w:id="2" w:name="OLE_LINK58"/>
      <w:bookmarkStart w:id="3" w:name="OLE_LINK60"/>
      <w:bookmarkStart w:id="4" w:name="OLE_LINK59"/>
      <w:bookmarkStart w:id="5" w:name="OLE_LINK47"/>
      <w:r>
        <w:t>Reference</w:t>
      </w:r>
      <w:bookmarkEnd w:id="1"/>
      <w:bookmarkEnd w:id="2"/>
      <w:bookmarkEnd w:id="3"/>
      <w:bookmarkEnd w:id="4"/>
      <w:bookmarkEnd w:id="5"/>
    </w:p>
    <w:p>
      <w:pPr>
        <w:pStyle w:val="11"/>
        <w:numPr>
          <w:ilvl w:val="0"/>
          <w:numId w:val="6"/>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Draft_RAN2_129bis_Meeting_Report_v2</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D651F3"/>
    <w:rsid w:val="026A5194"/>
    <w:rsid w:val="02706DE2"/>
    <w:rsid w:val="02DB6612"/>
    <w:rsid w:val="0304423A"/>
    <w:rsid w:val="030F2DBB"/>
    <w:rsid w:val="031A7915"/>
    <w:rsid w:val="035F60CC"/>
    <w:rsid w:val="03F47970"/>
    <w:rsid w:val="04044F9A"/>
    <w:rsid w:val="04603C0A"/>
    <w:rsid w:val="050C0141"/>
    <w:rsid w:val="0590487E"/>
    <w:rsid w:val="05C11854"/>
    <w:rsid w:val="06510970"/>
    <w:rsid w:val="06797CD3"/>
    <w:rsid w:val="06A00757"/>
    <w:rsid w:val="06B709CF"/>
    <w:rsid w:val="06DF7E6D"/>
    <w:rsid w:val="06FF294D"/>
    <w:rsid w:val="07331E25"/>
    <w:rsid w:val="07752096"/>
    <w:rsid w:val="07EF5BD4"/>
    <w:rsid w:val="082F6FF7"/>
    <w:rsid w:val="08415DB4"/>
    <w:rsid w:val="08454AB2"/>
    <w:rsid w:val="084C139F"/>
    <w:rsid w:val="08A22A43"/>
    <w:rsid w:val="094D21CC"/>
    <w:rsid w:val="0A6D15CC"/>
    <w:rsid w:val="0D860A22"/>
    <w:rsid w:val="0DD2564C"/>
    <w:rsid w:val="0F417E38"/>
    <w:rsid w:val="0F6840A4"/>
    <w:rsid w:val="0F9D7474"/>
    <w:rsid w:val="0FC2310E"/>
    <w:rsid w:val="103C0B3D"/>
    <w:rsid w:val="105B4363"/>
    <w:rsid w:val="108123D4"/>
    <w:rsid w:val="10AD2D6E"/>
    <w:rsid w:val="10C66D19"/>
    <w:rsid w:val="11D50053"/>
    <w:rsid w:val="12105415"/>
    <w:rsid w:val="126256E5"/>
    <w:rsid w:val="12BE746C"/>
    <w:rsid w:val="132B45C8"/>
    <w:rsid w:val="145B124E"/>
    <w:rsid w:val="147A52C8"/>
    <w:rsid w:val="14926ED8"/>
    <w:rsid w:val="15215CC8"/>
    <w:rsid w:val="15242CCD"/>
    <w:rsid w:val="15462052"/>
    <w:rsid w:val="15DE1242"/>
    <w:rsid w:val="166C39B7"/>
    <w:rsid w:val="16AA6D34"/>
    <w:rsid w:val="16E91472"/>
    <w:rsid w:val="176647AC"/>
    <w:rsid w:val="179A1B0C"/>
    <w:rsid w:val="198E0015"/>
    <w:rsid w:val="1AB17D6E"/>
    <w:rsid w:val="1ABB6560"/>
    <w:rsid w:val="1B445D6E"/>
    <w:rsid w:val="1B59397D"/>
    <w:rsid w:val="1BA10850"/>
    <w:rsid w:val="1BA75823"/>
    <w:rsid w:val="1C7B4CA3"/>
    <w:rsid w:val="1CA1384F"/>
    <w:rsid w:val="1E0B7CB6"/>
    <w:rsid w:val="1E523033"/>
    <w:rsid w:val="1E6A7BDD"/>
    <w:rsid w:val="1F045CEA"/>
    <w:rsid w:val="1F122966"/>
    <w:rsid w:val="1F2C7D23"/>
    <w:rsid w:val="1FAF7026"/>
    <w:rsid w:val="1FC52E19"/>
    <w:rsid w:val="20462FD7"/>
    <w:rsid w:val="20601317"/>
    <w:rsid w:val="21CD368A"/>
    <w:rsid w:val="221016C7"/>
    <w:rsid w:val="228D678C"/>
    <w:rsid w:val="22A27F45"/>
    <w:rsid w:val="22AC3DD3"/>
    <w:rsid w:val="23967BC1"/>
    <w:rsid w:val="23BF020B"/>
    <w:rsid w:val="24805F2B"/>
    <w:rsid w:val="24966A58"/>
    <w:rsid w:val="24E86231"/>
    <w:rsid w:val="26131534"/>
    <w:rsid w:val="26672625"/>
    <w:rsid w:val="26F53B52"/>
    <w:rsid w:val="273C2AE6"/>
    <w:rsid w:val="27487239"/>
    <w:rsid w:val="27E9536C"/>
    <w:rsid w:val="2809782E"/>
    <w:rsid w:val="282B7F1A"/>
    <w:rsid w:val="282E6418"/>
    <w:rsid w:val="284C12BD"/>
    <w:rsid w:val="28514B4F"/>
    <w:rsid w:val="2A696F42"/>
    <w:rsid w:val="2BC97744"/>
    <w:rsid w:val="2BDF7690"/>
    <w:rsid w:val="2C167DFF"/>
    <w:rsid w:val="2C5E3FAA"/>
    <w:rsid w:val="2C881EDF"/>
    <w:rsid w:val="2DF85D92"/>
    <w:rsid w:val="2E3E1AA5"/>
    <w:rsid w:val="2E452750"/>
    <w:rsid w:val="2EB13602"/>
    <w:rsid w:val="2F652A33"/>
    <w:rsid w:val="2FE018AF"/>
    <w:rsid w:val="305C4D55"/>
    <w:rsid w:val="308138F8"/>
    <w:rsid w:val="30AD73A5"/>
    <w:rsid w:val="322B0AF9"/>
    <w:rsid w:val="329B7C99"/>
    <w:rsid w:val="32C77F8C"/>
    <w:rsid w:val="32CB387D"/>
    <w:rsid w:val="32D55AB9"/>
    <w:rsid w:val="330E07EF"/>
    <w:rsid w:val="3310192D"/>
    <w:rsid w:val="335B0D8A"/>
    <w:rsid w:val="33B41D34"/>
    <w:rsid w:val="33D37A84"/>
    <w:rsid w:val="33E72CDC"/>
    <w:rsid w:val="33EF0217"/>
    <w:rsid w:val="34F62FB2"/>
    <w:rsid w:val="354766E8"/>
    <w:rsid w:val="35653AE9"/>
    <w:rsid w:val="356754B7"/>
    <w:rsid w:val="35A53430"/>
    <w:rsid w:val="35A57324"/>
    <w:rsid w:val="35E66AD8"/>
    <w:rsid w:val="37426E6E"/>
    <w:rsid w:val="38486C88"/>
    <w:rsid w:val="388B34B6"/>
    <w:rsid w:val="393B37B4"/>
    <w:rsid w:val="39DB56A4"/>
    <w:rsid w:val="3A0E2941"/>
    <w:rsid w:val="3A3A09C6"/>
    <w:rsid w:val="3AED4363"/>
    <w:rsid w:val="3B656647"/>
    <w:rsid w:val="3B8D13D0"/>
    <w:rsid w:val="3B957525"/>
    <w:rsid w:val="3BE514B4"/>
    <w:rsid w:val="3C7A0817"/>
    <w:rsid w:val="3CBF641E"/>
    <w:rsid w:val="3CD70242"/>
    <w:rsid w:val="3E2248D8"/>
    <w:rsid w:val="3FE0616F"/>
    <w:rsid w:val="4016756E"/>
    <w:rsid w:val="40973E49"/>
    <w:rsid w:val="40E05B05"/>
    <w:rsid w:val="40E10F3E"/>
    <w:rsid w:val="41D14C1D"/>
    <w:rsid w:val="42353253"/>
    <w:rsid w:val="425B5EB0"/>
    <w:rsid w:val="42F46F0D"/>
    <w:rsid w:val="42FD4C37"/>
    <w:rsid w:val="435F628D"/>
    <w:rsid w:val="45B063D8"/>
    <w:rsid w:val="46682B04"/>
    <w:rsid w:val="470C53DE"/>
    <w:rsid w:val="472A0332"/>
    <w:rsid w:val="476C65BD"/>
    <w:rsid w:val="4779366F"/>
    <w:rsid w:val="47C16086"/>
    <w:rsid w:val="47C512EE"/>
    <w:rsid w:val="47EC7853"/>
    <w:rsid w:val="48136031"/>
    <w:rsid w:val="482B0659"/>
    <w:rsid w:val="487E4912"/>
    <w:rsid w:val="48B061A5"/>
    <w:rsid w:val="48F165EB"/>
    <w:rsid w:val="49D966E1"/>
    <w:rsid w:val="49F62F33"/>
    <w:rsid w:val="4A0A51AC"/>
    <w:rsid w:val="4A736A5C"/>
    <w:rsid w:val="4A870271"/>
    <w:rsid w:val="4B5667E1"/>
    <w:rsid w:val="4BBE0820"/>
    <w:rsid w:val="4BD9044D"/>
    <w:rsid w:val="4C8A48AA"/>
    <w:rsid w:val="4CDB457B"/>
    <w:rsid w:val="4D5702DE"/>
    <w:rsid w:val="4D8917CF"/>
    <w:rsid w:val="4E322A5A"/>
    <w:rsid w:val="4E904FB1"/>
    <w:rsid w:val="4EFC5EF9"/>
    <w:rsid w:val="4F1F0E61"/>
    <w:rsid w:val="4FB27051"/>
    <w:rsid w:val="4FCA1B2C"/>
    <w:rsid w:val="509343CA"/>
    <w:rsid w:val="51951B3D"/>
    <w:rsid w:val="5215436D"/>
    <w:rsid w:val="53DC0DCE"/>
    <w:rsid w:val="5486183B"/>
    <w:rsid w:val="54BF0AED"/>
    <w:rsid w:val="55EB6E4E"/>
    <w:rsid w:val="561B49FC"/>
    <w:rsid w:val="56561485"/>
    <w:rsid w:val="58196C7F"/>
    <w:rsid w:val="59852DB4"/>
    <w:rsid w:val="5A0B344B"/>
    <w:rsid w:val="5C0031E7"/>
    <w:rsid w:val="5C0111E3"/>
    <w:rsid w:val="5C481980"/>
    <w:rsid w:val="5CEE0CA7"/>
    <w:rsid w:val="5D474464"/>
    <w:rsid w:val="5DB939F7"/>
    <w:rsid w:val="5EE9029B"/>
    <w:rsid w:val="5F7C0711"/>
    <w:rsid w:val="5FEF6ACE"/>
    <w:rsid w:val="60686D13"/>
    <w:rsid w:val="60B34005"/>
    <w:rsid w:val="60E953AA"/>
    <w:rsid w:val="61223B22"/>
    <w:rsid w:val="613F2B4E"/>
    <w:rsid w:val="614420B6"/>
    <w:rsid w:val="61483DCA"/>
    <w:rsid w:val="616A23BB"/>
    <w:rsid w:val="61786A80"/>
    <w:rsid w:val="61BA59D1"/>
    <w:rsid w:val="61DC00C2"/>
    <w:rsid w:val="62590312"/>
    <w:rsid w:val="62815194"/>
    <w:rsid w:val="62BD5600"/>
    <w:rsid w:val="630A7F69"/>
    <w:rsid w:val="633A173E"/>
    <w:rsid w:val="63E1421B"/>
    <w:rsid w:val="64034EA4"/>
    <w:rsid w:val="64C862AF"/>
    <w:rsid w:val="65184C81"/>
    <w:rsid w:val="651923CA"/>
    <w:rsid w:val="656D337B"/>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FD25CC"/>
    <w:rsid w:val="6A9D7635"/>
    <w:rsid w:val="6AA04556"/>
    <w:rsid w:val="6ABC46FD"/>
    <w:rsid w:val="6AF42729"/>
    <w:rsid w:val="6B363329"/>
    <w:rsid w:val="6B8D221A"/>
    <w:rsid w:val="6BAD1D2D"/>
    <w:rsid w:val="6BBB6ACB"/>
    <w:rsid w:val="6BF4272A"/>
    <w:rsid w:val="6C060A5C"/>
    <w:rsid w:val="6C750DEF"/>
    <w:rsid w:val="6CE858CE"/>
    <w:rsid w:val="6D16046B"/>
    <w:rsid w:val="6D8E2554"/>
    <w:rsid w:val="6D9A5E61"/>
    <w:rsid w:val="6E0D1FE7"/>
    <w:rsid w:val="6E154221"/>
    <w:rsid w:val="6F115FFC"/>
    <w:rsid w:val="6F740CE2"/>
    <w:rsid w:val="70123D3A"/>
    <w:rsid w:val="70436DC4"/>
    <w:rsid w:val="7055318F"/>
    <w:rsid w:val="70871801"/>
    <w:rsid w:val="71314C8A"/>
    <w:rsid w:val="71B9201A"/>
    <w:rsid w:val="721B250C"/>
    <w:rsid w:val="72402019"/>
    <w:rsid w:val="726111DF"/>
    <w:rsid w:val="727A4FD4"/>
    <w:rsid w:val="72806935"/>
    <w:rsid w:val="731D23A2"/>
    <w:rsid w:val="73707DE3"/>
    <w:rsid w:val="74201914"/>
    <w:rsid w:val="742D63FB"/>
    <w:rsid w:val="745C718B"/>
    <w:rsid w:val="74F97BE7"/>
    <w:rsid w:val="75372E17"/>
    <w:rsid w:val="76700534"/>
    <w:rsid w:val="76A345D7"/>
    <w:rsid w:val="77230C1C"/>
    <w:rsid w:val="77685D20"/>
    <w:rsid w:val="77760276"/>
    <w:rsid w:val="78911E34"/>
    <w:rsid w:val="78DB6A34"/>
    <w:rsid w:val="7A145066"/>
    <w:rsid w:val="7A4B5FBA"/>
    <w:rsid w:val="7A5E174B"/>
    <w:rsid w:val="7A9C4D88"/>
    <w:rsid w:val="7A9C7192"/>
    <w:rsid w:val="7AAB7979"/>
    <w:rsid w:val="7B826359"/>
    <w:rsid w:val="7BF20CB4"/>
    <w:rsid w:val="7C330D5B"/>
    <w:rsid w:val="7CB92E75"/>
    <w:rsid w:val="7D197520"/>
    <w:rsid w:val="7D294CE3"/>
    <w:rsid w:val="7D86797B"/>
    <w:rsid w:val="7D8C0969"/>
    <w:rsid w:val="7DF4667A"/>
    <w:rsid w:val="7E436222"/>
    <w:rsid w:val="7EC92764"/>
    <w:rsid w:val="7EED51DC"/>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50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2025-05-08T11:48:03Z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