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5019C644" w:rsidR="006255E7" w:rsidRPr="00DE3FC8" w:rsidRDefault="006255E7" w:rsidP="00F529AE">
      <w:pPr>
        <w:pStyle w:val="3GPPHeader"/>
        <w:spacing w:after="60"/>
        <w:rPr>
          <w:sz w:val="32"/>
          <w:szCs w:val="32"/>
          <w:highlight w:val="yellow"/>
          <w:lang w:val="en-US"/>
        </w:rPr>
      </w:pPr>
      <w:r w:rsidRPr="00DE3FC8">
        <w:rPr>
          <w:lang w:val="en-US"/>
        </w:rPr>
        <w:t>3GPP TSG-RAN WG2 #</w:t>
      </w:r>
      <w:r w:rsidR="00216C17">
        <w:rPr>
          <w:lang w:val="en-US"/>
        </w:rPr>
        <w:t>130</w:t>
      </w:r>
      <w:r w:rsidRPr="00DE3FC8">
        <w:rPr>
          <w:lang w:val="en-US"/>
        </w:rPr>
        <w:tab/>
      </w:r>
      <w:r w:rsidRPr="005863B8">
        <w:rPr>
          <w:szCs w:val="24"/>
          <w:lang w:val="en-US"/>
        </w:rPr>
        <w:t>R2-</w:t>
      </w:r>
      <w:r w:rsidR="00120B7F" w:rsidRPr="005863B8">
        <w:rPr>
          <w:szCs w:val="24"/>
          <w:lang w:val="en-US"/>
        </w:rPr>
        <w:t>2</w:t>
      </w:r>
      <w:r w:rsidR="00E56958" w:rsidRPr="005863B8">
        <w:rPr>
          <w:szCs w:val="24"/>
          <w:lang w:val="en-US"/>
        </w:rPr>
        <w:t>5</w:t>
      </w:r>
      <w:r w:rsidR="00216C17" w:rsidRPr="005863B8">
        <w:rPr>
          <w:szCs w:val="24"/>
          <w:lang w:val="en-US"/>
        </w:rPr>
        <w:t>03479</w:t>
      </w:r>
    </w:p>
    <w:p w14:paraId="5104E0A7" w14:textId="64E1145B" w:rsidR="006255E7" w:rsidRDefault="00216C17" w:rsidP="00F529AE">
      <w:pPr>
        <w:pStyle w:val="CRCoverPage"/>
        <w:jc w:val="both"/>
        <w:outlineLvl w:val="0"/>
        <w:rPr>
          <w:b/>
          <w:noProof/>
          <w:sz w:val="24"/>
        </w:rPr>
      </w:pPr>
      <w:r>
        <w:rPr>
          <w:b/>
          <w:noProof/>
          <w:sz w:val="24"/>
        </w:rPr>
        <w:t>St. Julians</w:t>
      </w:r>
      <w:r w:rsidR="006255E7">
        <w:rPr>
          <w:b/>
          <w:noProof/>
          <w:sz w:val="24"/>
        </w:rPr>
        <w:t xml:space="preserve">, </w:t>
      </w:r>
      <w:r>
        <w:rPr>
          <w:b/>
          <w:noProof/>
          <w:sz w:val="24"/>
        </w:rPr>
        <w:t>Malta</w:t>
      </w:r>
      <w:r w:rsidR="006255E7">
        <w:rPr>
          <w:b/>
          <w:noProof/>
          <w:sz w:val="24"/>
        </w:rPr>
        <w:t xml:space="preserve">, </w:t>
      </w:r>
      <w:r>
        <w:rPr>
          <w:b/>
          <w:noProof/>
          <w:sz w:val="24"/>
        </w:rPr>
        <w:t>19</w:t>
      </w:r>
      <w:r w:rsidR="00E455C2">
        <w:rPr>
          <w:b/>
          <w:noProof/>
          <w:sz w:val="24"/>
        </w:rPr>
        <w:t xml:space="preserve"> – </w:t>
      </w:r>
      <w:r w:rsidR="00144E71">
        <w:rPr>
          <w:b/>
          <w:noProof/>
          <w:sz w:val="24"/>
        </w:rPr>
        <w:t>2</w:t>
      </w:r>
      <w:r>
        <w:rPr>
          <w:b/>
          <w:noProof/>
          <w:sz w:val="24"/>
        </w:rPr>
        <w:t>3</w:t>
      </w:r>
      <w:r w:rsidR="00E455C2">
        <w:rPr>
          <w:b/>
          <w:noProof/>
          <w:sz w:val="24"/>
        </w:rPr>
        <w:t xml:space="preserve"> </w:t>
      </w:r>
      <w:r>
        <w:rPr>
          <w:b/>
          <w:noProof/>
          <w:sz w:val="24"/>
        </w:rPr>
        <w:t>May</w:t>
      </w:r>
      <w:r w:rsidR="00E455C2">
        <w:rPr>
          <w:b/>
          <w:noProof/>
          <w:sz w:val="24"/>
        </w:rPr>
        <w:t xml:space="preserve"> 202</w:t>
      </w:r>
      <w:r w:rsidR="00DC187F">
        <w:rPr>
          <w:b/>
          <w:noProof/>
          <w:sz w:val="24"/>
        </w:rPr>
        <w:t>5</w:t>
      </w:r>
    </w:p>
    <w:p w14:paraId="432B3E09" w14:textId="77777777" w:rsidR="00E90E49" w:rsidRPr="00CE0424" w:rsidRDefault="00E90E49" w:rsidP="00F529AE">
      <w:pPr>
        <w:pStyle w:val="3GPPHeader"/>
      </w:pPr>
    </w:p>
    <w:p w14:paraId="6CF7B12A" w14:textId="756F5361"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216C17">
        <w:rPr>
          <w:sz w:val="22"/>
          <w:szCs w:val="22"/>
        </w:rPr>
        <w:t>8.6.2</w:t>
      </w:r>
    </w:p>
    <w:p w14:paraId="7554868D" w14:textId="1A5C2288" w:rsidR="00E90E49" w:rsidRPr="00CE0424" w:rsidRDefault="003D3C45" w:rsidP="00F529AE">
      <w:pPr>
        <w:pStyle w:val="3GPPHeader"/>
        <w:rPr>
          <w:sz w:val="22"/>
          <w:szCs w:val="22"/>
        </w:rPr>
      </w:pPr>
      <w:r>
        <w:rPr>
          <w:sz w:val="22"/>
          <w:szCs w:val="22"/>
        </w:rPr>
        <w:t>Source:</w:t>
      </w:r>
      <w:r w:rsidR="00E90E49" w:rsidRPr="00CE0424">
        <w:rPr>
          <w:sz w:val="22"/>
          <w:szCs w:val="22"/>
        </w:rPr>
        <w:tab/>
      </w:r>
      <w:r w:rsidR="00E56958">
        <w:rPr>
          <w:sz w:val="22"/>
          <w:szCs w:val="22"/>
        </w:rPr>
        <w:t>MediaTek Inc.</w:t>
      </w:r>
    </w:p>
    <w:p w14:paraId="46BAB773" w14:textId="14B92F7C" w:rsidR="00E90E49" w:rsidRPr="00CE0424" w:rsidRDefault="003D3C45" w:rsidP="00F529AE">
      <w:pPr>
        <w:pStyle w:val="3GPPHeader"/>
        <w:rPr>
          <w:sz w:val="22"/>
          <w:szCs w:val="22"/>
        </w:rPr>
      </w:pPr>
      <w:r w:rsidRPr="00216C17">
        <w:rPr>
          <w:sz w:val="22"/>
          <w:szCs w:val="22"/>
        </w:rPr>
        <w:t>Title:</w:t>
      </w:r>
      <w:r w:rsidR="00E90E49" w:rsidRPr="00216C17">
        <w:rPr>
          <w:sz w:val="22"/>
          <w:szCs w:val="22"/>
        </w:rPr>
        <w:tab/>
      </w:r>
      <w:r w:rsidR="0004201A">
        <w:rPr>
          <w:sz w:val="22"/>
          <w:szCs w:val="22"/>
        </w:rPr>
        <w:t xml:space="preserve">Fast recovery </w:t>
      </w:r>
      <w:r w:rsidR="00C36D9E">
        <w:rPr>
          <w:sz w:val="22"/>
          <w:szCs w:val="22"/>
        </w:rPr>
        <w:t>for</w:t>
      </w:r>
      <w:r w:rsidR="0004201A">
        <w:rPr>
          <w:sz w:val="22"/>
          <w:szCs w:val="22"/>
        </w:rPr>
        <w:t xml:space="preserve"> inter-CU LTM</w:t>
      </w:r>
    </w:p>
    <w:p w14:paraId="54F66550" w14:textId="655D2E98" w:rsidR="00E90E49" w:rsidRPr="0030224D" w:rsidRDefault="00E90E49" w:rsidP="0030224D">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216C17">
        <w:rPr>
          <w:sz w:val="22"/>
          <w:szCs w:val="22"/>
        </w:rPr>
        <w:t xml:space="preserve"> and Decision</w:t>
      </w:r>
    </w:p>
    <w:p w14:paraId="0B9999BD" w14:textId="77777777" w:rsidR="00E90E49" w:rsidRPr="00CE0424" w:rsidRDefault="00230D18" w:rsidP="00F529AE">
      <w:pPr>
        <w:pStyle w:val="Heading1"/>
        <w:jc w:val="both"/>
      </w:pPr>
      <w:r>
        <w:t>1</w:t>
      </w:r>
      <w:r>
        <w:tab/>
      </w:r>
      <w:r w:rsidR="00E90E49" w:rsidRPr="00CE0424">
        <w:t>Introduction</w:t>
      </w:r>
    </w:p>
    <w:p w14:paraId="1EAB9BD0" w14:textId="3BB0338C" w:rsidR="00477768" w:rsidRDefault="00216C17" w:rsidP="00F529AE">
      <w:pPr>
        <w:pStyle w:val="BodyText"/>
      </w:pPr>
      <w:r>
        <w:t xml:space="preserve">During e-mail discussion </w:t>
      </w:r>
      <w:r w:rsidRPr="00216C17">
        <w:t>[POST129b][115][MOB] (Ericsson)</w:t>
      </w:r>
      <w:r>
        <w:t xml:space="preserve">, many comments were given for the 38.331 running CR about fast recovery in inter-CU LTM scenarios, and especially about </w:t>
      </w:r>
      <w:r w:rsidR="0095714E">
        <w:t xml:space="preserve">when </w:t>
      </w:r>
      <w:r>
        <w:t>the UE revert</w:t>
      </w:r>
      <w:r w:rsidR="0095714E">
        <w:t>s</w:t>
      </w:r>
      <w:r>
        <w:t xml:space="preserve"> back to the previous PCell configuration when LTM cell switch fails.</w:t>
      </w:r>
      <w:r w:rsidR="0095714E">
        <w:t xml:space="preserve"> </w:t>
      </w:r>
      <w:r>
        <w:t xml:space="preserve">The CR rapporteur raised an open issue of this topic:  </w:t>
      </w:r>
    </w:p>
    <w:p w14:paraId="055FB74C" w14:textId="358E5D44" w:rsidR="00216C17" w:rsidRPr="00B2047F" w:rsidRDefault="00216C17" w:rsidP="00B2047F">
      <w:pPr>
        <w:ind w:left="567"/>
        <w:rPr>
          <w:rFonts w:ascii="Arial" w:eastAsia="MS Mincho" w:hAnsi="Arial" w:cs="Arial"/>
          <w:sz w:val="32"/>
          <w:szCs w:val="32"/>
        </w:rPr>
      </w:pPr>
      <w:r w:rsidRPr="00B2047F">
        <w:rPr>
          <w:rFonts w:ascii="Arial" w:eastAsia="MS Mincho" w:hAnsi="Arial" w:cs="Arial"/>
          <w:sz w:val="32"/>
          <w:szCs w:val="32"/>
        </w:rPr>
        <w:t>2.6</w:t>
      </w:r>
      <w:r w:rsidRPr="00B2047F">
        <w:rPr>
          <w:rFonts w:ascii="Arial" w:eastAsia="MS Mincho" w:hAnsi="Arial" w:cs="Arial"/>
          <w:sz w:val="32"/>
          <w:szCs w:val="32"/>
        </w:rPr>
        <w:tab/>
      </w:r>
      <w:r w:rsidR="00B2047F">
        <w:rPr>
          <w:rFonts w:ascii="Arial" w:eastAsia="MS Mincho" w:hAnsi="Arial" w:cs="Arial"/>
          <w:sz w:val="32"/>
          <w:szCs w:val="32"/>
        </w:rPr>
        <w:t xml:space="preserve">  </w:t>
      </w:r>
      <w:r w:rsidRPr="00B2047F">
        <w:rPr>
          <w:rFonts w:ascii="Arial" w:eastAsia="MS Mincho" w:hAnsi="Arial" w:cs="Arial"/>
          <w:sz w:val="32"/>
          <w:szCs w:val="32"/>
        </w:rPr>
        <w:t>RRC-6</w:t>
      </w:r>
    </w:p>
    <w:p w14:paraId="44078A11" w14:textId="77777777" w:rsidR="00216C17" w:rsidRDefault="00216C17" w:rsidP="00216C17">
      <w:pPr>
        <w:ind w:left="567"/>
        <w:rPr>
          <w:rFonts w:eastAsia="MS Mincho"/>
          <w:i/>
          <w:iCs/>
          <w:color w:val="FF0000"/>
        </w:rPr>
      </w:pPr>
      <w:r>
        <w:rPr>
          <w:i/>
          <w:iCs/>
          <w:color w:val="FF0000"/>
        </w:rPr>
        <w:t>Editor’s Note: FFS on which point in time, for fast recovery, the UE reverts back to the previous PCell configuration.</w:t>
      </w:r>
    </w:p>
    <w:p w14:paraId="70489580" w14:textId="77777777" w:rsidR="00216C17" w:rsidRDefault="00216C17" w:rsidP="00216C17">
      <w:pPr>
        <w:pStyle w:val="BodyText"/>
        <w:ind w:left="567"/>
      </w:pPr>
      <w:r>
        <w:rPr>
          <w:b/>
          <w:bCs/>
        </w:rPr>
        <w:t>Rapporteur comment</w:t>
      </w:r>
      <w:r>
        <w:t>: It is still not crystal clear how the fast recovery procedure would work, and especially when the UE should revert back to the previous PCell configuration. We suggest to discuss this based on companies’ contribution.</w:t>
      </w:r>
    </w:p>
    <w:p w14:paraId="51ACE21E" w14:textId="77777777" w:rsidR="00216C17" w:rsidRDefault="00216C17" w:rsidP="00F529AE">
      <w:pPr>
        <w:pStyle w:val="BodyText"/>
      </w:pPr>
    </w:p>
    <w:p w14:paraId="4D65014A" w14:textId="10E571A7" w:rsidR="00216C17" w:rsidRPr="00CE0424" w:rsidRDefault="00216C17" w:rsidP="00F529AE">
      <w:pPr>
        <w:pStyle w:val="BodyText"/>
      </w:pPr>
      <w:r>
        <w:t xml:space="preserve">In this document, we provide analysis of the current (Rel-18) UE behaviour </w:t>
      </w:r>
      <w:r w:rsidR="00B2047F">
        <w:t xml:space="preserve">for reverting back to the previous PCell configuration </w:t>
      </w:r>
      <w:r>
        <w:t xml:space="preserve">and propose a way how to </w:t>
      </w:r>
      <w:r w:rsidR="00B2047F">
        <w:t>resolve the open issue RRC-6</w:t>
      </w:r>
      <w:r>
        <w:t>.</w:t>
      </w:r>
    </w:p>
    <w:p w14:paraId="2C96BF15" w14:textId="7246A635" w:rsidR="00645D63" w:rsidRDefault="00230D18" w:rsidP="001177BE">
      <w:pPr>
        <w:pStyle w:val="Heading1"/>
        <w:jc w:val="both"/>
      </w:pPr>
      <w:bookmarkStart w:id="0" w:name="_Ref178064866"/>
      <w:r>
        <w:t>2</w:t>
      </w:r>
      <w:r>
        <w:tab/>
      </w:r>
      <w:r w:rsidR="004000E8" w:rsidRPr="00CE0424">
        <w:t>Discussion</w:t>
      </w:r>
      <w:bookmarkEnd w:id="0"/>
    </w:p>
    <w:p w14:paraId="6B18AA83" w14:textId="200D2EB3" w:rsidR="00956273" w:rsidRDefault="00320EE8" w:rsidP="001177BE">
      <w:pPr>
        <w:pStyle w:val="BodyText"/>
      </w:pPr>
      <w:r>
        <w:fldChar w:fldCharType="begin"/>
      </w:r>
      <w:r>
        <w:instrText xml:space="preserve"> REF _Ref197515194 </w:instrText>
      </w:r>
      <w:r>
        <w:fldChar w:fldCharType="separate"/>
      </w:r>
      <w:r w:rsidR="009873B7">
        <w:t xml:space="preserve">Figure </w:t>
      </w:r>
      <w:r w:rsidR="009873B7">
        <w:rPr>
          <w:noProof/>
        </w:rPr>
        <w:t>1</w:t>
      </w:r>
      <w:r>
        <w:fldChar w:fldCharType="end"/>
      </w:r>
      <w:r w:rsidR="00956273">
        <w:t xml:space="preserve"> shows the logic and actions </w:t>
      </w:r>
      <w:r>
        <w:t>from 38.331 V18.5.</w:t>
      </w:r>
      <w:r w:rsidR="007655CF">
        <w:t>1</w:t>
      </w:r>
      <w:r>
        <w:t xml:space="preserve"> </w:t>
      </w:r>
      <w:r w:rsidR="00956273">
        <w:t xml:space="preserve">which </w:t>
      </w:r>
      <w:r>
        <w:t>the</w:t>
      </w:r>
      <w:r w:rsidR="00956273">
        <w:t xml:space="preserve"> UE applies when T304 expires for the LTM cell switch triggered by the lower layers. In the figure, the original PCell is Cell A, the target PCell of the LTM cell switch is Cell B, and the target PCell of the LTM cell switch for fast recovery is Cell C.</w:t>
      </w:r>
    </w:p>
    <w:p w14:paraId="57FB7E14" w14:textId="6FAA90C7" w:rsidR="00956273" w:rsidRDefault="00956273" w:rsidP="001177BE">
      <w:pPr>
        <w:pStyle w:val="BodyText"/>
      </w:pPr>
      <w:r>
        <w:t>It should be noted that according to agreement in RAN2#129, the Rel-18 LTM related UE variables are reverted back to the their values in the source PCell when the UE reverts back to the previous PCell configuration when T304 expires.</w:t>
      </w:r>
    </w:p>
    <w:p w14:paraId="30234BA6" w14:textId="77777777" w:rsidR="00956273" w:rsidRDefault="00956273" w:rsidP="00956273">
      <w:pPr>
        <w:pStyle w:val="Agreement"/>
        <w:numPr>
          <w:ilvl w:val="0"/>
          <w:numId w:val="36"/>
        </w:numPr>
        <w:tabs>
          <w:tab w:val="clear" w:pos="1619"/>
          <w:tab w:val="num" w:pos="1800"/>
          <w:tab w:val="num" w:pos="9990"/>
        </w:tabs>
        <w:autoSpaceDN w:val="0"/>
        <w:ind w:left="1800"/>
        <w:rPr>
          <w:lang w:eastAsia="ja-JP"/>
        </w:rPr>
      </w:pPr>
      <w:r>
        <w:t>RAN2 confirms that the UE reverts VarLTM-ServingCellNoResetID used in the source PCell when T304 is expired. Will not captured in the spec.</w:t>
      </w:r>
    </w:p>
    <w:p w14:paraId="24C18AFE" w14:textId="77777777" w:rsidR="00956273" w:rsidRDefault="00956273" w:rsidP="00956273">
      <w:pPr>
        <w:pStyle w:val="Agreement"/>
        <w:numPr>
          <w:ilvl w:val="0"/>
          <w:numId w:val="36"/>
        </w:numPr>
        <w:tabs>
          <w:tab w:val="clear" w:pos="1619"/>
          <w:tab w:val="num" w:pos="1800"/>
          <w:tab w:val="num" w:pos="9990"/>
        </w:tabs>
        <w:autoSpaceDN w:val="0"/>
        <w:ind w:left="1800"/>
        <w:rPr>
          <w:lang w:eastAsia="ja-JP"/>
        </w:rPr>
      </w:pPr>
      <w:r>
        <w:t>RAN2 confirms that the UE reverts ltm-ServingCellUE-MeasuredTA-ID used in the source PCell when T304 is expired. Will not captured in the spec.</w:t>
      </w:r>
    </w:p>
    <w:p w14:paraId="2F75531F" w14:textId="77777777" w:rsidR="00956273" w:rsidRDefault="00956273" w:rsidP="001177BE">
      <w:pPr>
        <w:pStyle w:val="BodyText"/>
      </w:pPr>
    </w:p>
    <w:p w14:paraId="6CC31769" w14:textId="29D26094" w:rsidR="00956273" w:rsidRDefault="00956273" w:rsidP="007655CF">
      <w:pPr>
        <w:pStyle w:val="Observation"/>
        <w:ind w:left="1701" w:hanging="1701"/>
      </w:pPr>
      <w:r>
        <w:t>Rel-18 LTM related UE variables are reverted back to their values in the source PCell when T304 expires.</w:t>
      </w:r>
    </w:p>
    <w:p w14:paraId="153F3CE2" w14:textId="3311AC90" w:rsidR="00956273" w:rsidRDefault="00956273" w:rsidP="00956273">
      <w:pPr>
        <w:pStyle w:val="BodyText"/>
      </w:pPr>
      <w:r>
        <w:t xml:space="preserve">It is assumed that the same basic behaviour also applies to Rel-19 inter-CU LTM related UE variable </w:t>
      </w:r>
      <w:r>
        <w:rPr>
          <w:i/>
          <w:iCs/>
        </w:rPr>
        <w:t>VarLTM-ServingCellNoSecurityChange</w:t>
      </w:r>
      <w:r>
        <w:t>.</w:t>
      </w:r>
    </w:p>
    <w:p w14:paraId="6D470BFE" w14:textId="34765243" w:rsidR="00956273" w:rsidRDefault="00956273" w:rsidP="00956273">
      <w:pPr>
        <w:pStyle w:val="Proposal"/>
        <w:numPr>
          <w:ilvl w:val="0"/>
          <w:numId w:val="35"/>
        </w:numPr>
        <w:textAlignment w:val="auto"/>
      </w:pPr>
      <w:bookmarkStart w:id="1" w:name="_Ref197520203"/>
      <w:bookmarkStart w:id="2" w:name="_Toc197592696"/>
      <w:r>
        <w:t xml:space="preserve">Rel-19 inter-CU LTM related UE variable </w:t>
      </w:r>
      <w:r>
        <w:rPr>
          <w:i/>
          <w:iCs/>
        </w:rPr>
        <w:t>VarLTM-ServingCellNoSecurityChange</w:t>
      </w:r>
      <w:r>
        <w:t xml:space="preserve"> is reverted back to its value in the source PCell when T304 expires.</w:t>
      </w:r>
      <w:bookmarkEnd w:id="1"/>
      <w:bookmarkEnd w:id="2"/>
    </w:p>
    <w:p w14:paraId="0DA21AF2" w14:textId="77777777" w:rsidR="00956273" w:rsidRDefault="00956273" w:rsidP="00956273">
      <w:pPr>
        <w:pStyle w:val="Proposal"/>
        <w:numPr>
          <w:ilvl w:val="0"/>
          <w:numId w:val="0"/>
        </w:numPr>
        <w:ind w:left="1304" w:hanging="1304"/>
        <w:textAlignment w:val="auto"/>
      </w:pPr>
    </w:p>
    <w:bookmarkStart w:id="3" w:name="_Toc197524114"/>
    <w:bookmarkEnd w:id="3"/>
    <w:p w14:paraId="04A97241" w14:textId="78792B21" w:rsidR="00320EE8" w:rsidRDefault="00FC7CC0" w:rsidP="00DD5D59">
      <w:pPr>
        <w:jc w:val="center"/>
      </w:pPr>
      <w:r>
        <w:object w:dxaOrig="14505" w:dyaOrig="18210" w14:anchorId="28067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577.15pt" o:ole="">
            <v:imagedata r:id="rId11" o:title=""/>
          </v:shape>
          <o:OLEObject Type="Embed" ProgID="Visio.Drawing.15" ShapeID="_x0000_i1025" DrawAspect="Content" ObjectID="_1808285414" r:id="rId12"/>
        </w:object>
      </w:r>
    </w:p>
    <w:p w14:paraId="1B728D7E" w14:textId="28334432" w:rsidR="00320EE8" w:rsidRDefault="00320EE8" w:rsidP="00320EE8">
      <w:pPr>
        <w:pStyle w:val="Caption"/>
        <w:jc w:val="center"/>
        <w:rPr>
          <w:lang w:eastAsia="zh-CN"/>
        </w:rPr>
      </w:pPr>
      <w:bookmarkStart w:id="4" w:name="_Ref197515194"/>
      <w:r>
        <w:t xml:space="preserve">Figure </w:t>
      </w:r>
      <w:r>
        <w:fldChar w:fldCharType="begin"/>
      </w:r>
      <w:r>
        <w:instrText xml:space="preserve"> SEQ Figure \* ARABIC </w:instrText>
      </w:r>
      <w:r>
        <w:fldChar w:fldCharType="separate"/>
      </w:r>
      <w:r w:rsidR="009873B7">
        <w:rPr>
          <w:noProof/>
        </w:rPr>
        <w:t>1</w:t>
      </w:r>
      <w:r>
        <w:fldChar w:fldCharType="end"/>
      </w:r>
      <w:bookmarkEnd w:id="4"/>
      <w:r>
        <w:t>. UE logic and actions for T304 expiry for LTM cell switch triggered by lower layers (Rel-18)</w:t>
      </w:r>
    </w:p>
    <w:p w14:paraId="02901E48" w14:textId="77777777" w:rsidR="00DD5D59" w:rsidRDefault="00DD5D59" w:rsidP="001177BE">
      <w:pPr>
        <w:pStyle w:val="BodyText"/>
      </w:pPr>
    </w:p>
    <w:p w14:paraId="74557642" w14:textId="7EC22924" w:rsidR="00956273" w:rsidRDefault="00945A52" w:rsidP="001177BE">
      <w:pPr>
        <w:pStyle w:val="BodyText"/>
      </w:pPr>
      <w:r>
        <w:t xml:space="preserve">Based on </w:t>
      </w:r>
      <w:r>
        <w:fldChar w:fldCharType="begin"/>
      </w:r>
      <w:r>
        <w:instrText xml:space="preserve"> REF _Ref197515194 </w:instrText>
      </w:r>
      <w:r>
        <w:fldChar w:fldCharType="separate"/>
      </w:r>
      <w:r w:rsidR="009873B7">
        <w:t xml:space="preserve">Figure </w:t>
      </w:r>
      <w:r w:rsidR="009873B7">
        <w:rPr>
          <w:noProof/>
        </w:rPr>
        <w:t>1</w:t>
      </w:r>
      <w:r>
        <w:fldChar w:fldCharType="end"/>
      </w:r>
      <w:r>
        <w:t>, we can make following observation.</w:t>
      </w:r>
    </w:p>
    <w:p w14:paraId="2ABB1BB2" w14:textId="30C29BD8" w:rsidR="00945A52" w:rsidRDefault="00945A52" w:rsidP="007655CF">
      <w:pPr>
        <w:pStyle w:val="Observation"/>
        <w:ind w:left="1701" w:hanging="1701"/>
      </w:pPr>
      <w:bookmarkStart w:id="5" w:name="_Ref197517452"/>
      <w:r>
        <w:t>When T304 for LTM cell switch expires (clause 5.3.5.8.3), the UE does not know if the</w:t>
      </w:r>
      <w:r w:rsidR="00FC7CC0">
        <w:t>re</w:t>
      </w:r>
      <w:r w:rsidR="007655CF">
        <w:t xml:space="preserve"> </w:t>
      </w:r>
      <w:r w:rsidR="00FC7CC0">
        <w:t>w</w:t>
      </w:r>
      <w:r w:rsidR="007655CF">
        <w:t xml:space="preserve">ill </w:t>
      </w:r>
      <w:r w:rsidR="00FC7CC0">
        <w:t xml:space="preserve">be </w:t>
      </w:r>
      <w:r>
        <w:t xml:space="preserve">fast recovery attempt or </w:t>
      </w:r>
      <w:r w:rsidR="007655CF">
        <w:t>legacy Rel-15 RRC connection re-establishment</w:t>
      </w:r>
      <w:r>
        <w:t xml:space="preserve">, as the UE does not yet know if the </w:t>
      </w:r>
      <w:r w:rsidR="007655CF">
        <w:t xml:space="preserve">suitable </w:t>
      </w:r>
      <w:r>
        <w:t xml:space="preserve">cell </w:t>
      </w:r>
      <w:r w:rsidR="007655CF">
        <w:t>selected</w:t>
      </w:r>
      <w:r>
        <w:t xml:space="preserve"> during T311 is LTM candidate cell or not.</w:t>
      </w:r>
      <w:bookmarkEnd w:id="5"/>
    </w:p>
    <w:p w14:paraId="3ABD4F48" w14:textId="6A793F0E" w:rsidR="00945A52" w:rsidRDefault="00B2047F" w:rsidP="001177BE">
      <w:pPr>
        <w:pStyle w:val="BodyText"/>
      </w:pPr>
      <w:r>
        <w:lastRenderedPageBreak/>
        <w:t>In order to see how the UE reverts back to the previous PCell configuration in Rel-18, l</w:t>
      </w:r>
      <w:r w:rsidR="007655CF">
        <w:t>et's further examine several</w:t>
      </w:r>
      <w:r w:rsidR="00394FCA">
        <w:t xml:space="preserve"> </w:t>
      </w:r>
      <w:r w:rsidR="007655CF">
        <w:t>use cases</w:t>
      </w:r>
      <w:r>
        <w:t xml:space="preserve"> </w:t>
      </w:r>
      <w:r w:rsidR="007655CF">
        <w:t>of T304 expiry for LTM cell switch triggered by lower layers</w:t>
      </w:r>
      <w:r>
        <w:t xml:space="preserve">. The use cases are based on </w:t>
      </w:r>
      <w:r>
        <w:fldChar w:fldCharType="begin"/>
      </w:r>
      <w:r>
        <w:instrText xml:space="preserve"> REF _Ref197515194 </w:instrText>
      </w:r>
      <w:r>
        <w:fldChar w:fldCharType="separate"/>
      </w:r>
      <w:r w:rsidR="009873B7">
        <w:t xml:space="preserve">Figure </w:t>
      </w:r>
      <w:r w:rsidR="009873B7">
        <w:rPr>
          <w:noProof/>
        </w:rPr>
        <w:t>1</w:t>
      </w:r>
      <w:r>
        <w:fldChar w:fldCharType="end"/>
      </w:r>
      <w:r>
        <w:t xml:space="preserve"> and are </w:t>
      </w:r>
      <w:r w:rsidR="007655CF">
        <w:t xml:space="preserve">shown in </w:t>
      </w:r>
      <w:r w:rsidR="00FC7CC0">
        <w:fldChar w:fldCharType="begin"/>
      </w:r>
      <w:r w:rsidR="00FC7CC0">
        <w:instrText xml:space="preserve"> REF _Ref197517112 </w:instrText>
      </w:r>
      <w:r w:rsidR="00FC7CC0">
        <w:fldChar w:fldCharType="separate"/>
      </w:r>
      <w:r w:rsidR="009873B7">
        <w:t xml:space="preserve">Figure </w:t>
      </w:r>
      <w:r w:rsidR="009873B7">
        <w:rPr>
          <w:noProof/>
        </w:rPr>
        <w:t>2</w:t>
      </w:r>
      <w:r w:rsidR="00FC7CC0">
        <w:fldChar w:fldCharType="end"/>
      </w:r>
      <w:r w:rsidR="007655CF">
        <w:t xml:space="preserve">, </w:t>
      </w:r>
      <w:r w:rsidR="00FC7CC0">
        <w:fldChar w:fldCharType="begin"/>
      </w:r>
      <w:r w:rsidR="00FC7CC0">
        <w:instrText xml:space="preserve"> REF _Ref197517118 </w:instrText>
      </w:r>
      <w:r w:rsidR="00FC7CC0">
        <w:fldChar w:fldCharType="separate"/>
      </w:r>
      <w:r w:rsidR="009873B7">
        <w:t xml:space="preserve">Figure </w:t>
      </w:r>
      <w:r w:rsidR="009873B7">
        <w:rPr>
          <w:noProof/>
        </w:rPr>
        <w:t>3</w:t>
      </w:r>
      <w:r w:rsidR="00FC7CC0">
        <w:fldChar w:fldCharType="end"/>
      </w:r>
      <w:r w:rsidR="007655CF">
        <w:t xml:space="preserve">, </w:t>
      </w:r>
      <w:r w:rsidR="00FC7CC0">
        <w:fldChar w:fldCharType="begin"/>
      </w:r>
      <w:r w:rsidR="00FC7CC0">
        <w:instrText xml:space="preserve"> REF _Ref197517123 </w:instrText>
      </w:r>
      <w:r w:rsidR="00FC7CC0">
        <w:fldChar w:fldCharType="separate"/>
      </w:r>
      <w:r w:rsidR="009873B7">
        <w:t xml:space="preserve">Figure </w:t>
      </w:r>
      <w:r w:rsidR="009873B7">
        <w:rPr>
          <w:noProof/>
        </w:rPr>
        <w:t>4</w:t>
      </w:r>
      <w:r w:rsidR="00FC7CC0">
        <w:fldChar w:fldCharType="end"/>
      </w:r>
      <w:r w:rsidR="007655CF">
        <w:t xml:space="preserve">, and </w:t>
      </w:r>
      <w:r w:rsidR="00FC7CC0">
        <w:fldChar w:fldCharType="begin"/>
      </w:r>
      <w:r w:rsidR="00FC7CC0">
        <w:instrText xml:space="preserve"> REF _Ref197517129 </w:instrText>
      </w:r>
      <w:r w:rsidR="00FC7CC0">
        <w:fldChar w:fldCharType="separate"/>
      </w:r>
      <w:r w:rsidR="009873B7">
        <w:t xml:space="preserve">Figure </w:t>
      </w:r>
      <w:r w:rsidR="009873B7">
        <w:rPr>
          <w:noProof/>
        </w:rPr>
        <w:t>5</w:t>
      </w:r>
      <w:r w:rsidR="00FC7CC0">
        <w:fldChar w:fldCharType="end"/>
      </w:r>
      <w:r w:rsidR="007655CF">
        <w:t>, and summarized in the list below.</w:t>
      </w:r>
    </w:p>
    <w:p w14:paraId="799286D6" w14:textId="032C662B" w:rsidR="007655CF" w:rsidRDefault="007655CF" w:rsidP="007655CF">
      <w:pPr>
        <w:pStyle w:val="BodyText"/>
        <w:numPr>
          <w:ilvl w:val="0"/>
          <w:numId w:val="38"/>
        </w:numPr>
      </w:pPr>
      <w:r>
        <w:t>Use case 1: Fast recovery (</w:t>
      </w:r>
      <w:r w:rsidRPr="007655CF">
        <w:rPr>
          <w:i/>
          <w:iCs/>
        </w:rPr>
        <w:t>attemptLTM-Switch</w:t>
      </w:r>
      <w:r>
        <w:t>) is not configured</w:t>
      </w:r>
    </w:p>
    <w:p w14:paraId="59AF800D" w14:textId="16284FF7" w:rsidR="00394FCA" w:rsidRDefault="00394FCA" w:rsidP="007655CF">
      <w:pPr>
        <w:pStyle w:val="BodyText"/>
        <w:numPr>
          <w:ilvl w:val="1"/>
          <w:numId w:val="38"/>
        </w:numPr>
      </w:pPr>
      <w:r>
        <w:t>T304 for LTM cell switch triggered by lower layers expires</w:t>
      </w:r>
    </w:p>
    <w:p w14:paraId="5FAB0D09" w14:textId="591D721C" w:rsidR="007655CF" w:rsidRDefault="007655CF" w:rsidP="007655CF">
      <w:pPr>
        <w:pStyle w:val="BodyText"/>
        <w:numPr>
          <w:ilvl w:val="1"/>
          <w:numId w:val="38"/>
        </w:numPr>
      </w:pPr>
      <w:r>
        <w:t>The UE reverts back to the previous PCell configuration (Cell A)</w:t>
      </w:r>
    </w:p>
    <w:p w14:paraId="30756E04" w14:textId="296B428E" w:rsidR="007655CF" w:rsidRDefault="007655CF" w:rsidP="007655CF">
      <w:pPr>
        <w:pStyle w:val="BodyText"/>
        <w:numPr>
          <w:ilvl w:val="1"/>
          <w:numId w:val="38"/>
        </w:numPr>
      </w:pPr>
      <w:r>
        <w:t>The UE initiates legacy Rel-15 RRC connection re-establishment</w:t>
      </w:r>
    </w:p>
    <w:p w14:paraId="59B9A127" w14:textId="73DA7892" w:rsidR="007655CF" w:rsidRDefault="007655CF" w:rsidP="007655CF">
      <w:pPr>
        <w:pStyle w:val="BodyText"/>
        <w:numPr>
          <w:ilvl w:val="0"/>
          <w:numId w:val="39"/>
        </w:numPr>
        <w:textAlignment w:val="auto"/>
      </w:pPr>
      <w:r>
        <w:t>Use case 2: Fast recovery (</w:t>
      </w:r>
      <w:r>
        <w:rPr>
          <w:i/>
          <w:iCs/>
        </w:rPr>
        <w:t>attemptLTM-Switch</w:t>
      </w:r>
      <w:r>
        <w:t>) is configured, but the suitable cell which the UE selects during T311 is not LTM candidate cell.</w:t>
      </w:r>
    </w:p>
    <w:p w14:paraId="69D834A1" w14:textId="77777777" w:rsidR="00394FCA" w:rsidRDefault="00394FCA" w:rsidP="00394FCA">
      <w:pPr>
        <w:pStyle w:val="BodyText"/>
        <w:numPr>
          <w:ilvl w:val="1"/>
          <w:numId w:val="39"/>
        </w:numPr>
        <w:textAlignment w:val="auto"/>
      </w:pPr>
      <w:r>
        <w:t>T304 for LTM cell switch triggered by lower layers expires</w:t>
      </w:r>
    </w:p>
    <w:p w14:paraId="7C7D896D" w14:textId="45F4D533" w:rsidR="007655CF" w:rsidRDefault="007655CF" w:rsidP="007655CF">
      <w:pPr>
        <w:pStyle w:val="BodyText"/>
        <w:numPr>
          <w:ilvl w:val="1"/>
          <w:numId w:val="38"/>
        </w:numPr>
      </w:pPr>
      <w:r>
        <w:t>The UE reverts back to the previous PCell configuration (Cell A)</w:t>
      </w:r>
    </w:p>
    <w:p w14:paraId="770E0CDC" w14:textId="77777777" w:rsidR="007655CF" w:rsidRDefault="007655CF" w:rsidP="007655CF">
      <w:pPr>
        <w:pStyle w:val="BodyText"/>
        <w:numPr>
          <w:ilvl w:val="1"/>
          <w:numId w:val="38"/>
        </w:numPr>
      </w:pPr>
      <w:r>
        <w:t>The UE initiates legacy Rel-15 RRC connection re-establishment</w:t>
      </w:r>
    </w:p>
    <w:p w14:paraId="39F07964" w14:textId="1F946E67" w:rsidR="007655CF" w:rsidRDefault="007655CF" w:rsidP="007655CF">
      <w:pPr>
        <w:pStyle w:val="BodyText"/>
        <w:numPr>
          <w:ilvl w:val="0"/>
          <w:numId w:val="38"/>
        </w:numPr>
      </w:pPr>
      <w:r>
        <w:t>Use case 3: Fast recovery (</w:t>
      </w:r>
      <w:r>
        <w:rPr>
          <w:i/>
          <w:iCs/>
        </w:rPr>
        <w:t>attemptLTM-Switch</w:t>
      </w:r>
      <w:r>
        <w:t>) is configured, the suitable cell which the UE selects during T311 is an LTM candidate cell, and the fast recovery succeeds</w:t>
      </w:r>
    </w:p>
    <w:p w14:paraId="05CA4AA5" w14:textId="77777777" w:rsidR="00394FCA" w:rsidRDefault="00394FCA" w:rsidP="00394FCA">
      <w:pPr>
        <w:pStyle w:val="BodyText"/>
        <w:numPr>
          <w:ilvl w:val="1"/>
          <w:numId w:val="39"/>
        </w:numPr>
        <w:textAlignment w:val="auto"/>
      </w:pPr>
      <w:r>
        <w:t>T304 for LTM cell switch triggered by lower layers expires</w:t>
      </w:r>
    </w:p>
    <w:p w14:paraId="188834C0" w14:textId="21E3DD47" w:rsidR="007655CF" w:rsidRDefault="007655CF" w:rsidP="007655CF">
      <w:pPr>
        <w:pStyle w:val="BodyText"/>
        <w:numPr>
          <w:ilvl w:val="1"/>
          <w:numId w:val="39"/>
        </w:numPr>
        <w:textAlignment w:val="auto"/>
      </w:pPr>
      <w:r>
        <w:t>The UE reverts back to the previous PCell configuration (Cell A)</w:t>
      </w:r>
    </w:p>
    <w:p w14:paraId="3C5C5822" w14:textId="4EE172E2" w:rsidR="007655CF" w:rsidRDefault="007655CF" w:rsidP="007655CF">
      <w:pPr>
        <w:pStyle w:val="BodyText"/>
        <w:numPr>
          <w:ilvl w:val="1"/>
          <w:numId w:val="39"/>
        </w:numPr>
        <w:textAlignment w:val="auto"/>
      </w:pPr>
      <w:r>
        <w:t>The UE attempts fast recovery, i.e., applies configuration of the fast recovery target cell (Cell C)</w:t>
      </w:r>
    </w:p>
    <w:p w14:paraId="18A71F52" w14:textId="6AA51FA6" w:rsidR="007655CF" w:rsidRDefault="007655CF" w:rsidP="007655CF">
      <w:pPr>
        <w:pStyle w:val="BodyText"/>
        <w:numPr>
          <w:ilvl w:val="1"/>
          <w:numId w:val="39"/>
        </w:numPr>
        <w:textAlignment w:val="auto"/>
      </w:pPr>
      <w:r>
        <w:t>The fast recovery succeeds</w:t>
      </w:r>
    </w:p>
    <w:p w14:paraId="3BB8BCF2" w14:textId="7105EC26" w:rsidR="007655CF" w:rsidRDefault="007655CF" w:rsidP="007655CF">
      <w:pPr>
        <w:pStyle w:val="BodyText"/>
        <w:numPr>
          <w:ilvl w:val="0"/>
          <w:numId w:val="39"/>
        </w:numPr>
        <w:textAlignment w:val="auto"/>
      </w:pPr>
      <w:r>
        <w:t>Use case 4: Fast recovery (</w:t>
      </w:r>
      <w:r>
        <w:rPr>
          <w:i/>
          <w:iCs/>
        </w:rPr>
        <w:t>attemptLTM-Switch</w:t>
      </w:r>
      <w:r>
        <w:t>) is configured, the suitable cell which the UE selects during T311 is an LTM candidate cell, but the fast recovery fails</w:t>
      </w:r>
    </w:p>
    <w:p w14:paraId="3AE6D9F1" w14:textId="77777777" w:rsidR="00394FCA" w:rsidRDefault="00394FCA" w:rsidP="00394FCA">
      <w:pPr>
        <w:pStyle w:val="BodyText"/>
        <w:numPr>
          <w:ilvl w:val="1"/>
          <w:numId w:val="39"/>
        </w:numPr>
        <w:textAlignment w:val="auto"/>
      </w:pPr>
      <w:r>
        <w:t>T304 for LTM cell switch triggered by lower layers expires</w:t>
      </w:r>
    </w:p>
    <w:p w14:paraId="39356CD3" w14:textId="145506FC" w:rsidR="007655CF" w:rsidRDefault="007655CF" w:rsidP="007655CF">
      <w:pPr>
        <w:pStyle w:val="BodyText"/>
        <w:numPr>
          <w:ilvl w:val="1"/>
          <w:numId w:val="39"/>
        </w:numPr>
        <w:textAlignment w:val="auto"/>
      </w:pPr>
      <w:r>
        <w:t>The UE reverts back to the previous PCell configuration (Cell A)</w:t>
      </w:r>
    </w:p>
    <w:p w14:paraId="519CBD7B" w14:textId="77777777" w:rsidR="007655CF" w:rsidRDefault="007655CF" w:rsidP="007655CF">
      <w:pPr>
        <w:pStyle w:val="BodyText"/>
        <w:numPr>
          <w:ilvl w:val="1"/>
          <w:numId w:val="39"/>
        </w:numPr>
        <w:textAlignment w:val="auto"/>
      </w:pPr>
      <w:r>
        <w:t>The UE attempts fast recovery, i.e., applies configuration of the fast recovery target cell (Cell C)</w:t>
      </w:r>
    </w:p>
    <w:p w14:paraId="051E07EE" w14:textId="410CF925" w:rsidR="007655CF" w:rsidRDefault="007655CF" w:rsidP="007655CF">
      <w:pPr>
        <w:pStyle w:val="BodyText"/>
        <w:numPr>
          <w:ilvl w:val="1"/>
          <w:numId w:val="39"/>
        </w:numPr>
        <w:textAlignment w:val="auto"/>
      </w:pPr>
      <w:r>
        <w:t>T304 for fast recovery</w:t>
      </w:r>
      <w:r w:rsidR="00394FCA">
        <w:t xml:space="preserve"> expires</w:t>
      </w:r>
    </w:p>
    <w:p w14:paraId="3FF00393" w14:textId="7C1491C5" w:rsidR="007655CF" w:rsidRDefault="007655CF" w:rsidP="007655CF">
      <w:pPr>
        <w:pStyle w:val="BodyText"/>
        <w:numPr>
          <w:ilvl w:val="1"/>
          <w:numId w:val="39"/>
        </w:numPr>
        <w:textAlignment w:val="auto"/>
      </w:pPr>
      <w:r>
        <w:t>The UE reverts back to the previous PCell configuration (Cell A)</w:t>
      </w:r>
    </w:p>
    <w:p w14:paraId="3A6EC9BE" w14:textId="36CD675A" w:rsidR="007655CF" w:rsidRDefault="007655CF" w:rsidP="00C35DE2">
      <w:pPr>
        <w:pStyle w:val="BodyText"/>
        <w:numPr>
          <w:ilvl w:val="1"/>
          <w:numId w:val="39"/>
        </w:numPr>
        <w:textAlignment w:val="auto"/>
      </w:pPr>
      <w:r>
        <w:t>The UE initiates legacy Rel-15 RRC connection re-establishment</w:t>
      </w:r>
    </w:p>
    <w:p w14:paraId="18A3BCEB" w14:textId="77777777" w:rsidR="00956273" w:rsidRDefault="00956273" w:rsidP="001177BE">
      <w:pPr>
        <w:pStyle w:val="BodyText"/>
      </w:pPr>
    </w:p>
    <w:p w14:paraId="3819105B" w14:textId="7C78139B" w:rsidR="00FC7CC0" w:rsidRDefault="00FC7CC0" w:rsidP="00DD5D59">
      <w:pPr>
        <w:jc w:val="center"/>
      </w:pPr>
      <w:r>
        <w:object w:dxaOrig="14505" w:dyaOrig="18210" w14:anchorId="61B9F1A3">
          <v:shape id="_x0000_i1026" type="#_x0000_t75" style="width:459.65pt;height:577.15pt" o:ole="">
            <v:imagedata r:id="rId13" o:title=""/>
          </v:shape>
          <o:OLEObject Type="Embed" ProgID="Visio.Drawing.15" ShapeID="_x0000_i1026" DrawAspect="Content" ObjectID="_1808285415" r:id="rId14"/>
        </w:object>
      </w:r>
    </w:p>
    <w:p w14:paraId="4592EE1F" w14:textId="459BF02C" w:rsidR="00FC7CC0" w:rsidRDefault="00FC7CC0" w:rsidP="00FC7CC0">
      <w:pPr>
        <w:pStyle w:val="Caption"/>
        <w:jc w:val="center"/>
      </w:pPr>
      <w:bookmarkStart w:id="6" w:name="_Ref197517112"/>
      <w:r>
        <w:t xml:space="preserve">Figure </w:t>
      </w:r>
      <w:r>
        <w:fldChar w:fldCharType="begin"/>
      </w:r>
      <w:r>
        <w:instrText xml:space="preserve"> SEQ Figure \* ARABIC </w:instrText>
      </w:r>
      <w:r>
        <w:fldChar w:fldCharType="separate"/>
      </w:r>
      <w:r w:rsidR="009873B7">
        <w:rPr>
          <w:noProof/>
        </w:rPr>
        <w:t>2</w:t>
      </w:r>
      <w:r>
        <w:fldChar w:fldCharType="end"/>
      </w:r>
      <w:bookmarkEnd w:id="6"/>
      <w:r>
        <w:t>. Use case 1</w:t>
      </w:r>
      <w:r w:rsidR="00B2047F">
        <w:t xml:space="preserve">: Fast recovery </w:t>
      </w:r>
      <w:r w:rsidR="0036155F">
        <w:t xml:space="preserve">is </w:t>
      </w:r>
      <w:r w:rsidR="00B2047F">
        <w:t>not configured</w:t>
      </w:r>
    </w:p>
    <w:p w14:paraId="54C5A580" w14:textId="77777777" w:rsidR="00FC7CC0" w:rsidRDefault="00FC7CC0" w:rsidP="00FC7CC0">
      <w:pPr>
        <w:rPr>
          <w:lang w:eastAsia="en-GB"/>
        </w:rPr>
      </w:pPr>
    </w:p>
    <w:p w14:paraId="53240297" w14:textId="4E63286A" w:rsidR="00FC7CC0" w:rsidRDefault="00FC7CC0" w:rsidP="00FC7CC0">
      <w:pPr>
        <w:keepNext/>
        <w:jc w:val="center"/>
      </w:pPr>
      <w:r>
        <w:object w:dxaOrig="14505" w:dyaOrig="18210" w14:anchorId="32261EEC">
          <v:shape id="_x0000_i1027" type="#_x0000_t75" style="width:459.65pt;height:577.15pt" o:ole="">
            <v:imagedata r:id="rId15" o:title=""/>
          </v:shape>
          <o:OLEObject Type="Embed" ProgID="Visio.Drawing.15" ShapeID="_x0000_i1027" DrawAspect="Content" ObjectID="_1808285416" r:id="rId16"/>
        </w:object>
      </w:r>
    </w:p>
    <w:p w14:paraId="11939B47" w14:textId="0A59A62C" w:rsidR="00FC7CC0" w:rsidRDefault="00FC7CC0" w:rsidP="00FC7CC0">
      <w:pPr>
        <w:pStyle w:val="Caption"/>
        <w:jc w:val="center"/>
      </w:pPr>
      <w:bookmarkStart w:id="7" w:name="_Ref197517118"/>
      <w:r>
        <w:t xml:space="preserve">Figure </w:t>
      </w:r>
      <w:r>
        <w:fldChar w:fldCharType="begin"/>
      </w:r>
      <w:r>
        <w:instrText xml:space="preserve"> SEQ Figure \* ARABIC </w:instrText>
      </w:r>
      <w:r>
        <w:fldChar w:fldCharType="separate"/>
      </w:r>
      <w:r w:rsidR="009873B7">
        <w:rPr>
          <w:noProof/>
        </w:rPr>
        <w:t>3</w:t>
      </w:r>
      <w:r>
        <w:fldChar w:fldCharType="end"/>
      </w:r>
      <w:bookmarkEnd w:id="7"/>
      <w:r>
        <w:t>. Use case 2</w:t>
      </w:r>
      <w:r w:rsidR="00B2047F">
        <w:t>: Fast recovery is configured, but the suitable cell is not LTM candidate cell</w:t>
      </w:r>
    </w:p>
    <w:p w14:paraId="045F6484" w14:textId="77777777" w:rsidR="00FC7CC0" w:rsidRDefault="00FC7CC0" w:rsidP="00FC7CC0">
      <w:pPr>
        <w:rPr>
          <w:lang w:eastAsia="en-GB"/>
        </w:rPr>
      </w:pPr>
    </w:p>
    <w:p w14:paraId="295DE96E" w14:textId="14548643" w:rsidR="00FC7CC0" w:rsidRDefault="00B2047F" w:rsidP="00FC7CC0">
      <w:pPr>
        <w:keepNext/>
        <w:jc w:val="center"/>
      </w:pPr>
      <w:r>
        <w:object w:dxaOrig="14505" w:dyaOrig="18226" w14:anchorId="35DF0082">
          <v:shape id="_x0000_i1028" type="#_x0000_t75" style="width:459.65pt;height:577.75pt" o:ole="">
            <v:imagedata r:id="rId17" o:title=""/>
          </v:shape>
          <o:OLEObject Type="Embed" ProgID="Visio.Drawing.15" ShapeID="_x0000_i1028" DrawAspect="Content" ObjectID="_1808285417" r:id="rId18"/>
        </w:object>
      </w:r>
    </w:p>
    <w:p w14:paraId="3E08561A" w14:textId="2C48A5D3" w:rsidR="00FC7CC0" w:rsidRDefault="00FC7CC0" w:rsidP="00FC7CC0">
      <w:pPr>
        <w:pStyle w:val="Caption"/>
        <w:jc w:val="center"/>
      </w:pPr>
      <w:bookmarkStart w:id="8" w:name="_Ref197517123"/>
      <w:r>
        <w:t xml:space="preserve">Figure </w:t>
      </w:r>
      <w:r>
        <w:fldChar w:fldCharType="begin"/>
      </w:r>
      <w:r>
        <w:instrText xml:space="preserve"> SEQ Figure \* ARABIC </w:instrText>
      </w:r>
      <w:r>
        <w:fldChar w:fldCharType="separate"/>
      </w:r>
      <w:r w:rsidR="009873B7">
        <w:rPr>
          <w:noProof/>
        </w:rPr>
        <w:t>4</w:t>
      </w:r>
      <w:r>
        <w:fldChar w:fldCharType="end"/>
      </w:r>
      <w:bookmarkEnd w:id="8"/>
      <w:r>
        <w:t>. Use case 3</w:t>
      </w:r>
      <w:r w:rsidR="00B2047F">
        <w:t>: Fast recovery is configured, the suitable cell is an LTM candidate cell and the fast recovery succeeds</w:t>
      </w:r>
    </w:p>
    <w:p w14:paraId="78173BFE" w14:textId="77777777" w:rsidR="00FC7CC0" w:rsidRDefault="00FC7CC0" w:rsidP="00FC7CC0">
      <w:pPr>
        <w:rPr>
          <w:lang w:eastAsia="en-GB"/>
        </w:rPr>
      </w:pPr>
    </w:p>
    <w:p w14:paraId="7BAFB592" w14:textId="7F851608" w:rsidR="00FC7CC0" w:rsidRDefault="00394FCA" w:rsidP="00FC7CC0">
      <w:pPr>
        <w:keepNext/>
        <w:jc w:val="center"/>
      </w:pPr>
      <w:r>
        <w:object w:dxaOrig="14505" w:dyaOrig="18210" w14:anchorId="199A249B">
          <v:shape id="_x0000_i1029" type="#_x0000_t75" style="width:459.65pt;height:577.15pt" o:ole="">
            <v:imagedata r:id="rId19" o:title=""/>
          </v:shape>
          <o:OLEObject Type="Embed" ProgID="Visio.Drawing.15" ShapeID="_x0000_i1029" DrawAspect="Content" ObjectID="_1808285418" r:id="rId20"/>
        </w:object>
      </w:r>
    </w:p>
    <w:p w14:paraId="063D040E" w14:textId="7A0E6032" w:rsidR="00FC7CC0" w:rsidRPr="00FC7CC0" w:rsidRDefault="00FC7CC0" w:rsidP="00FC7CC0">
      <w:pPr>
        <w:pStyle w:val="Caption"/>
        <w:jc w:val="center"/>
      </w:pPr>
      <w:bookmarkStart w:id="9" w:name="_Ref197517129"/>
      <w:r>
        <w:t xml:space="preserve">Figure </w:t>
      </w:r>
      <w:r>
        <w:fldChar w:fldCharType="begin"/>
      </w:r>
      <w:r>
        <w:instrText xml:space="preserve"> SEQ Figure \* ARABIC </w:instrText>
      </w:r>
      <w:r>
        <w:fldChar w:fldCharType="separate"/>
      </w:r>
      <w:r w:rsidR="009873B7">
        <w:rPr>
          <w:noProof/>
        </w:rPr>
        <w:t>5</w:t>
      </w:r>
      <w:r>
        <w:fldChar w:fldCharType="end"/>
      </w:r>
      <w:bookmarkEnd w:id="9"/>
      <w:r>
        <w:t>. Use case 4</w:t>
      </w:r>
      <w:r w:rsidR="00B2047F">
        <w:t>: Fast recovery is configured, the suitable cell is an LTM candidate cell but the fast recovery fails</w:t>
      </w:r>
    </w:p>
    <w:p w14:paraId="2A6CE2A0" w14:textId="77777777" w:rsidR="0095714E" w:rsidRDefault="0095714E" w:rsidP="0095714E">
      <w:pPr>
        <w:pStyle w:val="BodyText"/>
      </w:pPr>
    </w:p>
    <w:p w14:paraId="488879BA" w14:textId="04CA1139" w:rsidR="0095714E" w:rsidRDefault="0095714E" w:rsidP="0095714E">
      <w:pPr>
        <w:pStyle w:val="BodyText"/>
      </w:pPr>
      <w:r>
        <w:t>Based on the use cases, we can make following observation</w:t>
      </w:r>
      <w:r w:rsidR="00B2047F">
        <w:t xml:space="preserve"> about the UE reverting back to the previous PCell configuration</w:t>
      </w:r>
      <w:r>
        <w:t>.</w:t>
      </w:r>
    </w:p>
    <w:p w14:paraId="6262F2CE" w14:textId="4FF3BC68" w:rsidR="0095714E" w:rsidRDefault="0095714E" w:rsidP="0095714E">
      <w:pPr>
        <w:pStyle w:val="Observation"/>
        <w:ind w:left="1701" w:hanging="1701"/>
      </w:pPr>
      <w:bookmarkStart w:id="10" w:name="_Ref197517457"/>
      <w:r>
        <w:t>Always before legacy Rel-15 RRC connection re-establishment, the UE reverts back to the previous PCell configuration.</w:t>
      </w:r>
      <w:bookmarkEnd w:id="10"/>
    </w:p>
    <w:p w14:paraId="5674D0F7" w14:textId="40A0FAAA" w:rsidR="00DD5D59" w:rsidRPr="009873B7" w:rsidRDefault="00B2047F" w:rsidP="0095714E">
      <w:pPr>
        <w:pStyle w:val="BodyText"/>
        <w:rPr>
          <w:i/>
          <w:iCs/>
        </w:rPr>
      </w:pPr>
      <w:r w:rsidRPr="009873B7">
        <w:rPr>
          <w:i/>
          <w:iCs/>
        </w:rPr>
        <w:lastRenderedPageBreak/>
        <w:t>(</w:t>
      </w:r>
      <w:r w:rsidR="00DD5D59" w:rsidRPr="009873B7">
        <w:rPr>
          <w:i/>
          <w:iCs/>
        </w:rPr>
        <w:t>It should be noted that it does not matter which kind of reverting ("revert back to source configuration" or "revert back to source configuration except for PDCP state variables for SRB1/SRB2"), the UE performs before the legacy Rel-15 RRC connection re-establishment, because PDCP state variables for SRB1/SRB2 will anyway be reset to their initial values during the RRC connection re-establishment (and the first RRC reconfiguration after RRC connection re-establishment) procedure(s).</w:t>
      </w:r>
      <w:r w:rsidRPr="009873B7">
        <w:rPr>
          <w:i/>
          <w:iCs/>
        </w:rPr>
        <w:t>)</w:t>
      </w:r>
    </w:p>
    <w:p w14:paraId="4F117E0B" w14:textId="10A1A19D" w:rsidR="0095714E" w:rsidRDefault="0095714E" w:rsidP="0095714E">
      <w:pPr>
        <w:pStyle w:val="BodyText"/>
      </w:pPr>
      <w:r>
        <w:t xml:space="preserve">Based on </w:t>
      </w:r>
      <w:r>
        <w:fldChar w:fldCharType="begin"/>
      </w:r>
      <w:r>
        <w:instrText xml:space="preserve"> REF _Ref197517452 \n </w:instrText>
      </w:r>
      <w:r>
        <w:fldChar w:fldCharType="separate"/>
      </w:r>
      <w:r w:rsidR="009873B7">
        <w:t>Observation 2</w:t>
      </w:r>
      <w:r>
        <w:fldChar w:fldCharType="end"/>
      </w:r>
      <w:r>
        <w:t xml:space="preserve"> and </w:t>
      </w:r>
      <w:r>
        <w:fldChar w:fldCharType="begin"/>
      </w:r>
      <w:r>
        <w:instrText xml:space="preserve"> REF _Ref197517457 \n </w:instrText>
      </w:r>
      <w:r>
        <w:fldChar w:fldCharType="separate"/>
      </w:r>
      <w:r w:rsidR="009873B7">
        <w:t>Observation 3</w:t>
      </w:r>
      <w:r>
        <w:fldChar w:fldCharType="end"/>
      </w:r>
      <w:r>
        <w:t xml:space="preserve">, in order to keep </w:t>
      </w:r>
      <w:r w:rsidR="00B2047F">
        <w:t xml:space="preserve">the </w:t>
      </w:r>
      <w:r>
        <w:t>existing pre-conditions for the legacy Rel-15 RRC connection re-establishment procedure</w:t>
      </w:r>
      <w:r w:rsidR="00B2047F">
        <w:t xml:space="preserve"> (i.e., that the current UE configuration when the re-establishment is initiated is the configuration of the source PCell)</w:t>
      </w:r>
      <w:r>
        <w:t>, we propose following.</w:t>
      </w:r>
    </w:p>
    <w:p w14:paraId="29A3C121" w14:textId="0FFCC3B9" w:rsidR="0095714E" w:rsidRDefault="0095714E" w:rsidP="0095714E">
      <w:pPr>
        <w:pStyle w:val="Proposal"/>
      </w:pPr>
      <w:bookmarkStart w:id="11" w:name="_Ref197519080"/>
      <w:bookmarkStart w:id="12" w:name="_Toc197592697"/>
      <w:r>
        <w:t>Similarly as in Rel-18, also in Rel-19 the UE always reverts back to the previous PCell configuration when T304 expires.</w:t>
      </w:r>
      <w:bookmarkEnd w:id="11"/>
      <w:bookmarkEnd w:id="12"/>
    </w:p>
    <w:p w14:paraId="043BEFCB" w14:textId="5A2AD3EF" w:rsidR="00043DC2" w:rsidRDefault="0095714E" w:rsidP="0095714E">
      <w:pPr>
        <w:pStyle w:val="BodyText"/>
      </w:pPr>
      <w:r>
        <w:t>To clari</w:t>
      </w:r>
      <w:r w:rsidR="00394FCA">
        <w:t>f</w:t>
      </w:r>
      <w:r>
        <w:t xml:space="preserve">y </w:t>
      </w:r>
      <w:r>
        <w:fldChar w:fldCharType="begin"/>
      </w:r>
      <w:r>
        <w:instrText xml:space="preserve"> REF _Ref197519080 \n </w:instrText>
      </w:r>
      <w:r>
        <w:fldChar w:fldCharType="separate"/>
      </w:r>
      <w:r w:rsidR="009873B7">
        <w:t>Proposal 2</w:t>
      </w:r>
      <w:r>
        <w:fldChar w:fldCharType="end"/>
      </w:r>
      <w:r>
        <w:t>, the inter-CU LTM related updates to clause 5.3.5.8.3 proposed in the current versio</w:t>
      </w:r>
      <w:r w:rsidR="00043DC2">
        <w:t>n</w:t>
      </w:r>
      <w:r>
        <w:t xml:space="preserve"> of </w:t>
      </w:r>
      <w:r w:rsidR="00043DC2">
        <w:t xml:space="preserve">the </w:t>
      </w:r>
      <w:r>
        <w:t>running CR</w:t>
      </w:r>
      <w:r w:rsidR="00043DC2">
        <w:t xml:space="preserve"> (</w:t>
      </w:r>
      <w:r w:rsidR="00043DC2">
        <w:fldChar w:fldCharType="begin"/>
      </w:r>
      <w:r w:rsidR="00043DC2">
        <w:instrText xml:space="preserve"> REF _Ref197519446 </w:instrText>
      </w:r>
      <w:r w:rsidR="00043DC2">
        <w:fldChar w:fldCharType="separate"/>
      </w:r>
      <w:r w:rsidR="009873B7">
        <w:t xml:space="preserve">Figure </w:t>
      </w:r>
      <w:r w:rsidR="009873B7">
        <w:rPr>
          <w:noProof/>
        </w:rPr>
        <w:t>6</w:t>
      </w:r>
      <w:r w:rsidR="00043DC2">
        <w:fldChar w:fldCharType="end"/>
      </w:r>
      <w:r w:rsidR="00043DC2">
        <w:t>)</w:t>
      </w:r>
      <w:r>
        <w:t xml:space="preserve">, should </w:t>
      </w:r>
      <w:r w:rsidRPr="0095714E">
        <w:rPr>
          <w:u w:val="single"/>
        </w:rPr>
        <w:t>not</w:t>
      </w:r>
      <w:r>
        <w:t xml:space="preserve"> be agreed.</w:t>
      </w:r>
    </w:p>
    <w:p w14:paraId="6792F524" w14:textId="77777777" w:rsidR="0095714E" w:rsidRDefault="0095714E" w:rsidP="0095714E">
      <w:pPr>
        <w:pStyle w:val="BodyText"/>
        <w:keepNext/>
        <w:jc w:val="center"/>
      </w:pPr>
      <w:r w:rsidRPr="0095714E">
        <w:rPr>
          <w:noProof/>
        </w:rPr>
        <w:drawing>
          <wp:inline distT="0" distB="0" distL="0" distR="0" wp14:anchorId="703C1292" wp14:editId="59DD7DDF">
            <wp:extent cx="5454000" cy="2023200"/>
            <wp:effectExtent l="19050" t="19050" r="13970" b="15240"/>
            <wp:docPr id="1797473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73261" name=""/>
                    <pic:cNvPicPr/>
                  </pic:nvPicPr>
                  <pic:blipFill>
                    <a:blip r:embed="rId21"/>
                    <a:stretch>
                      <a:fillRect/>
                    </a:stretch>
                  </pic:blipFill>
                  <pic:spPr>
                    <a:xfrm>
                      <a:off x="0" y="0"/>
                      <a:ext cx="5454000" cy="2023200"/>
                    </a:xfrm>
                    <a:prstGeom prst="rect">
                      <a:avLst/>
                    </a:prstGeom>
                    <a:ln>
                      <a:solidFill>
                        <a:schemeClr val="tx1"/>
                      </a:solidFill>
                    </a:ln>
                  </pic:spPr>
                </pic:pic>
              </a:graphicData>
            </a:graphic>
          </wp:inline>
        </w:drawing>
      </w:r>
    </w:p>
    <w:p w14:paraId="275FA4BD" w14:textId="148D687C" w:rsidR="0095714E" w:rsidRDefault="0095714E" w:rsidP="0095714E">
      <w:pPr>
        <w:pStyle w:val="Caption"/>
        <w:jc w:val="center"/>
      </w:pPr>
      <w:bookmarkStart w:id="13" w:name="_Ref197519446"/>
      <w:r>
        <w:t xml:space="preserve">Figure </w:t>
      </w:r>
      <w:r>
        <w:fldChar w:fldCharType="begin"/>
      </w:r>
      <w:r>
        <w:instrText xml:space="preserve"> SEQ Figure \* ARABIC </w:instrText>
      </w:r>
      <w:r>
        <w:fldChar w:fldCharType="separate"/>
      </w:r>
      <w:r w:rsidR="009873B7">
        <w:rPr>
          <w:noProof/>
        </w:rPr>
        <w:t>6</w:t>
      </w:r>
      <w:r>
        <w:fldChar w:fldCharType="end"/>
      </w:r>
      <w:bookmarkEnd w:id="13"/>
      <w:r>
        <w:t xml:space="preserve">. Inter-CU LTM related updates to clause 5.3.5.8.3 in the current version of </w:t>
      </w:r>
      <w:r w:rsidR="00043DC2">
        <w:t xml:space="preserve">the </w:t>
      </w:r>
      <w:r>
        <w:t>running CR</w:t>
      </w:r>
    </w:p>
    <w:p w14:paraId="745FED15" w14:textId="77777777" w:rsidR="00DD5D59" w:rsidRDefault="00DD5D59" w:rsidP="0095714E">
      <w:pPr>
        <w:pStyle w:val="BodyText"/>
      </w:pPr>
    </w:p>
    <w:p w14:paraId="644C8378" w14:textId="4386F06B" w:rsidR="00DD5D59" w:rsidRDefault="00DD5D59" w:rsidP="00DD5D59">
      <w:pPr>
        <w:pStyle w:val="BodyText"/>
      </w:pPr>
      <w:r>
        <w:t>It should be noted that the fast recovery conditions for Rel-19 inter-CU LTM scenarios captured in clause 5.3.7.3 in the current version of the running CR (</w:t>
      </w:r>
      <w:r w:rsidR="00394FCA">
        <w:fldChar w:fldCharType="begin"/>
      </w:r>
      <w:r w:rsidR="00394FCA">
        <w:instrText xml:space="preserve"> REF _Ref197524575 </w:instrText>
      </w:r>
      <w:r w:rsidR="00394FCA">
        <w:fldChar w:fldCharType="separate"/>
      </w:r>
      <w:r w:rsidR="009873B7">
        <w:t xml:space="preserve">Figure </w:t>
      </w:r>
      <w:r w:rsidR="009873B7">
        <w:rPr>
          <w:noProof/>
        </w:rPr>
        <w:t>7</w:t>
      </w:r>
      <w:r w:rsidR="00394FCA">
        <w:fldChar w:fldCharType="end"/>
      </w:r>
      <w:r>
        <w:t xml:space="preserve">) will continue to work correctly even after </w:t>
      </w:r>
      <w:r>
        <w:fldChar w:fldCharType="begin"/>
      </w:r>
      <w:r>
        <w:instrText xml:space="preserve"> REF _Ref197520203 \r </w:instrText>
      </w:r>
      <w:r>
        <w:fldChar w:fldCharType="separate"/>
      </w:r>
      <w:r w:rsidR="009873B7">
        <w:t>Proposal 1</w:t>
      </w:r>
      <w:r>
        <w:fldChar w:fldCharType="end"/>
      </w:r>
      <w:r>
        <w:t xml:space="preserve"> and </w:t>
      </w:r>
      <w:r>
        <w:fldChar w:fldCharType="begin"/>
      </w:r>
      <w:r>
        <w:instrText xml:space="preserve"> REF _Ref197519080 \n </w:instrText>
      </w:r>
      <w:r>
        <w:fldChar w:fldCharType="separate"/>
      </w:r>
      <w:r w:rsidR="009873B7">
        <w:t>Proposal 2</w:t>
      </w:r>
      <w:r>
        <w:fldChar w:fldCharType="end"/>
      </w:r>
      <w:r>
        <w:t xml:space="preserve"> are agreed. </w:t>
      </w:r>
    </w:p>
    <w:p w14:paraId="665C9185" w14:textId="60C412D6" w:rsidR="00DD5D59" w:rsidRDefault="00DD5D59" w:rsidP="00DD5D59">
      <w:pPr>
        <w:pStyle w:val="BodyText"/>
        <w:jc w:val="center"/>
      </w:pPr>
      <w:r>
        <w:rPr>
          <w:noProof/>
        </w:rPr>
        <w:drawing>
          <wp:inline distT="0" distB="0" distL="0" distR="0" wp14:anchorId="4FD2C7EC" wp14:editId="508A329A">
            <wp:extent cx="5172075" cy="2326005"/>
            <wp:effectExtent l="19050" t="19050" r="28575" b="17145"/>
            <wp:docPr id="1393144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72075" cy="2326005"/>
                    </a:xfrm>
                    <a:prstGeom prst="rect">
                      <a:avLst/>
                    </a:prstGeom>
                    <a:noFill/>
                    <a:ln w="9525" cmpd="sng">
                      <a:solidFill>
                        <a:srgbClr val="000000"/>
                      </a:solidFill>
                      <a:miter lim="800000"/>
                      <a:headEnd/>
                      <a:tailEnd/>
                    </a:ln>
                    <a:effectLst/>
                  </pic:spPr>
                </pic:pic>
              </a:graphicData>
            </a:graphic>
          </wp:inline>
        </w:drawing>
      </w:r>
    </w:p>
    <w:p w14:paraId="08478FFC" w14:textId="0FEE1C84" w:rsidR="00DD5D59" w:rsidRDefault="00DD5D59" w:rsidP="00DD5D59">
      <w:pPr>
        <w:pStyle w:val="Caption"/>
        <w:jc w:val="center"/>
      </w:pPr>
      <w:bookmarkStart w:id="14" w:name="_Ref197524575"/>
      <w:r>
        <w:t xml:space="preserve">Figure </w:t>
      </w:r>
      <w:r>
        <w:fldChar w:fldCharType="begin"/>
      </w:r>
      <w:r>
        <w:instrText xml:space="preserve"> SEQ Figure \* ARABIC </w:instrText>
      </w:r>
      <w:r>
        <w:fldChar w:fldCharType="separate"/>
      </w:r>
      <w:r w:rsidR="009873B7">
        <w:rPr>
          <w:noProof/>
        </w:rPr>
        <w:t>7</w:t>
      </w:r>
      <w:r>
        <w:fldChar w:fldCharType="end"/>
      </w:r>
      <w:bookmarkEnd w:id="14"/>
      <w:r>
        <w:t>. Fast recovery conditions for Rel-19 inter-CU LTM in clause 5.3.7.3 in the current version of the running CR</w:t>
      </w:r>
    </w:p>
    <w:p w14:paraId="1D4712C1" w14:textId="77777777" w:rsidR="00DD5D59" w:rsidRDefault="00DD5D59" w:rsidP="00DD5D59">
      <w:pPr>
        <w:pStyle w:val="BodyText"/>
      </w:pPr>
    </w:p>
    <w:p w14:paraId="5857A3A2" w14:textId="6120FB3F" w:rsidR="00DD5D59" w:rsidRDefault="00DD5D59" w:rsidP="00DD5D59">
      <w:pPr>
        <w:pStyle w:val="BodyText"/>
      </w:pPr>
      <w:r>
        <w:t>Finally, let's walk th</w:t>
      </w:r>
      <w:r w:rsidR="00394FCA">
        <w:t>r</w:t>
      </w:r>
      <w:r>
        <w:t xml:space="preserve">ough how fast recovery </w:t>
      </w:r>
      <w:r w:rsidR="00B2047F">
        <w:t>and legacy Rel-15 RRC connection is re-establishment will</w:t>
      </w:r>
      <w:r>
        <w:t xml:space="preserve"> operate</w:t>
      </w:r>
      <w:r w:rsidR="00B2047F">
        <w:t xml:space="preserve"> in Rel-19 inter-CU LTM scenarios</w:t>
      </w:r>
      <w:r>
        <w:t xml:space="preserve">, assuming </w:t>
      </w:r>
      <w:r>
        <w:fldChar w:fldCharType="begin"/>
      </w:r>
      <w:r>
        <w:instrText xml:space="preserve"> REF _Ref197520203 \r </w:instrText>
      </w:r>
      <w:r>
        <w:fldChar w:fldCharType="separate"/>
      </w:r>
      <w:r w:rsidR="009873B7">
        <w:t>Proposal 1</w:t>
      </w:r>
      <w:r>
        <w:fldChar w:fldCharType="end"/>
      </w:r>
      <w:r>
        <w:t xml:space="preserve"> and </w:t>
      </w:r>
      <w:r>
        <w:fldChar w:fldCharType="begin"/>
      </w:r>
      <w:r>
        <w:instrText xml:space="preserve"> REF _Ref197519080 \n </w:instrText>
      </w:r>
      <w:r>
        <w:fldChar w:fldCharType="separate"/>
      </w:r>
      <w:r w:rsidR="009873B7">
        <w:t>Proposal 2</w:t>
      </w:r>
      <w:r>
        <w:fldChar w:fldCharType="end"/>
      </w:r>
      <w:r>
        <w:t xml:space="preserve"> are agreed and the fast recovery conditions in clause 5.3.7.3 in the current version of the running CR are applied. Let's assume a scenario, where the original PCell belongs to CU1 (</w:t>
      </w:r>
      <w:r w:rsidRPr="00DD5D59">
        <w:rPr>
          <w:i/>
          <w:iCs/>
        </w:rPr>
        <w:t>ltm-NoSecurityChangeID</w:t>
      </w:r>
      <w:r>
        <w:t xml:space="preserve"> value 1) and the target PCell of the LTM </w:t>
      </w:r>
      <w:r>
        <w:lastRenderedPageBreak/>
        <w:t>cell switch triggered by the lower layers belongs to CU2 (</w:t>
      </w:r>
      <w:r>
        <w:rPr>
          <w:i/>
          <w:iCs/>
        </w:rPr>
        <w:t>ltm-NoSecurityChangeID</w:t>
      </w:r>
      <w:r>
        <w:t xml:space="preserve"> value 2). When the LTM cell switch triggered by lower layers from CU1 to CU2 fails (T304 expires), then:</w:t>
      </w:r>
    </w:p>
    <w:p w14:paraId="0C9A3A64" w14:textId="3D5E9791" w:rsidR="00DD5D59" w:rsidRDefault="00DD5D59" w:rsidP="00B841CD">
      <w:pPr>
        <w:pStyle w:val="BodyText"/>
        <w:numPr>
          <w:ilvl w:val="0"/>
          <w:numId w:val="41"/>
        </w:numPr>
        <w:textAlignment w:val="auto"/>
      </w:pPr>
      <w:r>
        <w:t xml:space="preserve">The UE reverts back to CU1 configuration, including </w:t>
      </w:r>
      <w:r>
        <w:rPr>
          <w:i/>
          <w:iCs/>
        </w:rPr>
        <w:t>VarLTM-ServingCellNoSecurityChangeID</w:t>
      </w:r>
      <w:r w:rsidR="00B22E43" w:rsidRPr="00B22E43">
        <w:t>.</w:t>
      </w:r>
      <w:r>
        <w:t xml:space="preserve"> (</w:t>
      </w:r>
      <w:r>
        <w:fldChar w:fldCharType="begin"/>
      </w:r>
      <w:r>
        <w:instrText xml:space="preserve"> REF _Ref197520203 \r </w:instrText>
      </w:r>
      <w:r>
        <w:fldChar w:fldCharType="separate"/>
      </w:r>
      <w:r w:rsidR="009873B7">
        <w:t>Proposal 1</w:t>
      </w:r>
      <w:r>
        <w:fldChar w:fldCharType="end"/>
      </w:r>
      <w:r>
        <w:t xml:space="preserve"> and </w:t>
      </w:r>
      <w:r>
        <w:fldChar w:fldCharType="begin"/>
      </w:r>
      <w:r>
        <w:instrText xml:space="preserve"> REF _Ref197519080 \n </w:instrText>
      </w:r>
      <w:r>
        <w:fldChar w:fldCharType="separate"/>
      </w:r>
      <w:r w:rsidR="009873B7">
        <w:t>Proposal 2</w:t>
      </w:r>
      <w:r>
        <w:fldChar w:fldCharType="end"/>
      </w:r>
      <w:r>
        <w:t>)</w:t>
      </w:r>
    </w:p>
    <w:p w14:paraId="69130CB9" w14:textId="3A682729" w:rsidR="00DD5D59" w:rsidRDefault="00DD5D59" w:rsidP="00B841CD">
      <w:pPr>
        <w:pStyle w:val="BodyText"/>
        <w:numPr>
          <w:ilvl w:val="0"/>
          <w:numId w:val="41"/>
        </w:numPr>
        <w:textAlignment w:val="auto"/>
      </w:pPr>
      <w:r>
        <w:t>The UE performs cell selection during T311.</w:t>
      </w:r>
    </w:p>
    <w:p w14:paraId="7F1438C5" w14:textId="1DB3F2CC" w:rsidR="00DD5D59" w:rsidRDefault="00DD5D59" w:rsidP="00DD5D59">
      <w:pPr>
        <w:pStyle w:val="BodyText"/>
        <w:numPr>
          <w:ilvl w:val="0"/>
          <w:numId w:val="41"/>
        </w:numPr>
        <w:textAlignment w:val="auto"/>
      </w:pPr>
      <w:r>
        <w:t xml:space="preserve">If the selected cell is LTM candidate </w:t>
      </w:r>
      <w:r w:rsidR="00394FCA">
        <w:t xml:space="preserve">cell </w:t>
      </w:r>
      <w:r>
        <w:t>which belongs to CU1, the UE does not attempt fast recovery, but instead the UE initiates legacy Rel-15 RRC connection re-establishment.</w:t>
      </w:r>
      <w:r w:rsidR="00B2047F">
        <w:t xml:space="preserve"> </w:t>
      </w:r>
      <w:r w:rsidR="00B2047F" w:rsidRPr="009873B7">
        <w:rPr>
          <w:u w:val="single"/>
        </w:rPr>
        <w:t xml:space="preserve">The current UE configuration when the UE initiates </w:t>
      </w:r>
      <w:r w:rsidR="00B2047F">
        <w:rPr>
          <w:u w:val="single"/>
        </w:rPr>
        <w:t xml:space="preserve">the </w:t>
      </w:r>
      <w:r w:rsidR="00B2047F" w:rsidRPr="009873B7">
        <w:rPr>
          <w:u w:val="single"/>
        </w:rPr>
        <w:t xml:space="preserve">re-establishment is correctly the </w:t>
      </w:r>
      <w:r w:rsidR="00B2047F">
        <w:rPr>
          <w:u w:val="single"/>
        </w:rPr>
        <w:t>configuration of the original PCell.</w:t>
      </w:r>
    </w:p>
    <w:p w14:paraId="295B9E06" w14:textId="0D5C53CF" w:rsidR="00DD5D59" w:rsidRDefault="00DD5D59" w:rsidP="00B841CD">
      <w:pPr>
        <w:pStyle w:val="BodyText"/>
        <w:numPr>
          <w:ilvl w:val="0"/>
          <w:numId w:val="41"/>
        </w:numPr>
        <w:textAlignment w:val="auto"/>
      </w:pPr>
      <w:r>
        <w:t xml:space="preserve">If the selected cell is LTM candidate </w:t>
      </w:r>
      <w:r w:rsidR="00394FCA">
        <w:t xml:space="preserve">cell </w:t>
      </w:r>
      <w:r>
        <w:t>which belongs to CU2, the UE attempt</w:t>
      </w:r>
      <w:r w:rsidR="00394FCA">
        <w:t>s</w:t>
      </w:r>
      <w:r>
        <w:t xml:space="preserve"> fast recovery.</w:t>
      </w:r>
    </w:p>
    <w:p w14:paraId="1F746F5F" w14:textId="7F70EE60" w:rsidR="00DD5D59" w:rsidRDefault="00DD5D59" w:rsidP="00DD5D59">
      <w:pPr>
        <w:pStyle w:val="BodyText"/>
        <w:numPr>
          <w:ilvl w:val="1"/>
          <w:numId w:val="41"/>
        </w:numPr>
        <w:textAlignment w:val="auto"/>
      </w:pPr>
      <w:r>
        <w:t xml:space="preserve">Since </w:t>
      </w:r>
      <w:r w:rsidR="00B2047F">
        <w:t xml:space="preserve">the </w:t>
      </w:r>
      <w:r>
        <w:t xml:space="preserve">content of </w:t>
      </w:r>
      <w:r>
        <w:rPr>
          <w:i/>
          <w:iCs/>
        </w:rPr>
        <w:t xml:space="preserve">VarLTM-ServingCellNoSecurityChangeID </w:t>
      </w:r>
      <w:r>
        <w:t xml:space="preserve">was also reverted back, </w:t>
      </w:r>
      <w:r w:rsidRPr="009873B7">
        <w:rPr>
          <w:u w:val="single"/>
        </w:rPr>
        <w:t xml:space="preserve">the UE </w:t>
      </w:r>
      <w:r w:rsidR="00B2047F" w:rsidRPr="009873B7">
        <w:rPr>
          <w:u w:val="single"/>
        </w:rPr>
        <w:t xml:space="preserve">correctly </w:t>
      </w:r>
      <w:r w:rsidRPr="009873B7">
        <w:rPr>
          <w:u w:val="single"/>
        </w:rPr>
        <w:t xml:space="preserve">sees the LTM cell switch for the fast recovery as </w:t>
      </w:r>
      <w:r w:rsidR="005356A3">
        <w:rPr>
          <w:u w:val="single"/>
        </w:rPr>
        <w:t xml:space="preserve">(another) </w:t>
      </w:r>
      <w:r w:rsidRPr="009873B7">
        <w:rPr>
          <w:u w:val="single"/>
        </w:rPr>
        <w:t>inter-CU LTM cell switch</w:t>
      </w:r>
      <w:r>
        <w:t>, i.e., performs master key update and PDCP re-establishment</w:t>
      </w:r>
      <w:r w:rsidR="00B2047F">
        <w:t xml:space="preserve"> for the fast recovery</w:t>
      </w:r>
      <w:r>
        <w:t>.</w:t>
      </w:r>
    </w:p>
    <w:p w14:paraId="091478EE" w14:textId="148928FE" w:rsidR="00394FCA" w:rsidRDefault="00394FCA" w:rsidP="00DD5D59">
      <w:pPr>
        <w:pStyle w:val="BodyText"/>
        <w:numPr>
          <w:ilvl w:val="1"/>
          <w:numId w:val="41"/>
        </w:numPr>
        <w:textAlignment w:val="auto"/>
      </w:pPr>
      <w:r>
        <w:t xml:space="preserve">If the fast recovery fails (T304 expires), the UE </w:t>
      </w:r>
      <w:r w:rsidR="00B2047F">
        <w:t xml:space="preserve">again </w:t>
      </w:r>
      <w:r>
        <w:t>reverts back to CU1 configuration and initiates legacy Rel-15 RRC connection re-establishment.</w:t>
      </w:r>
      <w:r w:rsidR="00B2047F" w:rsidRPr="009873B7">
        <w:t xml:space="preserve"> </w:t>
      </w:r>
      <w:r w:rsidR="00B2047F">
        <w:rPr>
          <w:u w:val="single"/>
        </w:rPr>
        <w:t>The current UE configuration when the UE initiates the re-establishment is correctly the configuration of the original PCell.</w:t>
      </w:r>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11CFE9" w14:textId="21006472" w:rsidR="009873B7" w:rsidRDefault="006E1C82">
      <w:pPr>
        <w:pStyle w:val="TableofFigures"/>
        <w:tabs>
          <w:tab w:val="right" w:leader="dot" w:pos="9629"/>
        </w:tabs>
        <w:rPr>
          <w:rFonts w:asciiTheme="minorHAnsi" w:eastAsiaTheme="minorEastAsia" w:hAnsiTheme="minorHAnsi" w:cstheme="minorBidi"/>
          <w:b w:val="0"/>
          <w:noProof/>
          <w:kern w:val="2"/>
          <w:sz w:val="22"/>
          <w:szCs w:val="22"/>
          <w:lang w:val="fi-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592696" w:history="1">
        <w:r w:rsidR="009873B7" w:rsidRPr="00FE3C3F">
          <w:rPr>
            <w:rStyle w:val="Hyperlink"/>
            <w:noProof/>
          </w:rPr>
          <w:t>Proposal 1</w:t>
        </w:r>
        <w:r w:rsidR="009873B7">
          <w:rPr>
            <w:rFonts w:asciiTheme="minorHAnsi" w:eastAsiaTheme="minorEastAsia" w:hAnsiTheme="minorHAnsi" w:cstheme="minorBidi"/>
            <w:b w:val="0"/>
            <w:noProof/>
            <w:kern w:val="2"/>
            <w:sz w:val="22"/>
            <w:szCs w:val="22"/>
            <w:lang w:val="fi-FI"/>
            <w14:ligatures w14:val="standardContextual"/>
          </w:rPr>
          <w:tab/>
        </w:r>
        <w:r w:rsidR="009873B7" w:rsidRPr="00FE3C3F">
          <w:rPr>
            <w:rStyle w:val="Hyperlink"/>
            <w:noProof/>
          </w:rPr>
          <w:t xml:space="preserve">Rel-19 inter-CU LTM related UE variable </w:t>
        </w:r>
        <w:r w:rsidR="009873B7" w:rsidRPr="00FE3C3F">
          <w:rPr>
            <w:rStyle w:val="Hyperlink"/>
            <w:i/>
            <w:iCs/>
            <w:noProof/>
          </w:rPr>
          <w:t>VarLTM-ServingCellNoSecurityChange</w:t>
        </w:r>
        <w:r w:rsidR="009873B7" w:rsidRPr="00FE3C3F">
          <w:rPr>
            <w:rStyle w:val="Hyperlink"/>
            <w:noProof/>
          </w:rPr>
          <w:t xml:space="preserve"> is reverted back to its value in the source PCell when T304 expires.</w:t>
        </w:r>
      </w:hyperlink>
    </w:p>
    <w:p w14:paraId="0961DD90" w14:textId="33739EBB" w:rsidR="009873B7" w:rsidRDefault="00000000">
      <w:pPr>
        <w:pStyle w:val="TableofFigures"/>
        <w:tabs>
          <w:tab w:val="right" w:leader="dot" w:pos="9629"/>
        </w:tabs>
        <w:rPr>
          <w:rFonts w:asciiTheme="minorHAnsi" w:eastAsiaTheme="minorEastAsia" w:hAnsiTheme="minorHAnsi" w:cstheme="minorBidi"/>
          <w:b w:val="0"/>
          <w:noProof/>
          <w:kern w:val="2"/>
          <w:sz w:val="22"/>
          <w:szCs w:val="22"/>
          <w:lang w:val="fi-FI"/>
          <w14:ligatures w14:val="standardContextual"/>
        </w:rPr>
      </w:pPr>
      <w:hyperlink w:anchor="_Toc197592697" w:history="1">
        <w:r w:rsidR="009873B7" w:rsidRPr="00FE3C3F">
          <w:rPr>
            <w:rStyle w:val="Hyperlink"/>
            <w:noProof/>
          </w:rPr>
          <w:t>Proposal 2</w:t>
        </w:r>
        <w:r w:rsidR="009873B7">
          <w:rPr>
            <w:rFonts w:asciiTheme="minorHAnsi" w:eastAsiaTheme="minorEastAsia" w:hAnsiTheme="minorHAnsi" w:cstheme="minorBidi"/>
            <w:b w:val="0"/>
            <w:noProof/>
            <w:kern w:val="2"/>
            <w:sz w:val="22"/>
            <w:szCs w:val="22"/>
            <w:lang w:val="fi-FI"/>
            <w14:ligatures w14:val="standardContextual"/>
          </w:rPr>
          <w:tab/>
        </w:r>
        <w:r w:rsidR="009873B7" w:rsidRPr="00FE3C3F">
          <w:rPr>
            <w:rStyle w:val="Hyperlink"/>
            <w:noProof/>
          </w:rPr>
          <w:t>Similarly as in Rel-18, also in Rel-19 the UE always reverts back to the previous PCell configuration when T304 expires.</w:t>
        </w:r>
      </w:hyperlink>
    </w:p>
    <w:p w14:paraId="654E342B" w14:textId="0A7D8E78" w:rsidR="00E269F9" w:rsidRDefault="006E1C82" w:rsidP="00DD5D59">
      <w:pPr>
        <w:pStyle w:val="TableofFigures"/>
        <w:tabs>
          <w:tab w:val="right" w:leader="dot" w:pos="9629"/>
        </w:tabs>
        <w:ind w:left="0" w:firstLine="0"/>
        <w:rPr>
          <w:i/>
          <w:iCs/>
          <w:lang w:val="en-US"/>
        </w:rPr>
      </w:pPr>
      <w:r>
        <w:rPr>
          <w:lang w:val="en-US"/>
        </w:rPr>
        <w:fldChar w:fldCharType="end"/>
      </w:r>
      <w:bookmarkStart w:id="15" w:name="_In-sequence_SDU_delivery"/>
      <w:bookmarkEnd w:id="15"/>
    </w:p>
    <w:p w14:paraId="0E7CC1C9" w14:textId="77777777" w:rsidR="00E269F9" w:rsidRPr="00787536" w:rsidRDefault="00E269F9" w:rsidP="00787536">
      <w:pPr>
        <w:rPr>
          <w:lang w:val="en-US"/>
        </w:rPr>
      </w:pPr>
    </w:p>
    <w:sectPr w:rsidR="00E269F9" w:rsidRPr="00787536" w:rsidSect="00DD5D59">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527B" w14:textId="77777777" w:rsidR="00193FC2" w:rsidRDefault="00193FC2">
      <w:r>
        <w:separator/>
      </w:r>
    </w:p>
  </w:endnote>
  <w:endnote w:type="continuationSeparator" w:id="0">
    <w:p w14:paraId="6B4D45B4" w14:textId="77777777" w:rsidR="00193FC2" w:rsidRDefault="0019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FDF4" w14:textId="77777777" w:rsidR="00193FC2" w:rsidRDefault="00193FC2">
      <w:r>
        <w:separator/>
      </w:r>
    </w:p>
  </w:footnote>
  <w:footnote w:type="continuationSeparator" w:id="0">
    <w:p w14:paraId="2F494D6F" w14:textId="77777777" w:rsidR="00193FC2" w:rsidRDefault="0019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B243F1"/>
    <w:multiLevelType w:val="hybridMultilevel"/>
    <w:tmpl w:val="924268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E18AEBE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186676BE"/>
    <w:lvl w:ilvl="0" w:tplc="E4D450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906163"/>
    <w:multiLevelType w:val="hybridMultilevel"/>
    <w:tmpl w:val="A0AED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4"/>
  </w:num>
  <w:num w:numId="3" w16cid:durableId="149030463">
    <w:abstractNumId w:val="20"/>
  </w:num>
  <w:num w:numId="4" w16cid:durableId="1793861358">
    <w:abstractNumId w:val="21"/>
  </w:num>
  <w:num w:numId="5" w16cid:durableId="1243223580">
    <w:abstractNumId w:val="16"/>
  </w:num>
  <w:num w:numId="6" w16cid:durableId="228659845">
    <w:abstractNumId w:val="23"/>
  </w:num>
  <w:num w:numId="7" w16cid:durableId="758915933">
    <w:abstractNumId w:val="27"/>
  </w:num>
  <w:num w:numId="8" w16cid:durableId="779645832">
    <w:abstractNumId w:val="17"/>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5"/>
  </w:num>
  <w:num w:numId="14" w16cid:durableId="1237780611">
    <w:abstractNumId w:val="26"/>
  </w:num>
  <w:num w:numId="15" w16cid:durableId="1303653466">
    <w:abstractNumId w:val="22"/>
  </w:num>
  <w:num w:numId="16" w16cid:durableId="1461000268">
    <w:abstractNumId w:val="28"/>
  </w:num>
  <w:num w:numId="17" w16cid:durableId="2068138227">
    <w:abstractNumId w:val="8"/>
  </w:num>
  <w:num w:numId="18" w16cid:durableId="458114767">
    <w:abstractNumId w:val="10"/>
  </w:num>
  <w:num w:numId="19" w16cid:durableId="995108944">
    <w:abstractNumId w:val="4"/>
  </w:num>
  <w:num w:numId="20" w16cid:durableId="822239829">
    <w:abstractNumId w:val="34"/>
  </w:num>
  <w:num w:numId="21" w16cid:durableId="976183084">
    <w:abstractNumId w:val="19"/>
  </w:num>
  <w:num w:numId="22" w16cid:durableId="1374117700">
    <w:abstractNumId w:val="32"/>
  </w:num>
  <w:num w:numId="23" w16cid:durableId="641887580">
    <w:abstractNumId w:val="33"/>
  </w:num>
  <w:num w:numId="24" w16cid:durableId="1930237104">
    <w:abstractNumId w:val="29"/>
  </w:num>
  <w:num w:numId="25" w16cid:durableId="883368040">
    <w:abstractNumId w:val="15"/>
  </w:num>
  <w:num w:numId="26" w16cid:durableId="2123258985">
    <w:abstractNumId w:val="11"/>
  </w:num>
  <w:num w:numId="27" w16cid:durableId="36855504">
    <w:abstractNumId w:val="9"/>
  </w:num>
  <w:num w:numId="28" w16cid:durableId="1863397989">
    <w:abstractNumId w:val="6"/>
  </w:num>
  <w:num w:numId="29" w16cid:durableId="483739148">
    <w:abstractNumId w:val="14"/>
  </w:num>
  <w:num w:numId="30" w16cid:durableId="1289819180">
    <w:abstractNumId w:val="30"/>
  </w:num>
  <w:num w:numId="31" w16cid:durableId="2116288603">
    <w:abstractNumId w:val="35"/>
  </w:num>
  <w:num w:numId="32" w16cid:durableId="1902667659">
    <w:abstractNumId w:val="7"/>
  </w:num>
  <w:num w:numId="33" w16cid:durableId="613099520">
    <w:abstractNumId w:val="18"/>
  </w:num>
  <w:num w:numId="34" w16cid:durableId="808982930">
    <w:abstractNumId w:val="12"/>
  </w:num>
  <w:num w:numId="35" w16cid:durableId="1968312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2737363">
    <w:abstractNumId w:val="33"/>
  </w:num>
  <w:num w:numId="37" w16cid:durableId="16946473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6262529">
    <w:abstractNumId w:val="5"/>
  </w:num>
  <w:num w:numId="39" w16cid:durableId="730233154">
    <w:abstractNumId w:val="5"/>
  </w:num>
  <w:num w:numId="40" w16cid:durableId="680862774">
    <w:abstractNumId w:val="31"/>
  </w:num>
  <w:num w:numId="41" w16cid:durableId="202292755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2A7"/>
    <w:rsid w:val="00016B28"/>
    <w:rsid w:val="0002564D"/>
    <w:rsid w:val="00025ECA"/>
    <w:rsid w:val="000325B8"/>
    <w:rsid w:val="0003356D"/>
    <w:rsid w:val="00034C15"/>
    <w:rsid w:val="00036BA1"/>
    <w:rsid w:val="0004201A"/>
    <w:rsid w:val="000422E2"/>
    <w:rsid w:val="00042F22"/>
    <w:rsid w:val="00043DC2"/>
    <w:rsid w:val="000444EF"/>
    <w:rsid w:val="0005261A"/>
    <w:rsid w:val="00052A07"/>
    <w:rsid w:val="000534E3"/>
    <w:rsid w:val="0005606A"/>
    <w:rsid w:val="00057117"/>
    <w:rsid w:val="00057F1A"/>
    <w:rsid w:val="00060CA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740"/>
    <w:rsid w:val="000B58C3"/>
    <w:rsid w:val="000B61E9"/>
    <w:rsid w:val="000C165A"/>
    <w:rsid w:val="000C2E19"/>
    <w:rsid w:val="000C3312"/>
    <w:rsid w:val="000C467B"/>
    <w:rsid w:val="000D0D07"/>
    <w:rsid w:val="000D3AB1"/>
    <w:rsid w:val="000D4797"/>
    <w:rsid w:val="000E0527"/>
    <w:rsid w:val="000E1E92"/>
    <w:rsid w:val="000E3579"/>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24B7"/>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4E71"/>
    <w:rsid w:val="00146CDC"/>
    <w:rsid w:val="00151E23"/>
    <w:rsid w:val="001526E0"/>
    <w:rsid w:val="001551B5"/>
    <w:rsid w:val="001659C1"/>
    <w:rsid w:val="00170B7B"/>
    <w:rsid w:val="00173A8E"/>
    <w:rsid w:val="00173F6A"/>
    <w:rsid w:val="0017502C"/>
    <w:rsid w:val="00181432"/>
    <w:rsid w:val="0018143F"/>
    <w:rsid w:val="00181FF8"/>
    <w:rsid w:val="001855BC"/>
    <w:rsid w:val="00190AC1"/>
    <w:rsid w:val="00191126"/>
    <w:rsid w:val="0019341A"/>
    <w:rsid w:val="00193FC2"/>
    <w:rsid w:val="00197DF9"/>
    <w:rsid w:val="001A1987"/>
    <w:rsid w:val="001A2564"/>
    <w:rsid w:val="001A397D"/>
    <w:rsid w:val="001A3AAB"/>
    <w:rsid w:val="001A6173"/>
    <w:rsid w:val="001A6CBA"/>
    <w:rsid w:val="001B0D97"/>
    <w:rsid w:val="001B5812"/>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16C17"/>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A36"/>
    <w:rsid w:val="00247873"/>
    <w:rsid w:val="002500C8"/>
    <w:rsid w:val="00253365"/>
    <w:rsid w:val="00257543"/>
    <w:rsid w:val="002617E7"/>
    <w:rsid w:val="00264228"/>
    <w:rsid w:val="00264334"/>
    <w:rsid w:val="0026473E"/>
    <w:rsid w:val="00266214"/>
    <w:rsid w:val="00267C83"/>
    <w:rsid w:val="0027144F"/>
    <w:rsid w:val="00271813"/>
    <w:rsid w:val="00271F3A"/>
    <w:rsid w:val="00272975"/>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B4722"/>
    <w:rsid w:val="002C41E6"/>
    <w:rsid w:val="002D071A"/>
    <w:rsid w:val="002D34B2"/>
    <w:rsid w:val="002D48B0"/>
    <w:rsid w:val="002D5B37"/>
    <w:rsid w:val="002D7637"/>
    <w:rsid w:val="002E17F2"/>
    <w:rsid w:val="002E7CAE"/>
    <w:rsid w:val="002F2771"/>
    <w:rsid w:val="002F37A9"/>
    <w:rsid w:val="00301CE6"/>
    <w:rsid w:val="0030224D"/>
    <w:rsid w:val="0030256B"/>
    <w:rsid w:val="0030501F"/>
    <w:rsid w:val="00307BA1"/>
    <w:rsid w:val="00311702"/>
    <w:rsid w:val="00311E82"/>
    <w:rsid w:val="00313FD6"/>
    <w:rsid w:val="003143BD"/>
    <w:rsid w:val="00315363"/>
    <w:rsid w:val="003203ED"/>
    <w:rsid w:val="00320EE8"/>
    <w:rsid w:val="003210D6"/>
    <w:rsid w:val="00322C9F"/>
    <w:rsid w:val="003233AD"/>
    <w:rsid w:val="00324D23"/>
    <w:rsid w:val="00326C0C"/>
    <w:rsid w:val="00331751"/>
    <w:rsid w:val="00334579"/>
    <w:rsid w:val="00335858"/>
    <w:rsid w:val="00336BDA"/>
    <w:rsid w:val="00342BD7"/>
    <w:rsid w:val="00346DB5"/>
    <w:rsid w:val="003477B1"/>
    <w:rsid w:val="00353A83"/>
    <w:rsid w:val="00353E35"/>
    <w:rsid w:val="003563EC"/>
    <w:rsid w:val="00357380"/>
    <w:rsid w:val="003602D9"/>
    <w:rsid w:val="003604CE"/>
    <w:rsid w:val="0036155F"/>
    <w:rsid w:val="00370E47"/>
    <w:rsid w:val="003742AC"/>
    <w:rsid w:val="003750CB"/>
    <w:rsid w:val="00377CE1"/>
    <w:rsid w:val="00385BF0"/>
    <w:rsid w:val="00390978"/>
    <w:rsid w:val="003939FF"/>
    <w:rsid w:val="00393FEC"/>
    <w:rsid w:val="00394FCA"/>
    <w:rsid w:val="00395E16"/>
    <w:rsid w:val="003A2223"/>
    <w:rsid w:val="003A2A0F"/>
    <w:rsid w:val="003A45A1"/>
    <w:rsid w:val="003A5B0A"/>
    <w:rsid w:val="003A6BAC"/>
    <w:rsid w:val="003A70A4"/>
    <w:rsid w:val="003A7EF3"/>
    <w:rsid w:val="003B159C"/>
    <w:rsid w:val="003B369F"/>
    <w:rsid w:val="003B36A3"/>
    <w:rsid w:val="003B419A"/>
    <w:rsid w:val="003B64BB"/>
    <w:rsid w:val="003B7B8E"/>
    <w:rsid w:val="003B7FE5"/>
    <w:rsid w:val="003C06E7"/>
    <w:rsid w:val="003C11C8"/>
    <w:rsid w:val="003C2702"/>
    <w:rsid w:val="003C7806"/>
    <w:rsid w:val="003D109F"/>
    <w:rsid w:val="003D2478"/>
    <w:rsid w:val="003D308F"/>
    <w:rsid w:val="003D3C45"/>
    <w:rsid w:val="003D5B1F"/>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0F48"/>
    <w:rsid w:val="0041263E"/>
    <w:rsid w:val="00413AAC"/>
    <w:rsid w:val="00413E92"/>
    <w:rsid w:val="0041532D"/>
    <w:rsid w:val="00421105"/>
    <w:rsid w:val="00422AA4"/>
    <w:rsid w:val="004234F9"/>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64BD"/>
    <w:rsid w:val="00477768"/>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4F7C25"/>
    <w:rsid w:val="00501CE3"/>
    <w:rsid w:val="00506557"/>
    <w:rsid w:val="0050677A"/>
    <w:rsid w:val="005108D8"/>
    <w:rsid w:val="005116F9"/>
    <w:rsid w:val="005153A7"/>
    <w:rsid w:val="00516B29"/>
    <w:rsid w:val="005219CF"/>
    <w:rsid w:val="0052513D"/>
    <w:rsid w:val="005326CB"/>
    <w:rsid w:val="00534B59"/>
    <w:rsid w:val="005356A3"/>
    <w:rsid w:val="00536759"/>
    <w:rsid w:val="00537C62"/>
    <w:rsid w:val="0054123E"/>
    <w:rsid w:val="00546970"/>
    <w:rsid w:val="00554E19"/>
    <w:rsid w:val="0056121F"/>
    <w:rsid w:val="00572505"/>
    <w:rsid w:val="00575410"/>
    <w:rsid w:val="00577948"/>
    <w:rsid w:val="00582809"/>
    <w:rsid w:val="005863B8"/>
    <w:rsid w:val="0058798C"/>
    <w:rsid w:val="005900FA"/>
    <w:rsid w:val="005935A4"/>
    <w:rsid w:val="005948C2"/>
    <w:rsid w:val="00595DCA"/>
    <w:rsid w:val="0059779B"/>
    <w:rsid w:val="005A209A"/>
    <w:rsid w:val="005A228E"/>
    <w:rsid w:val="005A662D"/>
    <w:rsid w:val="005B1409"/>
    <w:rsid w:val="005B35D7"/>
    <w:rsid w:val="005B392A"/>
    <w:rsid w:val="005B3AA3"/>
    <w:rsid w:val="005B6F83"/>
    <w:rsid w:val="005C0EF3"/>
    <w:rsid w:val="005C538D"/>
    <w:rsid w:val="005C74FB"/>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1D22"/>
    <w:rsid w:val="0067218F"/>
    <w:rsid w:val="006741F2"/>
    <w:rsid w:val="00674CC3"/>
    <w:rsid w:val="00675C72"/>
    <w:rsid w:val="006771F9"/>
    <w:rsid w:val="006776D7"/>
    <w:rsid w:val="00681003"/>
    <w:rsid w:val="006817C9"/>
    <w:rsid w:val="00683ECE"/>
    <w:rsid w:val="00686F39"/>
    <w:rsid w:val="00695963"/>
    <w:rsid w:val="00695FC2"/>
    <w:rsid w:val="00696949"/>
    <w:rsid w:val="00697052"/>
    <w:rsid w:val="006A46FB"/>
    <w:rsid w:val="006A5E28"/>
    <w:rsid w:val="006A697B"/>
    <w:rsid w:val="006A7AFF"/>
    <w:rsid w:val="006B1816"/>
    <w:rsid w:val="006B2099"/>
    <w:rsid w:val="006B217F"/>
    <w:rsid w:val="006B50CF"/>
    <w:rsid w:val="006C03B8"/>
    <w:rsid w:val="006C5EC9"/>
    <w:rsid w:val="006C6059"/>
    <w:rsid w:val="006C7262"/>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1FA3"/>
    <w:rsid w:val="007348B1"/>
    <w:rsid w:val="007362A6"/>
    <w:rsid w:val="00736D7D"/>
    <w:rsid w:val="00740E58"/>
    <w:rsid w:val="007445A0"/>
    <w:rsid w:val="0074514E"/>
    <w:rsid w:val="0074524B"/>
    <w:rsid w:val="00747D8B"/>
    <w:rsid w:val="00751228"/>
    <w:rsid w:val="007571E1"/>
    <w:rsid w:val="007604B2"/>
    <w:rsid w:val="00762940"/>
    <w:rsid w:val="00765281"/>
    <w:rsid w:val="007655CF"/>
    <w:rsid w:val="00766BAD"/>
    <w:rsid w:val="007729A2"/>
    <w:rsid w:val="007755F2"/>
    <w:rsid w:val="00776971"/>
    <w:rsid w:val="00780A80"/>
    <w:rsid w:val="0078177E"/>
    <w:rsid w:val="0078304C"/>
    <w:rsid w:val="00783673"/>
    <w:rsid w:val="00785490"/>
    <w:rsid w:val="00787536"/>
    <w:rsid w:val="007910D0"/>
    <w:rsid w:val="007925EA"/>
    <w:rsid w:val="00793CD8"/>
    <w:rsid w:val="00795C92"/>
    <w:rsid w:val="00796231"/>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11A"/>
    <w:rsid w:val="00824AB4"/>
    <w:rsid w:val="00825A16"/>
    <w:rsid w:val="00825C42"/>
    <w:rsid w:val="00825D25"/>
    <w:rsid w:val="008278BA"/>
    <w:rsid w:val="00827D6F"/>
    <w:rsid w:val="00835FE0"/>
    <w:rsid w:val="008376AC"/>
    <w:rsid w:val="008444E8"/>
    <w:rsid w:val="00844E80"/>
    <w:rsid w:val="00846FE7"/>
    <w:rsid w:val="00850D85"/>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607A"/>
    <w:rsid w:val="008B7B5C"/>
    <w:rsid w:val="008C0C99"/>
    <w:rsid w:val="008C2017"/>
    <w:rsid w:val="008C4958"/>
    <w:rsid w:val="008C4BAA"/>
    <w:rsid w:val="008C6AE8"/>
    <w:rsid w:val="008C7573"/>
    <w:rsid w:val="008D00A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D9"/>
    <w:rsid w:val="00914AD8"/>
    <w:rsid w:val="00916079"/>
    <w:rsid w:val="00917CE9"/>
    <w:rsid w:val="00920BF2"/>
    <w:rsid w:val="00922010"/>
    <w:rsid w:val="00925ECE"/>
    <w:rsid w:val="00931BD9"/>
    <w:rsid w:val="009368F3"/>
    <w:rsid w:val="00941636"/>
    <w:rsid w:val="00943742"/>
    <w:rsid w:val="00945A52"/>
    <w:rsid w:val="00945C05"/>
    <w:rsid w:val="00946945"/>
    <w:rsid w:val="00947713"/>
    <w:rsid w:val="00950DE7"/>
    <w:rsid w:val="00953920"/>
    <w:rsid w:val="00953D47"/>
    <w:rsid w:val="00955B1C"/>
    <w:rsid w:val="00956273"/>
    <w:rsid w:val="0095681E"/>
    <w:rsid w:val="0095714E"/>
    <w:rsid w:val="009572D4"/>
    <w:rsid w:val="00961921"/>
    <w:rsid w:val="0096430A"/>
    <w:rsid w:val="0096554B"/>
    <w:rsid w:val="0096584A"/>
    <w:rsid w:val="00971F08"/>
    <w:rsid w:val="0097603D"/>
    <w:rsid w:val="00976949"/>
    <w:rsid w:val="00980477"/>
    <w:rsid w:val="009826C7"/>
    <w:rsid w:val="00984B38"/>
    <w:rsid w:val="00985253"/>
    <w:rsid w:val="009853B3"/>
    <w:rsid w:val="009866E4"/>
    <w:rsid w:val="00987313"/>
    <w:rsid w:val="009873B7"/>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66"/>
    <w:rsid w:val="009E068F"/>
    <w:rsid w:val="009E14E0"/>
    <w:rsid w:val="009E35DB"/>
    <w:rsid w:val="009E47A3"/>
    <w:rsid w:val="009F0157"/>
    <w:rsid w:val="009F08F3"/>
    <w:rsid w:val="009F13F9"/>
    <w:rsid w:val="009F344F"/>
    <w:rsid w:val="009F380A"/>
    <w:rsid w:val="00A031D8"/>
    <w:rsid w:val="00A048A8"/>
    <w:rsid w:val="00A04F49"/>
    <w:rsid w:val="00A13E54"/>
    <w:rsid w:val="00A14228"/>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B99"/>
    <w:rsid w:val="00A739D0"/>
    <w:rsid w:val="00A761D4"/>
    <w:rsid w:val="00A77EC4"/>
    <w:rsid w:val="00A808CB"/>
    <w:rsid w:val="00A92879"/>
    <w:rsid w:val="00A9442A"/>
    <w:rsid w:val="00A96CFD"/>
    <w:rsid w:val="00AA016F"/>
    <w:rsid w:val="00AA1ED6"/>
    <w:rsid w:val="00AA3B0B"/>
    <w:rsid w:val="00AA51D6"/>
    <w:rsid w:val="00AA5497"/>
    <w:rsid w:val="00AA66FA"/>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57F9"/>
    <w:rsid w:val="00B160A3"/>
    <w:rsid w:val="00B20256"/>
    <w:rsid w:val="00B2047F"/>
    <w:rsid w:val="00B20D09"/>
    <w:rsid w:val="00B22E43"/>
    <w:rsid w:val="00B2339A"/>
    <w:rsid w:val="00B2763F"/>
    <w:rsid w:val="00B27AAC"/>
    <w:rsid w:val="00B30929"/>
    <w:rsid w:val="00B3477C"/>
    <w:rsid w:val="00B372AA"/>
    <w:rsid w:val="00B40445"/>
    <w:rsid w:val="00B409E0"/>
    <w:rsid w:val="00B41888"/>
    <w:rsid w:val="00B45A52"/>
    <w:rsid w:val="00B46175"/>
    <w:rsid w:val="00B548B7"/>
    <w:rsid w:val="00B664C7"/>
    <w:rsid w:val="00B735F0"/>
    <w:rsid w:val="00B739F6"/>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C714C"/>
    <w:rsid w:val="00BD48AC"/>
    <w:rsid w:val="00BD5F1A"/>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D4B"/>
    <w:rsid w:val="00C154BB"/>
    <w:rsid w:val="00C220D8"/>
    <w:rsid w:val="00C279B5"/>
    <w:rsid w:val="00C27C45"/>
    <w:rsid w:val="00C36D9E"/>
    <w:rsid w:val="00C3719D"/>
    <w:rsid w:val="00C37CB2"/>
    <w:rsid w:val="00C473A5"/>
    <w:rsid w:val="00C54995"/>
    <w:rsid w:val="00C54D41"/>
    <w:rsid w:val="00C60783"/>
    <w:rsid w:val="00C6371A"/>
    <w:rsid w:val="00C64672"/>
    <w:rsid w:val="00C70697"/>
    <w:rsid w:val="00C72093"/>
    <w:rsid w:val="00C72EF4"/>
    <w:rsid w:val="00C744FE"/>
    <w:rsid w:val="00C746D1"/>
    <w:rsid w:val="00C747C0"/>
    <w:rsid w:val="00C75CED"/>
    <w:rsid w:val="00C75D2F"/>
    <w:rsid w:val="00C767BE"/>
    <w:rsid w:val="00C76E3C"/>
    <w:rsid w:val="00C8006D"/>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36E71"/>
    <w:rsid w:val="00D37D87"/>
    <w:rsid w:val="00D40B33"/>
    <w:rsid w:val="00D429E3"/>
    <w:rsid w:val="00D4318F"/>
    <w:rsid w:val="00D438BF"/>
    <w:rsid w:val="00D440F8"/>
    <w:rsid w:val="00D53E3F"/>
    <w:rsid w:val="00D542A9"/>
    <w:rsid w:val="00D546FF"/>
    <w:rsid w:val="00D55AD5"/>
    <w:rsid w:val="00D576CA"/>
    <w:rsid w:val="00D61AF5"/>
    <w:rsid w:val="00D652B5"/>
    <w:rsid w:val="00D66155"/>
    <w:rsid w:val="00D708B0"/>
    <w:rsid w:val="00D71563"/>
    <w:rsid w:val="00D75223"/>
    <w:rsid w:val="00D762A5"/>
    <w:rsid w:val="00D77B1D"/>
    <w:rsid w:val="00D800B7"/>
    <w:rsid w:val="00D8021F"/>
    <w:rsid w:val="00D80383"/>
    <w:rsid w:val="00D823C6"/>
    <w:rsid w:val="00D8327F"/>
    <w:rsid w:val="00D83D10"/>
    <w:rsid w:val="00D86CA3"/>
    <w:rsid w:val="00D871CE"/>
    <w:rsid w:val="00D91769"/>
    <w:rsid w:val="00D9196D"/>
    <w:rsid w:val="00D92982"/>
    <w:rsid w:val="00D94915"/>
    <w:rsid w:val="00DA305E"/>
    <w:rsid w:val="00DA5417"/>
    <w:rsid w:val="00DA56E8"/>
    <w:rsid w:val="00DB0A9F"/>
    <w:rsid w:val="00DB377D"/>
    <w:rsid w:val="00DC187F"/>
    <w:rsid w:val="00DC2D36"/>
    <w:rsid w:val="00DC3FB4"/>
    <w:rsid w:val="00DC53EF"/>
    <w:rsid w:val="00DD5D59"/>
    <w:rsid w:val="00DE5608"/>
    <w:rsid w:val="00DE58D0"/>
    <w:rsid w:val="00DE654F"/>
    <w:rsid w:val="00DF0B6E"/>
    <w:rsid w:val="00DF15E0"/>
    <w:rsid w:val="00DF37A0"/>
    <w:rsid w:val="00DF4DC6"/>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6958"/>
    <w:rsid w:val="00E57565"/>
    <w:rsid w:val="00E61933"/>
    <w:rsid w:val="00E63838"/>
    <w:rsid w:val="00E64434"/>
    <w:rsid w:val="00E67C51"/>
    <w:rsid w:val="00E72EFC"/>
    <w:rsid w:val="00E745A7"/>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0EBF"/>
    <w:rsid w:val="00EC24D5"/>
    <w:rsid w:val="00EC27C6"/>
    <w:rsid w:val="00EC385F"/>
    <w:rsid w:val="00EC4207"/>
    <w:rsid w:val="00EC5653"/>
    <w:rsid w:val="00EC71CE"/>
    <w:rsid w:val="00EC7EFE"/>
    <w:rsid w:val="00ED1006"/>
    <w:rsid w:val="00ED2B7B"/>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26434"/>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16F"/>
    <w:rsid w:val="00F97838"/>
    <w:rsid w:val="00FA2BB3"/>
    <w:rsid w:val="00FB0575"/>
    <w:rsid w:val="00FB096E"/>
    <w:rsid w:val="00FB3FB6"/>
    <w:rsid w:val="00FB4C80"/>
    <w:rsid w:val="00FB6A6A"/>
    <w:rsid w:val="00FC51F1"/>
    <w:rsid w:val="00FC60AF"/>
    <w:rsid w:val="00FC7429"/>
    <w:rsid w:val="00FC7CC0"/>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7553">
      <w:bodyDiv w:val="1"/>
      <w:marLeft w:val="0"/>
      <w:marRight w:val="0"/>
      <w:marTop w:val="0"/>
      <w:marBottom w:val="0"/>
      <w:divBdr>
        <w:top w:val="none" w:sz="0" w:space="0" w:color="auto"/>
        <w:left w:val="none" w:sz="0" w:space="0" w:color="auto"/>
        <w:bottom w:val="none" w:sz="0" w:space="0" w:color="auto"/>
        <w:right w:val="none" w:sz="0" w:space="0" w:color="auto"/>
      </w:divBdr>
    </w:div>
    <w:div w:id="51538539">
      <w:bodyDiv w:val="1"/>
      <w:marLeft w:val="0"/>
      <w:marRight w:val="0"/>
      <w:marTop w:val="0"/>
      <w:marBottom w:val="0"/>
      <w:divBdr>
        <w:top w:val="none" w:sz="0" w:space="0" w:color="auto"/>
        <w:left w:val="none" w:sz="0" w:space="0" w:color="auto"/>
        <w:bottom w:val="none" w:sz="0" w:space="0" w:color="auto"/>
        <w:right w:val="none" w:sz="0" w:space="0" w:color="auto"/>
      </w:divBdr>
    </w:div>
    <w:div w:id="56562039">
      <w:bodyDiv w:val="1"/>
      <w:marLeft w:val="0"/>
      <w:marRight w:val="0"/>
      <w:marTop w:val="0"/>
      <w:marBottom w:val="0"/>
      <w:divBdr>
        <w:top w:val="none" w:sz="0" w:space="0" w:color="auto"/>
        <w:left w:val="none" w:sz="0" w:space="0" w:color="auto"/>
        <w:bottom w:val="none" w:sz="0" w:space="0" w:color="auto"/>
        <w:right w:val="none" w:sz="0" w:space="0" w:color="auto"/>
      </w:divBdr>
    </w:div>
    <w:div w:id="202134360">
      <w:bodyDiv w:val="1"/>
      <w:marLeft w:val="0"/>
      <w:marRight w:val="0"/>
      <w:marTop w:val="0"/>
      <w:marBottom w:val="0"/>
      <w:divBdr>
        <w:top w:val="none" w:sz="0" w:space="0" w:color="auto"/>
        <w:left w:val="none" w:sz="0" w:space="0" w:color="auto"/>
        <w:bottom w:val="none" w:sz="0" w:space="0" w:color="auto"/>
        <w:right w:val="none" w:sz="0" w:space="0" w:color="auto"/>
      </w:divBdr>
    </w:div>
    <w:div w:id="258567572">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8674327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91463588">
      <w:bodyDiv w:val="1"/>
      <w:marLeft w:val="0"/>
      <w:marRight w:val="0"/>
      <w:marTop w:val="0"/>
      <w:marBottom w:val="0"/>
      <w:divBdr>
        <w:top w:val="none" w:sz="0" w:space="0" w:color="auto"/>
        <w:left w:val="none" w:sz="0" w:space="0" w:color="auto"/>
        <w:bottom w:val="none" w:sz="0" w:space="0" w:color="auto"/>
        <w:right w:val="none" w:sz="0" w:space="0" w:color="auto"/>
      </w:divBdr>
    </w:div>
    <w:div w:id="524442187">
      <w:bodyDiv w:val="1"/>
      <w:marLeft w:val="0"/>
      <w:marRight w:val="0"/>
      <w:marTop w:val="0"/>
      <w:marBottom w:val="0"/>
      <w:divBdr>
        <w:top w:val="none" w:sz="0" w:space="0" w:color="auto"/>
        <w:left w:val="none" w:sz="0" w:space="0" w:color="auto"/>
        <w:bottom w:val="none" w:sz="0" w:space="0" w:color="auto"/>
        <w:right w:val="none" w:sz="0" w:space="0" w:color="auto"/>
      </w:divBdr>
    </w:div>
    <w:div w:id="634333907">
      <w:bodyDiv w:val="1"/>
      <w:marLeft w:val="0"/>
      <w:marRight w:val="0"/>
      <w:marTop w:val="0"/>
      <w:marBottom w:val="0"/>
      <w:divBdr>
        <w:top w:val="none" w:sz="0" w:space="0" w:color="auto"/>
        <w:left w:val="none" w:sz="0" w:space="0" w:color="auto"/>
        <w:bottom w:val="none" w:sz="0" w:space="0" w:color="auto"/>
        <w:right w:val="none" w:sz="0" w:space="0" w:color="auto"/>
      </w:divBdr>
    </w:div>
    <w:div w:id="635261392">
      <w:bodyDiv w:val="1"/>
      <w:marLeft w:val="0"/>
      <w:marRight w:val="0"/>
      <w:marTop w:val="0"/>
      <w:marBottom w:val="0"/>
      <w:divBdr>
        <w:top w:val="none" w:sz="0" w:space="0" w:color="auto"/>
        <w:left w:val="none" w:sz="0" w:space="0" w:color="auto"/>
        <w:bottom w:val="none" w:sz="0" w:space="0" w:color="auto"/>
        <w:right w:val="none" w:sz="0" w:space="0" w:color="auto"/>
      </w:divBdr>
    </w:div>
    <w:div w:id="661081386">
      <w:bodyDiv w:val="1"/>
      <w:marLeft w:val="0"/>
      <w:marRight w:val="0"/>
      <w:marTop w:val="0"/>
      <w:marBottom w:val="0"/>
      <w:divBdr>
        <w:top w:val="none" w:sz="0" w:space="0" w:color="auto"/>
        <w:left w:val="none" w:sz="0" w:space="0" w:color="auto"/>
        <w:bottom w:val="none" w:sz="0" w:space="0" w:color="auto"/>
        <w:right w:val="none" w:sz="0" w:space="0" w:color="auto"/>
      </w:divBdr>
    </w:div>
    <w:div w:id="665519124">
      <w:bodyDiv w:val="1"/>
      <w:marLeft w:val="0"/>
      <w:marRight w:val="0"/>
      <w:marTop w:val="0"/>
      <w:marBottom w:val="0"/>
      <w:divBdr>
        <w:top w:val="none" w:sz="0" w:space="0" w:color="auto"/>
        <w:left w:val="none" w:sz="0" w:space="0" w:color="auto"/>
        <w:bottom w:val="none" w:sz="0" w:space="0" w:color="auto"/>
        <w:right w:val="none" w:sz="0" w:space="0" w:color="auto"/>
      </w:divBdr>
    </w:div>
    <w:div w:id="777608030">
      <w:bodyDiv w:val="1"/>
      <w:marLeft w:val="0"/>
      <w:marRight w:val="0"/>
      <w:marTop w:val="0"/>
      <w:marBottom w:val="0"/>
      <w:divBdr>
        <w:top w:val="none" w:sz="0" w:space="0" w:color="auto"/>
        <w:left w:val="none" w:sz="0" w:space="0" w:color="auto"/>
        <w:bottom w:val="none" w:sz="0" w:space="0" w:color="auto"/>
        <w:right w:val="none" w:sz="0" w:space="0" w:color="auto"/>
      </w:divBdr>
    </w:div>
    <w:div w:id="810177454">
      <w:bodyDiv w:val="1"/>
      <w:marLeft w:val="0"/>
      <w:marRight w:val="0"/>
      <w:marTop w:val="0"/>
      <w:marBottom w:val="0"/>
      <w:divBdr>
        <w:top w:val="none" w:sz="0" w:space="0" w:color="auto"/>
        <w:left w:val="none" w:sz="0" w:space="0" w:color="auto"/>
        <w:bottom w:val="none" w:sz="0" w:space="0" w:color="auto"/>
        <w:right w:val="none" w:sz="0" w:space="0" w:color="auto"/>
      </w:divBdr>
    </w:div>
    <w:div w:id="817770210">
      <w:bodyDiv w:val="1"/>
      <w:marLeft w:val="0"/>
      <w:marRight w:val="0"/>
      <w:marTop w:val="0"/>
      <w:marBottom w:val="0"/>
      <w:divBdr>
        <w:top w:val="none" w:sz="0" w:space="0" w:color="auto"/>
        <w:left w:val="none" w:sz="0" w:space="0" w:color="auto"/>
        <w:bottom w:val="none" w:sz="0" w:space="0" w:color="auto"/>
        <w:right w:val="none" w:sz="0" w:space="0" w:color="auto"/>
      </w:divBdr>
    </w:div>
    <w:div w:id="908733576">
      <w:bodyDiv w:val="1"/>
      <w:marLeft w:val="0"/>
      <w:marRight w:val="0"/>
      <w:marTop w:val="0"/>
      <w:marBottom w:val="0"/>
      <w:divBdr>
        <w:top w:val="none" w:sz="0" w:space="0" w:color="auto"/>
        <w:left w:val="none" w:sz="0" w:space="0" w:color="auto"/>
        <w:bottom w:val="none" w:sz="0" w:space="0" w:color="auto"/>
        <w:right w:val="none" w:sz="0" w:space="0" w:color="auto"/>
      </w:divBdr>
    </w:div>
    <w:div w:id="960065879">
      <w:bodyDiv w:val="1"/>
      <w:marLeft w:val="0"/>
      <w:marRight w:val="0"/>
      <w:marTop w:val="0"/>
      <w:marBottom w:val="0"/>
      <w:divBdr>
        <w:top w:val="none" w:sz="0" w:space="0" w:color="auto"/>
        <w:left w:val="none" w:sz="0" w:space="0" w:color="auto"/>
        <w:bottom w:val="none" w:sz="0" w:space="0" w:color="auto"/>
        <w:right w:val="none" w:sz="0" w:space="0" w:color="auto"/>
      </w:divBdr>
    </w:div>
    <w:div w:id="963930526">
      <w:bodyDiv w:val="1"/>
      <w:marLeft w:val="0"/>
      <w:marRight w:val="0"/>
      <w:marTop w:val="0"/>
      <w:marBottom w:val="0"/>
      <w:divBdr>
        <w:top w:val="none" w:sz="0" w:space="0" w:color="auto"/>
        <w:left w:val="none" w:sz="0" w:space="0" w:color="auto"/>
        <w:bottom w:val="none" w:sz="0" w:space="0" w:color="auto"/>
        <w:right w:val="none" w:sz="0" w:space="0" w:color="auto"/>
      </w:divBdr>
    </w:div>
    <w:div w:id="997611010">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170439938">
      <w:bodyDiv w:val="1"/>
      <w:marLeft w:val="0"/>
      <w:marRight w:val="0"/>
      <w:marTop w:val="0"/>
      <w:marBottom w:val="0"/>
      <w:divBdr>
        <w:top w:val="none" w:sz="0" w:space="0" w:color="auto"/>
        <w:left w:val="none" w:sz="0" w:space="0" w:color="auto"/>
        <w:bottom w:val="none" w:sz="0" w:space="0" w:color="auto"/>
        <w:right w:val="none" w:sz="0" w:space="0" w:color="auto"/>
      </w:divBdr>
    </w:div>
    <w:div w:id="1177693672">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45266158">
      <w:bodyDiv w:val="1"/>
      <w:marLeft w:val="0"/>
      <w:marRight w:val="0"/>
      <w:marTop w:val="0"/>
      <w:marBottom w:val="0"/>
      <w:divBdr>
        <w:top w:val="none" w:sz="0" w:space="0" w:color="auto"/>
        <w:left w:val="none" w:sz="0" w:space="0" w:color="auto"/>
        <w:bottom w:val="none" w:sz="0" w:space="0" w:color="auto"/>
        <w:right w:val="none" w:sz="0" w:space="0" w:color="auto"/>
      </w:divBdr>
    </w:div>
    <w:div w:id="1316102162">
      <w:bodyDiv w:val="1"/>
      <w:marLeft w:val="0"/>
      <w:marRight w:val="0"/>
      <w:marTop w:val="0"/>
      <w:marBottom w:val="0"/>
      <w:divBdr>
        <w:top w:val="none" w:sz="0" w:space="0" w:color="auto"/>
        <w:left w:val="none" w:sz="0" w:space="0" w:color="auto"/>
        <w:bottom w:val="none" w:sz="0" w:space="0" w:color="auto"/>
        <w:right w:val="none" w:sz="0" w:space="0" w:color="auto"/>
      </w:divBdr>
    </w:div>
    <w:div w:id="1342662863">
      <w:bodyDiv w:val="1"/>
      <w:marLeft w:val="0"/>
      <w:marRight w:val="0"/>
      <w:marTop w:val="0"/>
      <w:marBottom w:val="0"/>
      <w:divBdr>
        <w:top w:val="none" w:sz="0" w:space="0" w:color="auto"/>
        <w:left w:val="none" w:sz="0" w:space="0" w:color="auto"/>
        <w:bottom w:val="none" w:sz="0" w:space="0" w:color="auto"/>
        <w:right w:val="none" w:sz="0" w:space="0" w:color="auto"/>
      </w:divBdr>
    </w:div>
    <w:div w:id="1366447158">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48162353">
      <w:bodyDiv w:val="1"/>
      <w:marLeft w:val="0"/>
      <w:marRight w:val="0"/>
      <w:marTop w:val="0"/>
      <w:marBottom w:val="0"/>
      <w:divBdr>
        <w:top w:val="none" w:sz="0" w:space="0" w:color="auto"/>
        <w:left w:val="none" w:sz="0" w:space="0" w:color="auto"/>
        <w:bottom w:val="none" w:sz="0" w:space="0" w:color="auto"/>
        <w:right w:val="none" w:sz="0" w:space="0" w:color="auto"/>
      </w:divBdr>
    </w:div>
    <w:div w:id="155176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526</TotalTime>
  <Pages>9</Pages>
  <Words>1070</Words>
  <Characters>8669</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MTK</Company>
  <LinksUpToDate>false</LinksUpToDate>
  <CharactersWithSpaces>9720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cp:lastModifiedBy>
  <cp:revision>264</cp:revision>
  <cp:lastPrinted>2008-01-31T07:09:00Z</cp:lastPrinted>
  <dcterms:created xsi:type="dcterms:W3CDTF">2023-08-31T07:30:00Z</dcterms:created>
  <dcterms:modified xsi:type="dcterms:W3CDTF">2025-05-09T05:37:00Z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