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F763" w14:textId="68B246A2" w:rsidR="00731704" w:rsidRPr="003845B4" w:rsidRDefault="00731704" w:rsidP="00731704">
      <w:pPr>
        <w:pStyle w:val="CRCoverPage"/>
        <w:tabs>
          <w:tab w:val="right" w:pos="9639"/>
        </w:tabs>
        <w:spacing w:after="0"/>
        <w:jc w:val="center"/>
        <w:rPr>
          <w:rFonts w:cs="Arial"/>
          <w:b/>
          <w:i/>
          <w:sz w:val="22"/>
          <w:szCs w:val="22"/>
          <w:lang w:val="en-US"/>
        </w:rPr>
      </w:pPr>
      <w:bookmarkStart w:id="0" w:name="_Hlk109899260"/>
      <w:r w:rsidRPr="003845B4">
        <w:rPr>
          <w:b/>
          <w:noProof/>
          <w:sz w:val="24"/>
        </w:rPr>
        <w:t>3GPP TSG-RAN WG</w:t>
      </w:r>
      <w:r w:rsidR="0059344A">
        <w:rPr>
          <w:b/>
          <w:noProof/>
          <w:sz w:val="24"/>
        </w:rPr>
        <w:t>2</w:t>
      </w:r>
      <w:r w:rsidRPr="003845B4">
        <w:rPr>
          <w:b/>
          <w:noProof/>
          <w:sz w:val="24"/>
        </w:rPr>
        <w:t xml:space="preserve"> Meeting #12</w:t>
      </w:r>
      <w:r w:rsidRPr="003845B4">
        <w:rPr>
          <w:b/>
          <w:noProof/>
          <w:sz w:val="24"/>
          <w:lang w:eastAsia="zh-CN"/>
        </w:rPr>
        <w:t>9</w:t>
      </w:r>
      <w:r w:rsidR="00B23B96">
        <w:rPr>
          <w:rFonts w:hint="eastAsia"/>
          <w:b/>
          <w:noProof/>
          <w:sz w:val="24"/>
          <w:lang w:eastAsia="zh-CN"/>
        </w:rPr>
        <w:t>b</w:t>
      </w:r>
      <w:r w:rsidRPr="003845B4">
        <w:rPr>
          <w:b/>
          <w:noProof/>
          <w:sz w:val="24"/>
        </w:rPr>
        <w:tab/>
      </w:r>
      <w:r w:rsidRPr="003845B4">
        <w:rPr>
          <w:rFonts w:cs="Arial"/>
          <w:b/>
          <w:i/>
          <w:sz w:val="22"/>
          <w:szCs w:val="22"/>
          <w:lang w:val="en-US" w:eastAsia="zh-CN"/>
        </w:rPr>
        <w:t>R2-25</w:t>
      </w:r>
      <w:r w:rsidR="00C00694" w:rsidRPr="003845B4">
        <w:rPr>
          <w:rFonts w:cs="Arial"/>
          <w:b/>
          <w:i/>
          <w:sz w:val="22"/>
          <w:szCs w:val="22"/>
          <w:lang w:val="en-US" w:eastAsia="zh-CN"/>
        </w:rPr>
        <w:t>0</w:t>
      </w:r>
      <w:r w:rsidR="00B23B96">
        <w:rPr>
          <w:rFonts w:cs="Arial"/>
          <w:b/>
          <w:i/>
          <w:sz w:val="22"/>
          <w:szCs w:val="22"/>
          <w:lang w:val="en-US" w:eastAsia="zh-CN"/>
        </w:rPr>
        <w:t>2870</w:t>
      </w:r>
    </w:p>
    <w:p w14:paraId="0E85A1FF" w14:textId="5BF8663B" w:rsidR="00937F2A" w:rsidRPr="00C53E5D" w:rsidRDefault="0059344A" w:rsidP="007F49AA">
      <w:pPr>
        <w:widowControl w:val="0"/>
        <w:tabs>
          <w:tab w:val="right" w:pos="9639"/>
        </w:tabs>
        <w:spacing w:before="120"/>
        <w:jc w:val="center"/>
        <w:rPr>
          <w:bCs/>
          <w:sz w:val="22"/>
          <w:szCs w:val="22"/>
        </w:rPr>
      </w:pPr>
      <w:r>
        <w:rPr>
          <w:rFonts w:cs="Arial"/>
          <w:b/>
          <w:sz w:val="24"/>
          <w:lang w:val="de-DE"/>
        </w:rPr>
        <w:t>Wuhan</w:t>
      </w:r>
      <w:r w:rsidR="00731704" w:rsidRPr="003845B4">
        <w:rPr>
          <w:rFonts w:cs="Arial"/>
          <w:b/>
          <w:sz w:val="24"/>
          <w:lang w:val="de-DE"/>
        </w:rPr>
        <w:t xml:space="preserve">, </w:t>
      </w:r>
      <w:r>
        <w:rPr>
          <w:rFonts w:cs="Arial"/>
          <w:b/>
          <w:sz w:val="24"/>
          <w:lang w:val="de-DE"/>
        </w:rPr>
        <w:t>China</w:t>
      </w:r>
      <w:r w:rsidR="00731704" w:rsidRPr="003845B4">
        <w:rPr>
          <w:rFonts w:cs="Arial"/>
          <w:b/>
          <w:sz w:val="24"/>
          <w:lang w:val="de-DE"/>
        </w:rPr>
        <w:t xml:space="preserve">, 7th – </w:t>
      </w:r>
      <w:r w:rsidR="00F97537">
        <w:rPr>
          <w:rFonts w:cs="Arial"/>
          <w:b/>
          <w:sz w:val="24"/>
          <w:lang w:val="de-DE"/>
        </w:rPr>
        <w:t>1</w:t>
      </w:r>
      <w:r w:rsidR="00731704" w:rsidRPr="003845B4">
        <w:rPr>
          <w:rFonts w:cs="Arial"/>
          <w:b/>
          <w:sz w:val="24"/>
          <w:lang w:val="de-DE"/>
        </w:rPr>
        <w:t>1</w:t>
      </w:r>
      <w:r w:rsidR="00F97537">
        <w:rPr>
          <w:rFonts w:cs="Arial"/>
          <w:b/>
          <w:sz w:val="24"/>
          <w:lang w:val="de-DE"/>
        </w:rPr>
        <w:t>th</w:t>
      </w:r>
      <w:r w:rsidR="00731704" w:rsidRPr="003845B4">
        <w:rPr>
          <w:rFonts w:cs="Arial"/>
          <w:b/>
          <w:sz w:val="24"/>
          <w:lang w:val="de-DE"/>
        </w:rPr>
        <w:t xml:space="preserve"> </w:t>
      </w:r>
      <w:r w:rsidR="00F97537">
        <w:rPr>
          <w:rFonts w:cs="Arial"/>
          <w:b/>
          <w:sz w:val="24"/>
          <w:lang w:val="de-DE"/>
        </w:rPr>
        <w:t>Apr</w:t>
      </w:r>
      <w:r w:rsidR="00731704" w:rsidRPr="003845B4">
        <w:rPr>
          <w:rFonts w:cs="Arial"/>
          <w:b/>
          <w:sz w:val="24"/>
          <w:lang w:val="de-DE"/>
        </w:rPr>
        <w:t>, 2025</w:t>
      </w:r>
      <w:bookmarkEnd w:id="0"/>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70E2275E"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w:t>
      </w:r>
      <w:r w:rsidR="006070DE">
        <w:rPr>
          <w:rFonts w:cs="Arial"/>
          <w:b/>
          <w:bCs/>
          <w:sz w:val="24"/>
          <w:lang w:val="en-US"/>
        </w:rPr>
        <w:t>8</w:t>
      </w:r>
      <w:r w:rsidR="00593C78">
        <w:rPr>
          <w:rFonts w:cs="Arial" w:hint="eastAsia"/>
          <w:b/>
          <w:bCs/>
          <w:sz w:val="24"/>
          <w:lang w:val="en-US"/>
        </w:rPr>
        <w:t>.2</w:t>
      </w:r>
    </w:p>
    <w:p w14:paraId="5044AA83" w14:textId="4838CF4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sidR="00227CC7">
        <w:rPr>
          <w:rFonts w:cs="Arial"/>
          <w:b/>
          <w:bCs/>
          <w:sz w:val="24"/>
          <w:lang w:val="en-US" w:eastAsia="en-US"/>
        </w:rPr>
        <w:t>TCL</w:t>
      </w:r>
    </w:p>
    <w:p w14:paraId="754E4B96" w14:textId="5FE34E52"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593C78" w:rsidRPr="00BA0ED7">
        <w:rPr>
          <w:rFonts w:cs="Arial"/>
          <w:b/>
          <w:bCs/>
          <w:sz w:val="24"/>
          <w:lang w:val="en-US" w:eastAsia="en-US"/>
        </w:rPr>
        <w:t>Discussion on</w:t>
      </w:r>
      <w:bookmarkStart w:id="1" w:name="_Hlk187309206"/>
      <w:r w:rsidR="0059344A">
        <w:rPr>
          <w:rFonts w:cs="Arial"/>
          <w:b/>
          <w:bCs/>
          <w:sz w:val="24"/>
          <w:lang w:val="en-US" w:eastAsia="en-US"/>
        </w:rPr>
        <w:t xml:space="preserve"> </w:t>
      </w:r>
      <w:bookmarkEnd w:id="1"/>
      <w:r w:rsidR="00F20E38" w:rsidRPr="00F20E38">
        <w:rPr>
          <w:rFonts w:cs="Arial"/>
          <w:b/>
          <w:bCs/>
          <w:sz w:val="24"/>
          <w:lang w:val="en-US" w:eastAsia="en-US"/>
        </w:rPr>
        <w:t>DL coverage enhancements</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1"/>
        <w:numPr>
          <w:ilvl w:val="0"/>
          <w:numId w:val="8"/>
        </w:numPr>
      </w:pPr>
      <w:bookmarkStart w:id="2" w:name="_Ref488331639"/>
      <w:r w:rsidRPr="00CE0424">
        <w:t>Introduction</w:t>
      </w:r>
      <w:bookmarkEnd w:id="2"/>
    </w:p>
    <w:p w14:paraId="009F5DA9" w14:textId="6DDE7F2B" w:rsidR="00D21602" w:rsidRPr="00D21602" w:rsidRDefault="00D21602" w:rsidP="00D21602">
      <w:pPr>
        <w:pStyle w:val="0Maintext"/>
        <w:spacing w:beforeLines="100" w:before="240" w:after="180" w:afterAutospacing="0" w:line="240" w:lineRule="auto"/>
        <w:ind w:firstLine="0"/>
        <w:rPr>
          <w:rFonts w:ascii="Arial" w:eastAsia="宋体" w:hAnsi="Arial" w:cs="Times New Roman"/>
          <w:iCs/>
          <w:noProof/>
          <w:lang w:eastAsia="zh-CN"/>
        </w:rPr>
      </w:pPr>
      <w:bookmarkStart w:id="3" w:name="_Ref178064866"/>
      <w:r w:rsidRPr="00D21602">
        <w:rPr>
          <w:rFonts w:ascii="Arial" w:eastAsia="宋体" w:hAnsi="Arial" w:cs="Times New Roman"/>
          <w:iCs/>
          <w:noProof/>
          <w:lang w:eastAsia="zh-CN"/>
        </w:rPr>
        <w:t>In the past meetings, RAN2 discussion on DL coverage enhancements is focused on SMTC enhancements, DTX/DRX, and cell barring</w:t>
      </w:r>
      <w:r>
        <w:rPr>
          <w:rFonts w:ascii="Arial" w:eastAsia="宋体" w:hAnsi="Arial" w:cs="Times New Roman"/>
          <w:iCs/>
          <w:noProof/>
          <w:lang w:eastAsia="zh-CN"/>
        </w:rPr>
        <w:t>.</w:t>
      </w:r>
    </w:p>
    <w:p w14:paraId="6625EE3A" w14:textId="1D13377D" w:rsidR="00D21602" w:rsidRPr="00D21602" w:rsidRDefault="00D21602" w:rsidP="00D21602">
      <w:pPr>
        <w:pStyle w:val="0Maintext"/>
        <w:spacing w:beforeLines="100" w:before="240" w:after="180" w:afterAutospacing="0" w:line="240" w:lineRule="auto"/>
        <w:ind w:firstLine="0"/>
        <w:rPr>
          <w:rFonts w:ascii="Arial" w:eastAsia="宋体" w:hAnsi="Arial" w:cs="Times New Roman"/>
          <w:iCs/>
          <w:noProof/>
          <w:lang w:eastAsia="zh-CN"/>
        </w:rPr>
      </w:pPr>
      <w:r w:rsidRPr="00D21602">
        <w:rPr>
          <w:rFonts w:ascii="Arial" w:eastAsia="宋体" w:hAnsi="Arial" w:cs="Times New Roman"/>
          <w:iCs/>
          <w:noProof/>
          <w:lang w:eastAsia="zh-CN"/>
        </w:rPr>
        <w:t>In this contribution, we will provide further analysis on the remaining issue</w:t>
      </w:r>
      <w:r>
        <w:rPr>
          <w:rFonts w:ascii="Arial" w:eastAsia="宋体" w:hAnsi="Arial" w:cs="Times New Roman"/>
          <w:iCs/>
          <w:noProof/>
          <w:lang w:eastAsia="zh-CN"/>
        </w:rPr>
        <w:t xml:space="preserve"> of cell barring. </w:t>
      </w:r>
    </w:p>
    <w:p w14:paraId="1105D50C" w14:textId="2294EB18" w:rsidR="00186B4A" w:rsidRDefault="004000E8" w:rsidP="0093466B">
      <w:pPr>
        <w:pStyle w:val="1"/>
        <w:numPr>
          <w:ilvl w:val="0"/>
          <w:numId w:val="8"/>
        </w:numPr>
        <w:jc w:val="both"/>
      </w:pPr>
      <w:r w:rsidRPr="00CE0424">
        <w:t>Discussion</w:t>
      </w:r>
      <w:bookmarkEnd w:id="3"/>
      <w:r w:rsidR="001D5864">
        <w:rPr>
          <w:rFonts w:hint="eastAsia"/>
        </w:rPr>
        <w:t xml:space="preserve"> </w:t>
      </w:r>
      <w:r w:rsidR="00593C78" w:rsidRPr="00593C78">
        <w:t>on Store &amp; Forward satellite operation</w:t>
      </w:r>
    </w:p>
    <w:p w14:paraId="1A0A4216" w14:textId="77777777" w:rsidR="00D21602" w:rsidRDefault="00D21602" w:rsidP="00D21602">
      <w:pPr>
        <w:pStyle w:val="ac"/>
        <w:rPr>
          <w:iCs/>
          <w:noProof/>
        </w:rPr>
      </w:pPr>
      <w:r w:rsidRPr="00593C78">
        <w:rPr>
          <w:iCs/>
          <w:noProof/>
        </w:rPr>
        <w:t xml:space="preserve">Below are the agreements </w:t>
      </w:r>
      <w:r>
        <w:rPr>
          <w:iCs/>
          <w:noProof/>
        </w:rPr>
        <w:t>related to the cell baring</w:t>
      </w:r>
      <w:r w:rsidRPr="00593C78">
        <w:rPr>
          <w:iCs/>
          <w:noProof/>
        </w:rPr>
        <w:t xml:space="preserve"> in the previous RAN2 meetings.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21602" w14:paraId="177705A2" w14:textId="77777777" w:rsidTr="00681047">
        <w:trPr>
          <w:jc w:val="center"/>
        </w:trPr>
        <w:tc>
          <w:tcPr>
            <w:tcW w:w="9453" w:type="dxa"/>
            <w:shd w:val="clear" w:color="auto" w:fill="auto"/>
          </w:tcPr>
          <w:p w14:paraId="144AEE5A" w14:textId="77777777" w:rsidR="00D21602" w:rsidRPr="000809B6" w:rsidRDefault="00D21602" w:rsidP="00681047">
            <w:pPr>
              <w:spacing w:after="180"/>
              <w:ind w:left="720"/>
              <w:jc w:val="left"/>
              <w:rPr>
                <w:bCs/>
              </w:rPr>
            </w:pPr>
            <w:bookmarkStart w:id="4" w:name="_Hlk161603597"/>
            <w:r w:rsidRPr="000809B6">
              <w:rPr>
                <w:bCs/>
              </w:rPr>
              <w:t>RAN2#128:</w:t>
            </w:r>
          </w:p>
          <w:p w14:paraId="19A6B742" w14:textId="77777777" w:rsidR="00D21602" w:rsidRPr="000809B6" w:rsidRDefault="00D21602" w:rsidP="00D21602">
            <w:pPr>
              <w:spacing w:after="180"/>
              <w:ind w:left="720"/>
              <w:jc w:val="left"/>
              <w:rPr>
                <w:bCs/>
              </w:rPr>
            </w:pPr>
            <w:r w:rsidRPr="000809B6">
              <w:rPr>
                <w:bCs/>
              </w:rPr>
              <w:t>1.</w:t>
            </w:r>
            <w:r w:rsidRPr="000809B6">
              <w:rPr>
                <w:bCs/>
              </w:rPr>
              <w:tab/>
              <w:t>If we need to bar UEs not supporting DL-CE (via legacy mechanism), we introduce a new barring in SIB1 to be able to selectively bar “UEs supporting DL-CE” (FFS if we will finally refer to “UEs supporting extended SSB periodicity” instead). FFS on the details (</w:t>
            </w:r>
            <w:proofErr w:type="gramStart"/>
            <w:r w:rsidRPr="000809B6">
              <w:rPr>
                <w:bCs/>
              </w:rPr>
              <w:t>e.g.</w:t>
            </w:r>
            <w:proofErr w:type="gramEnd"/>
            <w:r w:rsidRPr="000809B6">
              <w:rPr>
                <w:bCs/>
              </w:rPr>
              <w:t xml:space="preserve"> how many bits, etc.)</w:t>
            </w:r>
          </w:p>
          <w:p w14:paraId="2BD11A2C" w14:textId="77777777" w:rsidR="00D21602" w:rsidRPr="000809B6" w:rsidRDefault="00D21602" w:rsidP="00681047">
            <w:pPr>
              <w:spacing w:after="180"/>
              <w:ind w:left="720"/>
              <w:jc w:val="left"/>
              <w:rPr>
                <w:bCs/>
              </w:rPr>
            </w:pPr>
            <w:r w:rsidRPr="000809B6">
              <w:rPr>
                <w:bCs/>
              </w:rPr>
              <w:t>RAN2#127bis:</w:t>
            </w:r>
          </w:p>
          <w:p w14:paraId="0FE5D07F" w14:textId="77777777" w:rsidR="00D21602" w:rsidRPr="000809B6" w:rsidRDefault="00D21602" w:rsidP="00D21602">
            <w:pPr>
              <w:spacing w:after="180"/>
              <w:ind w:left="720"/>
              <w:jc w:val="left"/>
              <w:rPr>
                <w:bCs/>
              </w:rPr>
            </w:pPr>
            <w:r w:rsidRPr="000809B6">
              <w:rPr>
                <w:bCs/>
              </w:rPr>
              <w:t>1.</w:t>
            </w:r>
            <w:r w:rsidRPr="000809B6">
              <w:rPr>
                <w:bCs/>
              </w:rP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7E7C48B0" w14:textId="77777777" w:rsidR="00D21602" w:rsidRPr="000809B6" w:rsidRDefault="00D21602" w:rsidP="00D21602">
            <w:pPr>
              <w:spacing w:after="180"/>
              <w:ind w:left="720"/>
              <w:jc w:val="left"/>
              <w:rPr>
                <w:bCs/>
              </w:rPr>
            </w:pPr>
            <w:r w:rsidRPr="000809B6">
              <w:rPr>
                <w:bCs/>
              </w:rPr>
              <w:t>2.</w:t>
            </w:r>
            <w:r w:rsidRPr="000809B6">
              <w:rPr>
                <w:bCs/>
              </w:rP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00FD7CC1" w14:textId="77777777" w:rsidR="00D21602" w:rsidRPr="000809B6" w:rsidRDefault="00D21602" w:rsidP="00681047">
            <w:pPr>
              <w:spacing w:after="180"/>
              <w:ind w:left="720"/>
              <w:jc w:val="left"/>
              <w:rPr>
                <w:bCs/>
              </w:rPr>
            </w:pPr>
            <w:r w:rsidRPr="000809B6">
              <w:rPr>
                <w:bCs/>
              </w:rPr>
              <w:t>RAN2#127:</w:t>
            </w:r>
          </w:p>
          <w:p w14:paraId="17A7B27C" w14:textId="77777777" w:rsidR="00D21602" w:rsidRPr="006169D8" w:rsidRDefault="00D21602" w:rsidP="00D21602">
            <w:pPr>
              <w:spacing w:after="0"/>
              <w:ind w:left="720"/>
              <w:rPr>
                <w:bCs/>
              </w:rPr>
            </w:pPr>
            <w:r w:rsidRPr="000809B6">
              <w:rPr>
                <w:bCs/>
              </w:rPr>
              <w:t>1.</w:t>
            </w:r>
            <w:r w:rsidRPr="000809B6">
              <w:rPr>
                <w:bCs/>
              </w:rPr>
              <w:tab/>
              <w:t>If there is a need to bar pre-Rel19 NTN UEs from accessing a cell operating with DL coverage enhancement (</w:t>
            </w:r>
            <w:proofErr w:type="gramStart"/>
            <w:r w:rsidRPr="000809B6">
              <w:rPr>
                <w:bCs/>
              </w:rPr>
              <w:t>e.g.</w:t>
            </w:r>
            <w:proofErr w:type="gramEnd"/>
            <w:r w:rsidRPr="000809B6">
              <w:rPr>
                <w:bCs/>
              </w:rPr>
              <w:t xml:space="preserve"> because of extreme SSB periodicity) the existing NTN bar bit can be used. FFS about the behaviour for Rel-19 UEs not supporting DL coverage enhancement when the existing NTN bar bit is set.</w:t>
            </w:r>
            <w:r w:rsidRPr="007563E2">
              <w:t xml:space="preserve"> </w:t>
            </w:r>
            <w:bookmarkEnd w:id="4"/>
          </w:p>
        </w:tc>
      </w:tr>
    </w:tbl>
    <w:p w14:paraId="3B386A77" w14:textId="77777777" w:rsidR="000E5E7D" w:rsidRPr="000E5E7D"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p>
    <w:p w14:paraId="7E591CD6" w14:textId="5A1D94DA" w:rsidR="000E5E7D" w:rsidRPr="000E5E7D"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r w:rsidRPr="000E5E7D">
        <w:rPr>
          <w:rFonts w:cs="Arial"/>
          <w:color w:val="000000"/>
          <w:shd w:val="clear" w:color="auto" w:fill="FFFFFF"/>
        </w:rPr>
        <w:t>Based on existing agreements, the existing NTN bar bit is used to control access for legacy UEs and Rel-19 UEs not supporting DL-CE, while a new barring mechanism in SIB1 is introduced to selectively bar</w:t>
      </w:r>
      <w:r>
        <w:rPr>
          <w:rFonts w:cs="Arial"/>
          <w:color w:val="000000"/>
          <w:shd w:val="clear" w:color="auto" w:fill="FFFFFF"/>
        </w:rPr>
        <w:t xml:space="preserve"> </w:t>
      </w:r>
      <w:r w:rsidRPr="000E5E7D">
        <w:rPr>
          <w:rFonts w:cs="Arial"/>
          <w:color w:val="000000"/>
          <w:shd w:val="clear" w:color="auto" w:fill="FFFFFF"/>
        </w:rPr>
        <w:t xml:space="preserve">UEs supporting DL-CE.  </w:t>
      </w:r>
    </w:p>
    <w:p w14:paraId="0B40AF88" w14:textId="58BDE9D8" w:rsidR="000E5E7D" w:rsidRPr="000E5E7D"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r w:rsidRPr="000E5E7D">
        <w:rPr>
          <w:rFonts w:cs="Arial"/>
          <w:color w:val="000000"/>
          <w:shd w:val="clear" w:color="auto" w:fill="FFFFFF"/>
        </w:rPr>
        <w:t>At the RAN2#129 meeting, compan</w:t>
      </w:r>
      <w:r>
        <w:rPr>
          <w:rFonts w:cs="Arial" w:hint="eastAsia"/>
          <w:color w:val="000000"/>
          <w:shd w:val="clear" w:color="auto" w:fill="FFFFFF"/>
        </w:rPr>
        <w:t>ies</w:t>
      </w:r>
      <w:r w:rsidRPr="000E5E7D">
        <w:rPr>
          <w:rFonts w:cs="Arial"/>
          <w:color w:val="000000"/>
          <w:shd w:val="clear" w:color="auto" w:fill="FFFFFF"/>
        </w:rPr>
        <w:t xml:space="preserve"> proposed a two-tier barring mechanism, which involves introducing a new field specifically for Rel-19 UEs supporting DL-CE. This mechanism works as follows:  </w:t>
      </w:r>
    </w:p>
    <w:p w14:paraId="4B9AAA34" w14:textId="50D555A7" w:rsidR="000E5E7D" w:rsidRPr="000E5E7D"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r w:rsidRPr="000E5E7D">
        <w:rPr>
          <w:rFonts w:cs="Arial"/>
          <w:color w:val="000000"/>
          <w:shd w:val="clear" w:color="auto" w:fill="FFFFFF"/>
        </w:rPr>
        <w:t xml:space="preserve">- If the new field is present:  </w:t>
      </w:r>
    </w:p>
    <w:p w14:paraId="078076C5" w14:textId="2A63066C" w:rsidR="000E5E7D" w:rsidRPr="000E5E7D"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r w:rsidRPr="000E5E7D">
        <w:rPr>
          <w:rFonts w:cs="Arial"/>
          <w:color w:val="000000"/>
          <w:shd w:val="clear" w:color="auto" w:fill="FFFFFF"/>
        </w:rPr>
        <w:t xml:space="preserve">  - The new field controls access for Rel-19 UEs supporting DL-CE.  </w:t>
      </w:r>
    </w:p>
    <w:p w14:paraId="665909ED" w14:textId="2EA3BF3A" w:rsidR="000E5E7D" w:rsidRPr="000E5E7D"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r w:rsidRPr="000E5E7D">
        <w:rPr>
          <w:rFonts w:cs="Arial"/>
          <w:color w:val="000000"/>
          <w:shd w:val="clear" w:color="auto" w:fill="FFFFFF"/>
        </w:rPr>
        <w:lastRenderedPageBreak/>
        <w:t xml:space="preserve">  - The existing NTN bar bit continues to control access for legacy UEs and Rel-19 UEs not supporting DL-CE.  </w:t>
      </w:r>
    </w:p>
    <w:p w14:paraId="00DEC94E" w14:textId="7C624A54" w:rsidR="000E5E7D" w:rsidRPr="000E5E7D"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r w:rsidRPr="000E5E7D">
        <w:rPr>
          <w:rFonts w:cs="Arial"/>
          <w:color w:val="000000"/>
          <w:shd w:val="clear" w:color="auto" w:fill="FFFFFF"/>
        </w:rPr>
        <w:t xml:space="preserve">- If the new field is absent:  </w:t>
      </w:r>
    </w:p>
    <w:p w14:paraId="7DDD60A4" w14:textId="0432B93D" w:rsidR="000E5E7D" w:rsidRPr="000E5E7D"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r w:rsidRPr="000E5E7D">
        <w:rPr>
          <w:rFonts w:cs="Arial"/>
          <w:color w:val="000000"/>
          <w:shd w:val="clear" w:color="auto" w:fill="FFFFFF"/>
        </w:rPr>
        <w:t xml:space="preserve">  - The existing NTN bar bit controls access for all UE types (including legacy UEs, Rel-19 UEs not supporting DL-CE, and Rel-19 UEs supporting DL-CE).  </w:t>
      </w:r>
    </w:p>
    <w:p w14:paraId="7494C453" w14:textId="77777777" w:rsidR="000E5E7D"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p>
    <w:p w14:paraId="03122D85" w14:textId="4BD898C2" w:rsidR="000E5E7D" w:rsidRPr="000E5E7D" w:rsidRDefault="00293F8C" w:rsidP="000E5E7D">
      <w:pPr>
        <w:tabs>
          <w:tab w:val="left" w:pos="1701"/>
        </w:tabs>
        <w:overflowPunct/>
        <w:autoSpaceDE/>
        <w:autoSpaceDN/>
        <w:adjustRightInd/>
        <w:spacing w:line="259" w:lineRule="auto"/>
        <w:textAlignment w:val="auto"/>
        <w:rPr>
          <w:rFonts w:cs="Arial"/>
          <w:color w:val="000000"/>
          <w:shd w:val="clear" w:color="auto" w:fill="FFFFFF"/>
        </w:rPr>
      </w:pPr>
      <w:r>
        <w:rPr>
          <w:rFonts w:cs="Arial"/>
          <w:color w:val="000000"/>
          <w:shd w:val="clear" w:color="auto" w:fill="FFFFFF"/>
        </w:rPr>
        <w:t>W</w:t>
      </w:r>
      <w:r w:rsidR="000E5E7D" w:rsidRPr="000E5E7D">
        <w:rPr>
          <w:rFonts w:cs="Arial"/>
          <w:color w:val="000000"/>
          <w:shd w:val="clear" w:color="auto" w:fill="FFFFFF"/>
        </w:rPr>
        <w:t xml:space="preserve">e </w:t>
      </w:r>
      <w:r w:rsidR="000E5E7D">
        <w:rPr>
          <w:rFonts w:cs="Arial"/>
          <w:color w:val="000000"/>
          <w:shd w:val="clear" w:color="auto" w:fill="FFFFFF"/>
        </w:rPr>
        <w:t xml:space="preserve">basically </w:t>
      </w:r>
      <w:r w:rsidR="000E5E7D" w:rsidRPr="000E5E7D">
        <w:rPr>
          <w:rFonts w:cs="Arial"/>
          <w:color w:val="000000"/>
          <w:shd w:val="clear" w:color="auto" w:fill="FFFFFF"/>
        </w:rPr>
        <w:t>support this approach</w:t>
      </w:r>
      <w:r>
        <w:rPr>
          <w:rFonts w:cs="Arial"/>
          <w:color w:val="000000"/>
          <w:shd w:val="clear" w:color="auto" w:fill="FFFFFF"/>
        </w:rPr>
        <w:t xml:space="preserve"> given the following reasons.</w:t>
      </w:r>
      <w:r w:rsidR="000E5E7D" w:rsidRPr="000E5E7D">
        <w:rPr>
          <w:rFonts w:cs="Arial"/>
          <w:color w:val="000000"/>
          <w:shd w:val="clear" w:color="auto" w:fill="FFFFFF"/>
        </w:rPr>
        <w:t xml:space="preserve">  </w:t>
      </w:r>
    </w:p>
    <w:p w14:paraId="79999A6C" w14:textId="22E6E7AE" w:rsidR="000E5E7D" w:rsidRPr="000E5E7D" w:rsidRDefault="00293F8C" w:rsidP="000E5E7D">
      <w:pPr>
        <w:tabs>
          <w:tab w:val="left" w:pos="1701"/>
        </w:tabs>
        <w:overflowPunct/>
        <w:autoSpaceDE/>
        <w:autoSpaceDN/>
        <w:adjustRightInd/>
        <w:spacing w:line="259" w:lineRule="auto"/>
        <w:textAlignment w:val="auto"/>
        <w:rPr>
          <w:rFonts w:cs="Arial"/>
          <w:color w:val="000000"/>
          <w:shd w:val="clear" w:color="auto" w:fill="FFFFFF"/>
        </w:rPr>
      </w:pPr>
      <w:r>
        <w:rPr>
          <w:rFonts w:cs="Arial"/>
          <w:color w:val="000000"/>
          <w:shd w:val="clear" w:color="auto" w:fill="FFFFFF"/>
        </w:rPr>
        <w:t>1</w:t>
      </w:r>
      <w:r w:rsidR="000E5E7D" w:rsidRPr="000E5E7D">
        <w:rPr>
          <w:rFonts w:cs="Arial"/>
          <w:color w:val="000000"/>
          <w:shd w:val="clear" w:color="auto" w:fill="FFFFFF"/>
        </w:rPr>
        <w:t xml:space="preserve">. Forward Flexibility: The new field allows independent control for Rel-19 DL-CE UEs, enabling future enhancements without disrupting legacy behavior.  </w:t>
      </w:r>
    </w:p>
    <w:p w14:paraId="14C61D78" w14:textId="4975662B" w:rsidR="000E5E7D" w:rsidRPr="000E5E7D" w:rsidRDefault="00293F8C" w:rsidP="000E5E7D">
      <w:pPr>
        <w:tabs>
          <w:tab w:val="left" w:pos="1701"/>
        </w:tabs>
        <w:overflowPunct/>
        <w:autoSpaceDE/>
        <w:autoSpaceDN/>
        <w:adjustRightInd/>
        <w:spacing w:line="259" w:lineRule="auto"/>
        <w:textAlignment w:val="auto"/>
        <w:rPr>
          <w:rFonts w:cs="Arial"/>
          <w:color w:val="000000"/>
          <w:shd w:val="clear" w:color="auto" w:fill="FFFFFF"/>
        </w:rPr>
      </w:pPr>
      <w:r>
        <w:rPr>
          <w:rFonts w:cs="Arial"/>
          <w:color w:val="000000"/>
          <w:shd w:val="clear" w:color="auto" w:fill="FFFFFF"/>
        </w:rPr>
        <w:t>2</w:t>
      </w:r>
      <w:r w:rsidR="000E5E7D" w:rsidRPr="000E5E7D">
        <w:rPr>
          <w:rFonts w:cs="Arial"/>
          <w:color w:val="000000"/>
          <w:shd w:val="clear" w:color="auto" w:fill="FFFFFF"/>
        </w:rPr>
        <w:t>. Signaling Efficiency: No additional bits are required in SIB1</w:t>
      </w:r>
      <w:r>
        <w:rPr>
          <w:rFonts w:cs="Arial"/>
          <w:color w:val="000000"/>
          <w:shd w:val="clear" w:color="auto" w:fill="FFFFFF"/>
        </w:rPr>
        <w:t>and</w:t>
      </w:r>
      <w:r w:rsidR="000E5E7D" w:rsidRPr="000E5E7D">
        <w:rPr>
          <w:rFonts w:cs="Arial"/>
          <w:color w:val="000000"/>
          <w:shd w:val="clear" w:color="auto" w:fill="FFFFFF"/>
        </w:rPr>
        <w:t xml:space="preserve"> the new field is optional and conditionally interpreted.  </w:t>
      </w:r>
      <w:r>
        <w:rPr>
          <w:rFonts w:cs="Arial"/>
          <w:color w:val="000000"/>
          <w:shd w:val="clear" w:color="auto" w:fill="FFFFFF"/>
        </w:rPr>
        <w:t xml:space="preserve">Based on the existing agreement </w:t>
      </w:r>
      <w:r>
        <w:rPr>
          <w:rFonts w:cs="Arial" w:hint="eastAsia"/>
          <w:color w:val="000000"/>
          <w:shd w:val="clear" w:color="auto" w:fill="FFFFFF"/>
        </w:rPr>
        <w:t>anyway</w:t>
      </w:r>
      <w:r w:rsidRPr="000E5E7D">
        <w:rPr>
          <w:rFonts w:cs="Arial"/>
          <w:color w:val="000000"/>
          <w:shd w:val="clear" w:color="auto" w:fill="FFFFFF"/>
        </w:rPr>
        <w:t xml:space="preserve"> it is necessary to introduce a new field for Rel-19 UEs supporting DL-CE</w:t>
      </w:r>
      <w:r>
        <w:rPr>
          <w:rFonts w:cs="Arial"/>
          <w:color w:val="000000"/>
          <w:shd w:val="clear" w:color="auto" w:fill="FFFFFF"/>
        </w:rPr>
        <w:t>, t</w:t>
      </w:r>
      <w:r w:rsidRPr="000E5E7D">
        <w:rPr>
          <w:rFonts w:cs="Arial"/>
          <w:color w:val="000000"/>
          <w:shd w:val="clear" w:color="auto" w:fill="FFFFFF"/>
        </w:rPr>
        <w:t>his two-tier mechanism achieves separate control over the new Rel-19 NTN DL-CE feature without introducing additional bits in SIB1.</w:t>
      </w:r>
    </w:p>
    <w:p w14:paraId="5C80DC5B" w14:textId="6A4A5787" w:rsidR="00293F8C" w:rsidRPr="000E5E7D" w:rsidRDefault="00293F8C" w:rsidP="00293F8C">
      <w:pPr>
        <w:tabs>
          <w:tab w:val="left" w:pos="1701"/>
        </w:tabs>
        <w:overflowPunct/>
        <w:autoSpaceDE/>
        <w:autoSpaceDN/>
        <w:adjustRightInd/>
        <w:spacing w:line="259" w:lineRule="auto"/>
        <w:textAlignment w:val="auto"/>
        <w:rPr>
          <w:rFonts w:cs="Arial"/>
          <w:color w:val="000000"/>
          <w:shd w:val="clear" w:color="auto" w:fill="FFFFFF"/>
        </w:rPr>
      </w:pPr>
      <w:r>
        <w:rPr>
          <w:rFonts w:cs="Arial"/>
          <w:color w:val="000000"/>
          <w:shd w:val="clear" w:color="auto" w:fill="FFFFFF"/>
        </w:rPr>
        <w:t>3</w:t>
      </w:r>
      <w:r w:rsidRPr="000E5E7D">
        <w:rPr>
          <w:rFonts w:cs="Arial"/>
          <w:color w:val="000000"/>
          <w:shd w:val="clear" w:color="auto" w:fill="FFFFFF"/>
        </w:rPr>
        <w:t xml:space="preserve">. Backward Compatibility: Legacy UEs and non-DL-CE Rel-19 UEs remain governed by the existing NTN bar bit.  </w:t>
      </w:r>
    </w:p>
    <w:p w14:paraId="439DC0C1" w14:textId="77777777" w:rsidR="000E5E7D" w:rsidRPr="00293F8C" w:rsidRDefault="000E5E7D" w:rsidP="000E5E7D">
      <w:pPr>
        <w:tabs>
          <w:tab w:val="left" w:pos="1701"/>
        </w:tabs>
        <w:overflowPunct/>
        <w:autoSpaceDE/>
        <w:autoSpaceDN/>
        <w:adjustRightInd/>
        <w:spacing w:line="259" w:lineRule="auto"/>
        <w:textAlignment w:val="auto"/>
        <w:rPr>
          <w:rFonts w:cs="Arial"/>
          <w:color w:val="000000"/>
          <w:shd w:val="clear" w:color="auto" w:fill="FFFFFF"/>
        </w:rPr>
      </w:pPr>
    </w:p>
    <w:p w14:paraId="07C4C4C8" w14:textId="124DA6FF" w:rsidR="000E5E7D" w:rsidRPr="00203782" w:rsidRDefault="000E5E7D" w:rsidP="000E5E7D">
      <w:pPr>
        <w:numPr>
          <w:ilvl w:val="0"/>
          <w:numId w:val="23"/>
        </w:numPr>
        <w:tabs>
          <w:tab w:val="left" w:pos="1701"/>
        </w:tabs>
        <w:overflowPunct/>
        <w:autoSpaceDE/>
        <w:autoSpaceDN/>
        <w:adjustRightInd/>
        <w:spacing w:line="259" w:lineRule="auto"/>
        <w:textAlignment w:val="auto"/>
        <w:rPr>
          <w:b/>
          <w:bCs/>
        </w:rPr>
      </w:pPr>
      <w:r w:rsidRPr="00203782">
        <w:rPr>
          <w:rFonts w:cs="Arial"/>
          <w:b/>
          <w:bCs/>
          <w:color w:val="000000"/>
          <w:shd w:val="clear" w:color="auto" w:fill="FFFFFF"/>
        </w:rPr>
        <w:t>Support the introduction of a new field for Rel-19 UEs supporting DL-CE, implementing a two-tier barring mechanism</w:t>
      </w:r>
      <w:r w:rsidR="00203782" w:rsidRPr="00203782">
        <w:rPr>
          <w:rFonts w:cs="Arial"/>
          <w:b/>
          <w:bCs/>
          <w:color w:val="000000"/>
          <w:shd w:val="clear" w:color="auto" w:fill="FFFFFF"/>
        </w:rPr>
        <w:t>.</w:t>
      </w:r>
    </w:p>
    <w:p w14:paraId="22BDD0EC" w14:textId="7249773F" w:rsidR="000E5E7D" w:rsidRPr="00203782" w:rsidRDefault="000E5E7D" w:rsidP="000E5E7D">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If the new field is present:  </w:t>
      </w:r>
    </w:p>
    <w:p w14:paraId="6704C446" w14:textId="1FD7243C" w:rsidR="000E5E7D" w:rsidRPr="00203782" w:rsidRDefault="000E5E7D" w:rsidP="000E5E7D">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 Use the new field to control Rel-19 UEs supporting DL-CE.  </w:t>
      </w:r>
    </w:p>
    <w:p w14:paraId="3CEAA9C4" w14:textId="3373833B" w:rsidR="000E5E7D" w:rsidRPr="00203782" w:rsidRDefault="000E5E7D" w:rsidP="000E5E7D">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 Use the existing NTN bar bit to control legacy UEs and Rel-19 UEs not supporting DL-CE.  </w:t>
      </w:r>
    </w:p>
    <w:p w14:paraId="117F931B" w14:textId="4148E7E1" w:rsidR="000E5E7D" w:rsidRPr="00203782" w:rsidRDefault="000E5E7D" w:rsidP="000E5E7D">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If the new field is absent:  </w:t>
      </w:r>
    </w:p>
    <w:p w14:paraId="663B308C" w14:textId="28EB19E7" w:rsidR="000E5E7D" w:rsidRPr="00203782" w:rsidRDefault="000E5E7D" w:rsidP="000E5E7D">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 Use the existing NTN bar bit to control all UE types.  </w:t>
      </w:r>
    </w:p>
    <w:p w14:paraId="759CDEAF" w14:textId="77777777" w:rsidR="0010550B" w:rsidRPr="0010550B" w:rsidRDefault="0010550B" w:rsidP="0077241B">
      <w:pPr>
        <w:spacing w:beforeLines="50" w:before="120"/>
        <w:rPr>
          <w:rFonts w:eastAsiaTheme="minorEastAsia"/>
          <w:szCs w:val="24"/>
          <w:lang w:val="en-US"/>
        </w:rPr>
      </w:pPr>
    </w:p>
    <w:p w14:paraId="2AF060CA" w14:textId="77777777" w:rsidR="008E065E" w:rsidRPr="00FF7C4E" w:rsidRDefault="00C44A8D" w:rsidP="00074485">
      <w:pPr>
        <w:pStyle w:val="1"/>
      </w:pPr>
      <w:r>
        <w:t xml:space="preserve">3. </w:t>
      </w:r>
      <w:r w:rsidR="00C01F33" w:rsidRPr="00CE0424">
        <w:t>Conclusion</w:t>
      </w:r>
    </w:p>
    <w:p w14:paraId="62BDE9DE" w14:textId="5B5E6975" w:rsidR="006C4F1C" w:rsidRDefault="006C4F1C" w:rsidP="006C4F1C">
      <w:pPr>
        <w:pStyle w:val="ac"/>
      </w:pPr>
      <w:r>
        <w:t xml:space="preserve">Based on the discussion above, we made the following </w:t>
      </w:r>
      <w:r w:rsidR="00ED0705">
        <w:t>proposal</w:t>
      </w:r>
      <w:r>
        <w:t>:</w:t>
      </w:r>
    </w:p>
    <w:p w14:paraId="2225F81F" w14:textId="497851B9" w:rsidR="00D97452" w:rsidRPr="00203782" w:rsidRDefault="00D97452" w:rsidP="00D97452">
      <w:pPr>
        <w:numPr>
          <w:ilvl w:val="0"/>
          <w:numId w:val="37"/>
        </w:numPr>
        <w:tabs>
          <w:tab w:val="left" w:pos="1701"/>
        </w:tabs>
        <w:overflowPunct/>
        <w:autoSpaceDE/>
        <w:autoSpaceDN/>
        <w:adjustRightInd/>
        <w:spacing w:line="259" w:lineRule="auto"/>
        <w:textAlignment w:val="auto"/>
        <w:rPr>
          <w:b/>
          <w:bCs/>
        </w:rPr>
      </w:pPr>
      <w:r w:rsidRPr="00203782">
        <w:rPr>
          <w:rFonts w:cs="Arial"/>
          <w:b/>
          <w:bCs/>
          <w:color w:val="000000"/>
          <w:shd w:val="clear" w:color="auto" w:fill="FFFFFF"/>
        </w:rPr>
        <w:t>Support the introduction of a new field for Rel-19 UEs supporting DL-CE, implementing a two-tier barring mechanism.</w:t>
      </w:r>
    </w:p>
    <w:p w14:paraId="25AC7C34" w14:textId="77777777" w:rsidR="00D97452" w:rsidRPr="00203782" w:rsidRDefault="00D97452" w:rsidP="00D97452">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If the new field is present:  </w:t>
      </w:r>
    </w:p>
    <w:p w14:paraId="6525A08B" w14:textId="77777777" w:rsidR="00D97452" w:rsidRPr="00203782" w:rsidRDefault="00D97452" w:rsidP="00D97452">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 Use the new field to control Rel-19 UEs supporting DL-CE.  </w:t>
      </w:r>
    </w:p>
    <w:p w14:paraId="6F8CE38A" w14:textId="77777777" w:rsidR="00D97452" w:rsidRPr="00203782" w:rsidRDefault="00D97452" w:rsidP="00D97452">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 Use the existing NTN bar bit to control legacy UEs and Rel-19 UEs not supporting DL-CE.  </w:t>
      </w:r>
    </w:p>
    <w:p w14:paraId="0B020652" w14:textId="77777777" w:rsidR="00D97452" w:rsidRPr="00203782" w:rsidRDefault="00D97452" w:rsidP="00D97452">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If the new field is absent:  </w:t>
      </w:r>
    </w:p>
    <w:p w14:paraId="67B91B87" w14:textId="77777777" w:rsidR="00D97452" w:rsidRPr="00203782" w:rsidRDefault="00D97452" w:rsidP="00D97452">
      <w:pPr>
        <w:tabs>
          <w:tab w:val="left" w:pos="1701"/>
        </w:tabs>
        <w:overflowPunct/>
        <w:autoSpaceDE/>
        <w:autoSpaceDN/>
        <w:adjustRightInd/>
        <w:spacing w:line="259" w:lineRule="auto"/>
        <w:textAlignment w:val="auto"/>
        <w:rPr>
          <w:rFonts w:cs="Arial"/>
          <w:b/>
          <w:bCs/>
          <w:color w:val="000000"/>
          <w:shd w:val="clear" w:color="auto" w:fill="FFFFFF"/>
        </w:rPr>
      </w:pPr>
      <w:r w:rsidRPr="00203782">
        <w:rPr>
          <w:rFonts w:cs="Arial"/>
          <w:b/>
          <w:bCs/>
          <w:color w:val="000000"/>
          <w:shd w:val="clear" w:color="auto" w:fill="FFFFFF"/>
        </w:rPr>
        <w:t xml:space="preserve">  - Use the existing NTN bar bit to control all UE types.  </w:t>
      </w:r>
    </w:p>
    <w:p w14:paraId="6202470C" w14:textId="52856EA5" w:rsidR="00DC09A5" w:rsidRDefault="00FF4044" w:rsidP="00DC09A5">
      <w:pPr>
        <w:pStyle w:val="1"/>
      </w:pPr>
      <w:bookmarkStart w:id="5" w:name="_In-sequence_SDU_delivery"/>
      <w:bookmarkStart w:id="6" w:name="_Ref189809556"/>
      <w:bookmarkStart w:id="7" w:name="_Ref174151459"/>
      <w:bookmarkStart w:id="8" w:name="_Ref450865335"/>
      <w:bookmarkEnd w:id="5"/>
      <w:r>
        <w:t xml:space="preserve">4. </w:t>
      </w:r>
      <w:r w:rsidR="00DC09A5">
        <w:rPr>
          <w:rFonts w:hint="eastAsia"/>
        </w:rPr>
        <w:t>Reference</w:t>
      </w:r>
      <w:bookmarkEnd w:id="6"/>
      <w:bookmarkEnd w:id="7"/>
      <w:bookmarkEnd w:id="8"/>
    </w:p>
    <w:p w14:paraId="05883669" w14:textId="77777777" w:rsidR="003C5656" w:rsidRDefault="003C5656" w:rsidP="003C5656">
      <w:pPr>
        <w:rPr>
          <w:rFonts w:cs="Arial"/>
        </w:rPr>
      </w:pPr>
      <w:r>
        <w:rPr>
          <w:rFonts w:cs="Arial"/>
        </w:rPr>
        <w:t>[1] RP-2</w:t>
      </w:r>
      <w:r>
        <w:rPr>
          <w:rFonts w:cs="Arial" w:hint="eastAsia"/>
        </w:rPr>
        <w:t>42397</w:t>
      </w:r>
      <w:r>
        <w:rPr>
          <w:rFonts w:cs="Arial"/>
        </w:rPr>
        <w:t xml:space="preserve">, </w:t>
      </w:r>
      <w:r w:rsidRPr="006169D8">
        <w:rPr>
          <w:rFonts w:cs="Arial"/>
        </w:rPr>
        <w:t>Revised WID on Non-Terrestrial Networks (NTN) for Internet of Things (IoT) Phase 3</w:t>
      </w:r>
      <w:r>
        <w:rPr>
          <w:rFonts w:cs="Arial"/>
        </w:rPr>
        <w:t xml:space="preserve">, </w:t>
      </w:r>
      <w:r w:rsidRPr="006169D8">
        <w:rPr>
          <w:rFonts w:cs="Arial"/>
        </w:rPr>
        <w:t>MediaTek</w:t>
      </w:r>
    </w:p>
    <w:p w14:paraId="3A6A1EBB" w14:textId="4AAC4C50" w:rsidR="00C634E7" w:rsidRPr="003C5656" w:rsidRDefault="00C634E7" w:rsidP="00C634E7">
      <w:pPr>
        <w:rPr>
          <w:rFonts w:cs="Arial"/>
        </w:rPr>
      </w:pPr>
    </w:p>
    <w:sectPr w:rsidR="00C634E7" w:rsidRPr="003C565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84574" w14:textId="77777777" w:rsidR="00761FB4" w:rsidRDefault="00761FB4">
      <w:r>
        <w:separator/>
      </w:r>
    </w:p>
  </w:endnote>
  <w:endnote w:type="continuationSeparator" w:id="0">
    <w:p w14:paraId="5CD1B4D0" w14:textId="77777777" w:rsidR="00761FB4" w:rsidRDefault="0076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50E21" w14:textId="77777777" w:rsidR="00761FB4" w:rsidRDefault="00761FB4">
      <w:r>
        <w:separator/>
      </w:r>
    </w:p>
  </w:footnote>
  <w:footnote w:type="continuationSeparator" w:id="0">
    <w:p w14:paraId="5847C7FA" w14:textId="77777777" w:rsidR="00761FB4" w:rsidRDefault="0076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E952F1"/>
    <w:multiLevelType w:val="hybridMultilevel"/>
    <w:tmpl w:val="62C69BFC"/>
    <w:lvl w:ilvl="0" w:tplc="91F02870">
      <w:start w:val="2024"/>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7"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E0D33B1"/>
    <w:multiLevelType w:val="hybridMultilevel"/>
    <w:tmpl w:val="74CAE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FFE00D6"/>
    <w:multiLevelType w:val="hybridMultilevel"/>
    <w:tmpl w:val="79424736"/>
    <w:lvl w:ilvl="0" w:tplc="09625A0A">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5F85F23"/>
    <w:multiLevelType w:val="hybridMultilevel"/>
    <w:tmpl w:val="50009B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032542"/>
    <w:multiLevelType w:val="hybridMultilevel"/>
    <w:tmpl w:val="1594104A"/>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994044">
    <w:abstractNumId w:val="19"/>
  </w:num>
  <w:num w:numId="2" w16cid:durableId="1644430297">
    <w:abstractNumId w:val="16"/>
  </w:num>
  <w:num w:numId="3" w16cid:durableId="132448858">
    <w:abstractNumId w:val="25"/>
  </w:num>
  <w:num w:numId="4" w16cid:durableId="1691033021">
    <w:abstractNumId w:val="17"/>
  </w:num>
  <w:num w:numId="5" w16cid:durableId="752434016">
    <w:abstractNumId w:val="36"/>
  </w:num>
  <w:num w:numId="6" w16cid:durableId="1681395447">
    <w:abstractNumId w:val="29"/>
  </w:num>
  <w:num w:numId="7" w16cid:durableId="859853262">
    <w:abstractNumId w:val="30"/>
  </w:num>
  <w:num w:numId="8" w16cid:durableId="115218492">
    <w:abstractNumId w:val="33"/>
  </w:num>
  <w:num w:numId="9" w16cid:durableId="910189596">
    <w:abstractNumId w:val="10"/>
  </w:num>
  <w:num w:numId="10" w16cid:durableId="507403490">
    <w:abstractNumId w:val="31"/>
  </w:num>
  <w:num w:numId="11" w16cid:durableId="159127586">
    <w:abstractNumId w:val="22"/>
  </w:num>
  <w:num w:numId="12" w16cid:durableId="1706784904">
    <w:abstractNumId w:val="15"/>
  </w:num>
  <w:num w:numId="13" w16cid:durableId="648022197">
    <w:abstractNumId w:val="11"/>
  </w:num>
  <w:num w:numId="14" w16cid:durableId="573781800">
    <w:abstractNumId w:val="0"/>
  </w:num>
  <w:num w:numId="15" w16cid:durableId="1893275482">
    <w:abstractNumId w:val="2"/>
  </w:num>
  <w:num w:numId="16" w16cid:durableId="1456288551">
    <w:abstractNumId w:val="5"/>
  </w:num>
  <w:num w:numId="17" w16cid:durableId="1543593904">
    <w:abstractNumId w:val="18"/>
  </w:num>
  <w:num w:numId="18" w16cid:durableId="1800024364">
    <w:abstractNumId w:val="9"/>
  </w:num>
  <w:num w:numId="19" w16cid:durableId="1004357708">
    <w:abstractNumId w:val="13"/>
  </w:num>
  <w:num w:numId="20" w16cid:durableId="863906398">
    <w:abstractNumId w:val="35"/>
  </w:num>
  <w:num w:numId="21" w16cid:durableId="59521703">
    <w:abstractNumId w:val="6"/>
  </w:num>
  <w:num w:numId="22" w16cid:durableId="675428550">
    <w:abstractNumId w:val="34"/>
  </w:num>
  <w:num w:numId="23" w16cid:durableId="1063021776">
    <w:abstractNumId w:val="8"/>
  </w:num>
  <w:num w:numId="24" w16cid:durableId="1751657178">
    <w:abstractNumId w:val="12"/>
  </w:num>
  <w:num w:numId="25" w16cid:durableId="2144154036">
    <w:abstractNumId w:val="14"/>
  </w:num>
  <w:num w:numId="26" w16cid:durableId="861283444">
    <w:abstractNumId w:val="26"/>
  </w:num>
  <w:num w:numId="27" w16cid:durableId="1003893464">
    <w:abstractNumId w:val="20"/>
  </w:num>
  <w:num w:numId="28" w16cid:durableId="136651720">
    <w:abstractNumId w:val="4"/>
  </w:num>
  <w:num w:numId="29" w16cid:durableId="15809677">
    <w:abstractNumId w:val="1"/>
  </w:num>
  <w:num w:numId="30" w16cid:durableId="1646351281">
    <w:abstractNumId w:val="27"/>
  </w:num>
  <w:num w:numId="31" w16cid:durableId="1589190304">
    <w:abstractNumId w:val="7"/>
  </w:num>
  <w:num w:numId="32" w16cid:durableId="1251500723">
    <w:abstractNumId w:val="24"/>
  </w:num>
  <w:num w:numId="33" w16cid:durableId="602763244">
    <w:abstractNumId w:val="3"/>
  </w:num>
  <w:num w:numId="34" w16cid:durableId="5715366">
    <w:abstractNumId w:val="23"/>
  </w:num>
  <w:num w:numId="35" w16cid:durableId="1651716519">
    <w:abstractNumId w:val="32"/>
  </w:num>
  <w:num w:numId="36" w16cid:durableId="2138450464">
    <w:abstractNumId w:val="21"/>
  </w:num>
  <w:num w:numId="37" w16cid:durableId="41871703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3F0"/>
    <w:rsid w:val="0002564D"/>
    <w:rsid w:val="00025ECA"/>
    <w:rsid w:val="00026207"/>
    <w:rsid w:val="00026924"/>
    <w:rsid w:val="000275D6"/>
    <w:rsid w:val="00032533"/>
    <w:rsid w:val="000325B8"/>
    <w:rsid w:val="00032D18"/>
    <w:rsid w:val="000349B0"/>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2EB7"/>
    <w:rsid w:val="00063880"/>
    <w:rsid w:val="00063B8A"/>
    <w:rsid w:val="00064019"/>
    <w:rsid w:val="0006487E"/>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9B6"/>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757B"/>
    <w:rsid w:val="000975FD"/>
    <w:rsid w:val="00097AAA"/>
    <w:rsid w:val="000A190F"/>
    <w:rsid w:val="000A1936"/>
    <w:rsid w:val="000A1B7B"/>
    <w:rsid w:val="000A26C2"/>
    <w:rsid w:val="000A3050"/>
    <w:rsid w:val="000A380B"/>
    <w:rsid w:val="000A40A6"/>
    <w:rsid w:val="000A43F8"/>
    <w:rsid w:val="000A4665"/>
    <w:rsid w:val="000A4ACC"/>
    <w:rsid w:val="000A4D0E"/>
    <w:rsid w:val="000A56F2"/>
    <w:rsid w:val="000A5729"/>
    <w:rsid w:val="000A590F"/>
    <w:rsid w:val="000A6742"/>
    <w:rsid w:val="000B02A3"/>
    <w:rsid w:val="000B0447"/>
    <w:rsid w:val="000B0A0F"/>
    <w:rsid w:val="000B0F1B"/>
    <w:rsid w:val="000B10C8"/>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0E2F"/>
    <w:rsid w:val="000C165A"/>
    <w:rsid w:val="000C1AAE"/>
    <w:rsid w:val="000C1C86"/>
    <w:rsid w:val="000C2E19"/>
    <w:rsid w:val="000C305E"/>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1301"/>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981"/>
    <w:rsid w:val="000E5E7D"/>
    <w:rsid w:val="000E5F5E"/>
    <w:rsid w:val="000E6542"/>
    <w:rsid w:val="000E6E36"/>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1EDA"/>
    <w:rsid w:val="00102812"/>
    <w:rsid w:val="00103245"/>
    <w:rsid w:val="00103AAF"/>
    <w:rsid w:val="0010501D"/>
    <w:rsid w:val="0010550B"/>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5A65"/>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C59"/>
    <w:rsid w:val="001269BD"/>
    <w:rsid w:val="00126B4A"/>
    <w:rsid w:val="00126EB1"/>
    <w:rsid w:val="00127A0C"/>
    <w:rsid w:val="00130F05"/>
    <w:rsid w:val="00131757"/>
    <w:rsid w:val="00131BB8"/>
    <w:rsid w:val="0013223A"/>
    <w:rsid w:val="00132419"/>
    <w:rsid w:val="00132FD0"/>
    <w:rsid w:val="0013347A"/>
    <w:rsid w:val="00134206"/>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17D3"/>
    <w:rsid w:val="001823E5"/>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A5C"/>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56D"/>
    <w:rsid w:val="001D67DD"/>
    <w:rsid w:val="001D6D53"/>
    <w:rsid w:val="001D6D61"/>
    <w:rsid w:val="001D72A0"/>
    <w:rsid w:val="001E027A"/>
    <w:rsid w:val="001E03AC"/>
    <w:rsid w:val="001E1805"/>
    <w:rsid w:val="001E21CF"/>
    <w:rsid w:val="001E2310"/>
    <w:rsid w:val="001E2518"/>
    <w:rsid w:val="001E3012"/>
    <w:rsid w:val="001E362A"/>
    <w:rsid w:val="001E4418"/>
    <w:rsid w:val="001E458B"/>
    <w:rsid w:val="001E47A5"/>
    <w:rsid w:val="001E58E2"/>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782"/>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3CFB"/>
    <w:rsid w:val="00214133"/>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27CC7"/>
    <w:rsid w:val="002301A8"/>
    <w:rsid w:val="00230436"/>
    <w:rsid w:val="00230765"/>
    <w:rsid w:val="002319E4"/>
    <w:rsid w:val="00231EC5"/>
    <w:rsid w:val="00233058"/>
    <w:rsid w:val="0023309E"/>
    <w:rsid w:val="00234519"/>
    <w:rsid w:val="00234E22"/>
    <w:rsid w:val="002355A3"/>
    <w:rsid w:val="00235632"/>
    <w:rsid w:val="00235872"/>
    <w:rsid w:val="002359BE"/>
    <w:rsid w:val="00235EF6"/>
    <w:rsid w:val="00236F55"/>
    <w:rsid w:val="002401EC"/>
    <w:rsid w:val="00240493"/>
    <w:rsid w:val="00241559"/>
    <w:rsid w:val="002435B3"/>
    <w:rsid w:val="0024373E"/>
    <w:rsid w:val="00243B26"/>
    <w:rsid w:val="00245246"/>
    <w:rsid w:val="0024558E"/>
    <w:rsid w:val="002458EB"/>
    <w:rsid w:val="0024591B"/>
    <w:rsid w:val="00245A75"/>
    <w:rsid w:val="00246623"/>
    <w:rsid w:val="002468AB"/>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3F8C"/>
    <w:rsid w:val="0029581B"/>
    <w:rsid w:val="00295CD9"/>
    <w:rsid w:val="00296227"/>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A7D24"/>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4A41"/>
    <w:rsid w:val="002D5D04"/>
    <w:rsid w:val="002D5E68"/>
    <w:rsid w:val="002D6000"/>
    <w:rsid w:val="002D62A5"/>
    <w:rsid w:val="002D64F9"/>
    <w:rsid w:val="002D7637"/>
    <w:rsid w:val="002D774D"/>
    <w:rsid w:val="002E109F"/>
    <w:rsid w:val="002E17F2"/>
    <w:rsid w:val="002E2360"/>
    <w:rsid w:val="002E2EBC"/>
    <w:rsid w:val="002E3EA6"/>
    <w:rsid w:val="002E7779"/>
    <w:rsid w:val="002E77A9"/>
    <w:rsid w:val="002E7C4D"/>
    <w:rsid w:val="002E7CAE"/>
    <w:rsid w:val="002F0DDB"/>
    <w:rsid w:val="002F13FF"/>
    <w:rsid w:val="002F17C7"/>
    <w:rsid w:val="002F1918"/>
    <w:rsid w:val="002F1BE3"/>
    <w:rsid w:val="002F1C66"/>
    <w:rsid w:val="002F2074"/>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290"/>
    <w:rsid w:val="0030755B"/>
    <w:rsid w:val="003077CA"/>
    <w:rsid w:val="00307BA1"/>
    <w:rsid w:val="00307D2A"/>
    <w:rsid w:val="00307FDB"/>
    <w:rsid w:val="00311107"/>
    <w:rsid w:val="00311702"/>
    <w:rsid w:val="00311E82"/>
    <w:rsid w:val="0031246D"/>
    <w:rsid w:val="003125A2"/>
    <w:rsid w:val="003130B9"/>
    <w:rsid w:val="00313E4B"/>
    <w:rsid w:val="00313FD6"/>
    <w:rsid w:val="003142A7"/>
    <w:rsid w:val="003143BD"/>
    <w:rsid w:val="0031629C"/>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2985"/>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4037"/>
    <w:rsid w:val="003443D1"/>
    <w:rsid w:val="00346DB5"/>
    <w:rsid w:val="003472D8"/>
    <w:rsid w:val="003477B1"/>
    <w:rsid w:val="003503FC"/>
    <w:rsid w:val="003528CC"/>
    <w:rsid w:val="00353947"/>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2E5A"/>
    <w:rsid w:val="00363941"/>
    <w:rsid w:val="00363E02"/>
    <w:rsid w:val="00363FDB"/>
    <w:rsid w:val="00364337"/>
    <w:rsid w:val="00364476"/>
    <w:rsid w:val="003648A5"/>
    <w:rsid w:val="00365340"/>
    <w:rsid w:val="0036573D"/>
    <w:rsid w:val="00365F96"/>
    <w:rsid w:val="003661A4"/>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5B4"/>
    <w:rsid w:val="00384602"/>
    <w:rsid w:val="003850E0"/>
    <w:rsid w:val="0038596C"/>
    <w:rsid w:val="00385BF0"/>
    <w:rsid w:val="0038608B"/>
    <w:rsid w:val="00390339"/>
    <w:rsid w:val="00390659"/>
    <w:rsid w:val="00390F21"/>
    <w:rsid w:val="003917D7"/>
    <w:rsid w:val="0039231E"/>
    <w:rsid w:val="0039241D"/>
    <w:rsid w:val="00392578"/>
    <w:rsid w:val="0039340E"/>
    <w:rsid w:val="003938F3"/>
    <w:rsid w:val="003939FF"/>
    <w:rsid w:val="00393E5D"/>
    <w:rsid w:val="003946CF"/>
    <w:rsid w:val="00394BCD"/>
    <w:rsid w:val="00395148"/>
    <w:rsid w:val="0039533A"/>
    <w:rsid w:val="003969CC"/>
    <w:rsid w:val="00396AB1"/>
    <w:rsid w:val="00397803"/>
    <w:rsid w:val="003A0210"/>
    <w:rsid w:val="003A0474"/>
    <w:rsid w:val="003A1343"/>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27BD"/>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EF0"/>
    <w:rsid w:val="003C38EB"/>
    <w:rsid w:val="003C3CDD"/>
    <w:rsid w:val="003C5070"/>
    <w:rsid w:val="003C5656"/>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243"/>
    <w:rsid w:val="003E3F2D"/>
    <w:rsid w:val="003E4D35"/>
    <w:rsid w:val="003E55E4"/>
    <w:rsid w:val="003E59C8"/>
    <w:rsid w:val="003E6405"/>
    <w:rsid w:val="003E74E3"/>
    <w:rsid w:val="003E7D27"/>
    <w:rsid w:val="003F05C7"/>
    <w:rsid w:val="003F1455"/>
    <w:rsid w:val="003F19C2"/>
    <w:rsid w:val="003F1EE4"/>
    <w:rsid w:val="003F25AD"/>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3F39"/>
    <w:rsid w:val="00415DFC"/>
    <w:rsid w:val="00415F50"/>
    <w:rsid w:val="0041604D"/>
    <w:rsid w:val="004160E7"/>
    <w:rsid w:val="00416A98"/>
    <w:rsid w:val="00417191"/>
    <w:rsid w:val="004203AB"/>
    <w:rsid w:val="0042051A"/>
    <w:rsid w:val="00421105"/>
    <w:rsid w:val="00421C57"/>
    <w:rsid w:val="004223AC"/>
    <w:rsid w:val="004223E8"/>
    <w:rsid w:val="00423035"/>
    <w:rsid w:val="00424211"/>
    <w:rsid w:val="004242F4"/>
    <w:rsid w:val="00424BE6"/>
    <w:rsid w:val="00425B88"/>
    <w:rsid w:val="00426975"/>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1F16"/>
    <w:rsid w:val="00472B6C"/>
    <w:rsid w:val="004734D0"/>
    <w:rsid w:val="00473905"/>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254"/>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8EB"/>
    <w:rsid w:val="004B0F34"/>
    <w:rsid w:val="004B162A"/>
    <w:rsid w:val="004B1B04"/>
    <w:rsid w:val="004B236F"/>
    <w:rsid w:val="004B25B6"/>
    <w:rsid w:val="004B4D75"/>
    <w:rsid w:val="004B572C"/>
    <w:rsid w:val="004B5A6B"/>
    <w:rsid w:val="004B5C2F"/>
    <w:rsid w:val="004B5D8E"/>
    <w:rsid w:val="004B6F1D"/>
    <w:rsid w:val="004B766C"/>
    <w:rsid w:val="004B7C0C"/>
    <w:rsid w:val="004B7DDE"/>
    <w:rsid w:val="004C1E36"/>
    <w:rsid w:val="004C2EA4"/>
    <w:rsid w:val="004C33AD"/>
    <w:rsid w:val="004C33AF"/>
    <w:rsid w:val="004C34B8"/>
    <w:rsid w:val="004C387E"/>
    <w:rsid w:val="004C3898"/>
    <w:rsid w:val="004C3E40"/>
    <w:rsid w:val="004C4246"/>
    <w:rsid w:val="004C4CC5"/>
    <w:rsid w:val="004C5255"/>
    <w:rsid w:val="004C60D7"/>
    <w:rsid w:val="004C6E10"/>
    <w:rsid w:val="004C6FC1"/>
    <w:rsid w:val="004C7485"/>
    <w:rsid w:val="004C7D8C"/>
    <w:rsid w:val="004C7EC1"/>
    <w:rsid w:val="004D035C"/>
    <w:rsid w:val="004D0CE8"/>
    <w:rsid w:val="004D1E7F"/>
    <w:rsid w:val="004D22F6"/>
    <w:rsid w:val="004D2A7C"/>
    <w:rsid w:val="004D32BB"/>
    <w:rsid w:val="004D3697"/>
    <w:rsid w:val="004D36B1"/>
    <w:rsid w:val="004D38A9"/>
    <w:rsid w:val="004D3F54"/>
    <w:rsid w:val="004D5AC0"/>
    <w:rsid w:val="004D6913"/>
    <w:rsid w:val="004D6AC5"/>
    <w:rsid w:val="004D761C"/>
    <w:rsid w:val="004D7EBD"/>
    <w:rsid w:val="004E0F4D"/>
    <w:rsid w:val="004E1118"/>
    <w:rsid w:val="004E126F"/>
    <w:rsid w:val="004E143B"/>
    <w:rsid w:val="004E155B"/>
    <w:rsid w:val="004E168D"/>
    <w:rsid w:val="004E1FCE"/>
    <w:rsid w:val="004E2392"/>
    <w:rsid w:val="004E2680"/>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2737"/>
    <w:rsid w:val="00523561"/>
    <w:rsid w:val="0052475A"/>
    <w:rsid w:val="0052577D"/>
    <w:rsid w:val="00525D52"/>
    <w:rsid w:val="00530643"/>
    <w:rsid w:val="00531A22"/>
    <w:rsid w:val="005321BE"/>
    <w:rsid w:val="00534B59"/>
    <w:rsid w:val="0053524C"/>
    <w:rsid w:val="0053560B"/>
    <w:rsid w:val="005361E1"/>
    <w:rsid w:val="00536759"/>
    <w:rsid w:val="00536B1E"/>
    <w:rsid w:val="00537228"/>
    <w:rsid w:val="00537C62"/>
    <w:rsid w:val="00540084"/>
    <w:rsid w:val="005400A0"/>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5193"/>
    <w:rsid w:val="005756C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6D0E"/>
    <w:rsid w:val="0058798C"/>
    <w:rsid w:val="00587E64"/>
    <w:rsid w:val="00587F73"/>
    <w:rsid w:val="005900FA"/>
    <w:rsid w:val="0059020C"/>
    <w:rsid w:val="0059087A"/>
    <w:rsid w:val="00591162"/>
    <w:rsid w:val="0059314A"/>
    <w:rsid w:val="0059344A"/>
    <w:rsid w:val="005935A4"/>
    <w:rsid w:val="005939E2"/>
    <w:rsid w:val="00593C28"/>
    <w:rsid w:val="00593C78"/>
    <w:rsid w:val="005948C2"/>
    <w:rsid w:val="00595DCA"/>
    <w:rsid w:val="005975B0"/>
    <w:rsid w:val="005976CD"/>
    <w:rsid w:val="0059779B"/>
    <w:rsid w:val="00597E65"/>
    <w:rsid w:val="005A011C"/>
    <w:rsid w:val="005A035E"/>
    <w:rsid w:val="005A0DF4"/>
    <w:rsid w:val="005A1173"/>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467"/>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0A6"/>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15"/>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0DE"/>
    <w:rsid w:val="00607E51"/>
    <w:rsid w:val="00607FD8"/>
    <w:rsid w:val="00610F1B"/>
    <w:rsid w:val="00611B83"/>
    <w:rsid w:val="0061228C"/>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19AF"/>
    <w:rsid w:val="00622234"/>
    <w:rsid w:val="0062297E"/>
    <w:rsid w:val="00623301"/>
    <w:rsid w:val="006234A6"/>
    <w:rsid w:val="00623A29"/>
    <w:rsid w:val="0062427F"/>
    <w:rsid w:val="00624412"/>
    <w:rsid w:val="0062455D"/>
    <w:rsid w:val="00624E32"/>
    <w:rsid w:val="00625DCE"/>
    <w:rsid w:val="00625E5B"/>
    <w:rsid w:val="00626533"/>
    <w:rsid w:val="00626EA2"/>
    <w:rsid w:val="00627504"/>
    <w:rsid w:val="00630001"/>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576"/>
    <w:rsid w:val="00647F40"/>
    <w:rsid w:val="00650AB9"/>
    <w:rsid w:val="00650DCF"/>
    <w:rsid w:val="00652D56"/>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97ECF"/>
    <w:rsid w:val="006A0FFC"/>
    <w:rsid w:val="006A13DB"/>
    <w:rsid w:val="006A1712"/>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3EFB"/>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16B4D"/>
    <w:rsid w:val="00717B13"/>
    <w:rsid w:val="00720277"/>
    <w:rsid w:val="007204DF"/>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4D"/>
    <w:rsid w:val="00742B6F"/>
    <w:rsid w:val="00742F37"/>
    <w:rsid w:val="00743630"/>
    <w:rsid w:val="00743670"/>
    <w:rsid w:val="007445A0"/>
    <w:rsid w:val="0074524B"/>
    <w:rsid w:val="00745719"/>
    <w:rsid w:val="00745D13"/>
    <w:rsid w:val="00746F08"/>
    <w:rsid w:val="00747BC9"/>
    <w:rsid w:val="00747D8B"/>
    <w:rsid w:val="00750162"/>
    <w:rsid w:val="007504C4"/>
    <w:rsid w:val="00751228"/>
    <w:rsid w:val="007521CC"/>
    <w:rsid w:val="00756619"/>
    <w:rsid w:val="00756C22"/>
    <w:rsid w:val="00756DA9"/>
    <w:rsid w:val="007571E1"/>
    <w:rsid w:val="007573FE"/>
    <w:rsid w:val="007604B2"/>
    <w:rsid w:val="007605F1"/>
    <w:rsid w:val="007612D1"/>
    <w:rsid w:val="00761A07"/>
    <w:rsid w:val="00761BA4"/>
    <w:rsid w:val="00761FB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304C"/>
    <w:rsid w:val="00783673"/>
    <w:rsid w:val="00783842"/>
    <w:rsid w:val="007843D5"/>
    <w:rsid w:val="00785490"/>
    <w:rsid w:val="00785709"/>
    <w:rsid w:val="007857D3"/>
    <w:rsid w:val="00785F41"/>
    <w:rsid w:val="007869BE"/>
    <w:rsid w:val="007877B8"/>
    <w:rsid w:val="0078784D"/>
    <w:rsid w:val="00787E00"/>
    <w:rsid w:val="007915CE"/>
    <w:rsid w:val="00791B4E"/>
    <w:rsid w:val="007925EA"/>
    <w:rsid w:val="00793CD8"/>
    <w:rsid w:val="007942A2"/>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306F"/>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355"/>
    <w:rsid w:val="00806451"/>
    <w:rsid w:val="0080657E"/>
    <w:rsid w:val="0080677C"/>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B4"/>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90223"/>
    <w:rsid w:val="008903DD"/>
    <w:rsid w:val="008913C8"/>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33AD"/>
    <w:rsid w:val="008A44B8"/>
    <w:rsid w:val="008A46E5"/>
    <w:rsid w:val="008A51A8"/>
    <w:rsid w:val="008A5484"/>
    <w:rsid w:val="008A54C7"/>
    <w:rsid w:val="008A5547"/>
    <w:rsid w:val="008A56E2"/>
    <w:rsid w:val="008A5EF6"/>
    <w:rsid w:val="008A6840"/>
    <w:rsid w:val="008A742A"/>
    <w:rsid w:val="008A77D8"/>
    <w:rsid w:val="008B0483"/>
    <w:rsid w:val="008B05F9"/>
    <w:rsid w:val="008B0742"/>
    <w:rsid w:val="008B0B53"/>
    <w:rsid w:val="008B0D21"/>
    <w:rsid w:val="008B120C"/>
    <w:rsid w:val="008B130F"/>
    <w:rsid w:val="008B16D7"/>
    <w:rsid w:val="008B1C4F"/>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1668"/>
    <w:rsid w:val="008D1FC8"/>
    <w:rsid w:val="008D269F"/>
    <w:rsid w:val="008D2C09"/>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3CB"/>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0F21"/>
    <w:rsid w:val="00911CA0"/>
    <w:rsid w:val="00911DFB"/>
    <w:rsid w:val="00913776"/>
    <w:rsid w:val="009138FB"/>
    <w:rsid w:val="009139D9"/>
    <w:rsid w:val="0091432C"/>
    <w:rsid w:val="0091488F"/>
    <w:rsid w:val="00914AD8"/>
    <w:rsid w:val="00915297"/>
    <w:rsid w:val="00916079"/>
    <w:rsid w:val="0091690C"/>
    <w:rsid w:val="00916FCC"/>
    <w:rsid w:val="00917170"/>
    <w:rsid w:val="00917CE9"/>
    <w:rsid w:val="00920BF2"/>
    <w:rsid w:val="00921D86"/>
    <w:rsid w:val="00922010"/>
    <w:rsid w:val="009231A6"/>
    <w:rsid w:val="00923AFE"/>
    <w:rsid w:val="00924A33"/>
    <w:rsid w:val="00924B46"/>
    <w:rsid w:val="00925DAA"/>
    <w:rsid w:val="0092645C"/>
    <w:rsid w:val="00927D85"/>
    <w:rsid w:val="009305EA"/>
    <w:rsid w:val="00931196"/>
    <w:rsid w:val="009316C9"/>
    <w:rsid w:val="00931BD9"/>
    <w:rsid w:val="00932336"/>
    <w:rsid w:val="0093233C"/>
    <w:rsid w:val="00933142"/>
    <w:rsid w:val="00933868"/>
    <w:rsid w:val="0093466B"/>
    <w:rsid w:val="00934C28"/>
    <w:rsid w:val="00934FE5"/>
    <w:rsid w:val="00935FBA"/>
    <w:rsid w:val="009368F3"/>
    <w:rsid w:val="00936ACF"/>
    <w:rsid w:val="00936D4E"/>
    <w:rsid w:val="009373DA"/>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C4B"/>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57C30"/>
    <w:rsid w:val="009601EC"/>
    <w:rsid w:val="00960437"/>
    <w:rsid w:val="00960A11"/>
    <w:rsid w:val="00960CF6"/>
    <w:rsid w:val="009610A5"/>
    <w:rsid w:val="009612A6"/>
    <w:rsid w:val="00961921"/>
    <w:rsid w:val="00961A82"/>
    <w:rsid w:val="00962EE9"/>
    <w:rsid w:val="0096430A"/>
    <w:rsid w:val="00964B5A"/>
    <w:rsid w:val="0096554B"/>
    <w:rsid w:val="009655A8"/>
    <w:rsid w:val="0096584A"/>
    <w:rsid w:val="00965AED"/>
    <w:rsid w:val="00967990"/>
    <w:rsid w:val="00970A26"/>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4508"/>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000"/>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3F2A"/>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5ED6"/>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3AA4"/>
    <w:rsid w:val="00B23B96"/>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1CDD"/>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4047"/>
    <w:rsid w:val="00B551B3"/>
    <w:rsid w:val="00B555C1"/>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D70"/>
    <w:rsid w:val="00B77E97"/>
    <w:rsid w:val="00B80723"/>
    <w:rsid w:val="00B81A6C"/>
    <w:rsid w:val="00B82630"/>
    <w:rsid w:val="00B8538C"/>
    <w:rsid w:val="00B85688"/>
    <w:rsid w:val="00B85DE5"/>
    <w:rsid w:val="00B860FB"/>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02"/>
    <w:rsid w:val="00B97180"/>
    <w:rsid w:val="00BA0D16"/>
    <w:rsid w:val="00BA112F"/>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4463"/>
    <w:rsid w:val="00BB51E9"/>
    <w:rsid w:val="00BB7AC5"/>
    <w:rsid w:val="00BC013D"/>
    <w:rsid w:val="00BC06BF"/>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0694"/>
    <w:rsid w:val="00C00BD3"/>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CE0"/>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B19"/>
    <w:rsid w:val="00C70C39"/>
    <w:rsid w:val="00C715DB"/>
    <w:rsid w:val="00C718BC"/>
    <w:rsid w:val="00C71D8B"/>
    <w:rsid w:val="00C72735"/>
    <w:rsid w:val="00C72B36"/>
    <w:rsid w:val="00C72EF4"/>
    <w:rsid w:val="00C73B8D"/>
    <w:rsid w:val="00C73FF0"/>
    <w:rsid w:val="00C740B7"/>
    <w:rsid w:val="00C7430B"/>
    <w:rsid w:val="00C75D2F"/>
    <w:rsid w:val="00C767BE"/>
    <w:rsid w:val="00C76E3C"/>
    <w:rsid w:val="00C808E9"/>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779"/>
    <w:rsid w:val="00C97D16"/>
    <w:rsid w:val="00CA155D"/>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2F57"/>
    <w:rsid w:val="00CB3AAD"/>
    <w:rsid w:val="00CB4738"/>
    <w:rsid w:val="00CB47B8"/>
    <w:rsid w:val="00CB568E"/>
    <w:rsid w:val="00CB7170"/>
    <w:rsid w:val="00CB71BD"/>
    <w:rsid w:val="00CB799E"/>
    <w:rsid w:val="00CB7ADF"/>
    <w:rsid w:val="00CC03D0"/>
    <w:rsid w:val="00CC040E"/>
    <w:rsid w:val="00CC1040"/>
    <w:rsid w:val="00CC111F"/>
    <w:rsid w:val="00CC1BF7"/>
    <w:rsid w:val="00CC2011"/>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4FFC"/>
    <w:rsid w:val="00CD542A"/>
    <w:rsid w:val="00CD5C7A"/>
    <w:rsid w:val="00CE0424"/>
    <w:rsid w:val="00CE10CB"/>
    <w:rsid w:val="00CE21B9"/>
    <w:rsid w:val="00CE2688"/>
    <w:rsid w:val="00CE27C1"/>
    <w:rsid w:val="00CE2F63"/>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6F7"/>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1602"/>
    <w:rsid w:val="00D22127"/>
    <w:rsid w:val="00D2232E"/>
    <w:rsid w:val="00D2339F"/>
    <w:rsid w:val="00D239A7"/>
    <w:rsid w:val="00D23E78"/>
    <w:rsid w:val="00D23F47"/>
    <w:rsid w:val="00D2454F"/>
    <w:rsid w:val="00D25216"/>
    <w:rsid w:val="00D2531E"/>
    <w:rsid w:val="00D25C57"/>
    <w:rsid w:val="00D30471"/>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452"/>
    <w:rsid w:val="00D9758F"/>
    <w:rsid w:val="00D97590"/>
    <w:rsid w:val="00DA0D4E"/>
    <w:rsid w:val="00DA0FDC"/>
    <w:rsid w:val="00DA1421"/>
    <w:rsid w:val="00DA1684"/>
    <w:rsid w:val="00DA199C"/>
    <w:rsid w:val="00DA1B30"/>
    <w:rsid w:val="00DA2035"/>
    <w:rsid w:val="00DA2FE4"/>
    <w:rsid w:val="00DA305E"/>
    <w:rsid w:val="00DA3669"/>
    <w:rsid w:val="00DA45C0"/>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463C"/>
    <w:rsid w:val="00DB5F1F"/>
    <w:rsid w:val="00DB6874"/>
    <w:rsid w:val="00DB6DB1"/>
    <w:rsid w:val="00DB74AC"/>
    <w:rsid w:val="00DB7652"/>
    <w:rsid w:val="00DB7825"/>
    <w:rsid w:val="00DB7F51"/>
    <w:rsid w:val="00DC09A5"/>
    <w:rsid w:val="00DC0F09"/>
    <w:rsid w:val="00DC120C"/>
    <w:rsid w:val="00DC26DD"/>
    <w:rsid w:val="00DC2CB7"/>
    <w:rsid w:val="00DC2D36"/>
    <w:rsid w:val="00DC2D88"/>
    <w:rsid w:val="00DC3113"/>
    <w:rsid w:val="00DC3EAA"/>
    <w:rsid w:val="00DC489D"/>
    <w:rsid w:val="00DC4BFA"/>
    <w:rsid w:val="00DC4CE4"/>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49B"/>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1F0E"/>
    <w:rsid w:val="00E13731"/>
    <w:rsid w:val="00E14DFB"/>
    <w:rsid w:val="00E151B0"/>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27A2F"/>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06F"/>
    <w:rsid w:val="00EC07C1"/>
    <w:rsid w:val="00EC08EA"/>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C88"/>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4C1E"/>
    <w:rsid w:val="00F1532A"/>
    <w:rsid w:val="00F154F8"/>
    <w:rsid w:val="00F157CD"/>
    <w:rsid w:val="00F15994"/>
    <w:rsid w:val="00F15FA5"/>
    <w:rsid w:val="00F16CDF"/>
    <w:rsid w:val="00F17172"/>
    <w:rsid w:val="00F17716"/>
    <w:rsid w:val="00F17892"/>
    <w:rsid w:val="00F17B84"/>
    <w:rsid w:val="00F2081A"/>
    <w:rsid w:val="00F209B7"/>
    <w:rsid w:val="00F20E38"/>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5DA"/>
    <w:rsid w:val="00F96985"/>
    <w:rsid w:val="00F96CAE"/>
    <w:rsid w:val="00F97537"/>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1BC"/>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84C"/>
    <w:rsid w:val="00FC19CD"/>
    <w:rsid w:val="00FC21FA"/>
    <w:rsid w:val="00FC2E10"/>
    <w:rsid w:val="00FC4594"/>
    <w:rsid w:val="00FC48C3"/>
    <w:rsid w:val="00FC49E6"/>
    <w:rsid w:val="00FC57AA"/>
    <w:rsid w:val="00FC59D1"/>
    <w:rsid w:val="00FC6476"/>
    <w:rsid w:val="00FC6E7A"/>
    <w:rsid w:val="00FC7429"/>
    <w:rsid w:val="00FD07F6"/>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11B"/>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550B"/>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2">
    <w:name w:val="List 4"/>
    <w:basedOn w:val="31"/>
    <w:rsid w:val="00910A74"/>
    <w:pPr>
      <w:ind w:left="1418"/>
    </w:pPr>
  </w:style>
  <w:style w:type="paragraph" w:styleId="51">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8B0742"/>
    <w:rPr>
      <w:rFonts w:ascii="Arial" w:hAnsi="Arial" w:cs="Arial"/>
      <w:sz w:val="24"/>
      <w:szCs w:val="24"/>
      <w:lang w:val="en-GB"/>
    </w:rPr>
  </w:style>
  <w:style w:type="paragraph" w:customStyle="1" w:styleId="0Maintext">
    <w:name w:val="0 Main text"/>
    <w:basedOn w:val="a0"/>
    <w:link w:val="0MaintextChar"/>
    <w:qFormat/>
    <w:rsid w:val="00D21602"/>
    <w:pPr>
      <w:overflowPunct/>
      <w:autoSpaceDE/>
      <w:autoSpaceDN/>
      <w:adjustRightInd/>
      <w:spacing w:after="100" w:afterAutospacing="1" w:line="288" w:lineRule="auto"/>
      <w:ind w:firstLine="360"/>
      <w:textAlignment w:val="auto"/>
    </w:pPr>
    <w:rPr>
      <w:rFonts w:ascii="Times New Roman" w:eastAsia="Times New Roman" w:hAnsi="Times New Roman" w:cs="Batang"/>
      <w:lang w:eastAsia="en-US"/>
    </w:rPr>
  </w:style>
  <w:style w:type="character" w:customStyle="1" w:styleId="0MaintextChar">
    <w:name w:val="0 Main text Char"/>
    <w:basedOn w:val="a1"/>
    <w:link w:val="0Maintext"/>
    <w:rsid w:val="00D21602"/>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147</TotalTime>
  <Pages>2</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张鑫</cp:lastModifiedBy>
  <cp:revision>56</cp:revision>
  <cp:lastPrinted>2008-01-31T00:09:00Z</cp:lastPrinted>
  <dcterms:created xsi:type="dcterms:W3CDTF">2025-02-07T02:12:00Z</dcterms:created>
  <dcterms:modified xsi:type="dcterms:W3CDTF">2025-03-28T05:47:00Z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