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37ED9" w14:textId="2152FA99" w:rsidR="00C444A6" w:rsidRPr="00F346E9" w:rsidRDefault="00000000">
      <w:pPr>
        <w:tabs>
          <w:tab w:val="center" w:pos="4536"/>
          <w:tab w:val="right" w:pos="9072"/>
        </w:tabs>
        <w:spacing w:before="120" w:afterLines="0" w:after="0" w:line="260" w:lineRule="auto"/>
        <w:rPr>
          <w:rFonts w:ascii="Arial" w:hAnsi="Arial" w:cs="Arial"/>
          <w:b/>
          <w:i/>
          <w:iCs/>
          <w:kern w:val="0"/>
          <w:sz w:val="22"/>
          <w:szCs w:val="22"/>
        </w:rPr>
      </w:pPr>
      <w:r w:rsidRPr="00F346E9">
        <w:rPr>
          <w:rFonts w:ascii="Arial" w:hAnsi="Arial" w:cs="Arial"/>
          <w:b/>
          <w:i/>
          <w:iCs/>
          <w:kern w:val="0"/>
          <w:sz w:val="22"/>
          <w:szCs w:val="22"/>
          <w:lang w:eastAsia="en-US"/>
        </w:rPr>
        <w:t>3GPP TSG-RAN WG2 Meeting #12</w:t>
      </w:r>
      <w:r w:rsidRPr="00F346E9">
        <w:rPr>
          <w:rFonts w:ascii="Arial" w:hAnsi="Arial" w:cs="Arial" w:hint="eastAsia"/>
          <w:b/>
          <w:i/>
          <w:iCs/>
          <w:kern w:val="0"/>
          <w:sz w:val="22"/>
          <w:szCs w:val="22"/>
        </w:rPr>
        <w:t>9</w:t>
      </w:r>
      <w:r w:rsidR="006E01CB">
        <w:rPr>
          <w:rFonts w:ascii="Arial" w:hAnsi="Arial" w:cs="Arial"/>
          <w:b/>
          <w:i/>
          <w:iCs/>
          <w:kern w:val="0"/>
          <w:sz w:val="22"/>
          <w:szCs w:val="22"/>
        </w:rPr>
        <w:t>-bis</w:t>
      </w:r>
      <w:r w:rsidRPr="00F346E9">
        <w:rPr>
          <w:rFonts w:ascii="Arial" w:hAnsi="Arial" w:cs="Arial"/>
          <w:b/>
          <w:i/>
          <w:iCs/>
          <w:kern w:val="0"/>
          <w:sz w:val="22"/>
          <w:szCs w:val="22"/>
          <w:lang w:eastAsia="en-US"/>
        </w:rPr>
        <w:tab/>
      </w:r>
      <w:r w:rsidRPr="00F346E9">
        <w:rPr>
          <w:rFonts w:ascii="Arial" w:hAnsi="Arial" w:cs="Arial"/>
          <w:b/>
          <w:i/>
          <w:iCs/>
          <w:kern w:val="0"/>
          <w:sz w:val="22"/>
          <w:szCs w:val="22"/>
          <w:lang w:eastAsia="en-US"/>
        </w:rPr>
        <w:tab/>
      </w:r>
      <w:r w:rsidR="00D12A04" w:rsidRPr="00D12A04">
        <w:rPr>
          <w:rFonts w:ascii="Arial" w:hAnsi="Arial" w:cs="Arial"/>
          <w:b/>
          <w:i/>
          <w:iCs/>
          <w:kern w:val="0"/>
          <w:sz w:val="22"/>
          <w:szCs w:val="22"/>
          <w:lang w:eastAsia="en-US"/>
        </w:rPr>
        <w:t>R2-2502205</w:t>
      </w:r>
    </w:p>
    <w:p w14:paraId="57463694" w14:textId="64C5D74E" w:rsidR="00C444A6" w:rsidRPr="00F346E9" w:rsidRDefault="006E01CB">
      <w:pPr>
        <w:tabs>
          <w:tab w:val="center" w:pos="4536"/>
          <w:tab w:val="right" w:pos="9072"/>
        </w:tabs>
        <w:spacing w:before="120" w:afterLines="0" w:after="0" w:line="260" w:lineRule="auto"/>
        <w:rPr>
          <w:rFonts w:ascii="Arial" w:hAnsi="Arial" w:cs="Arial"/>
          <w:b/>
          <w:i/>
          <w:iCs/>
          <w:kern w:val="0"/>
          <w:sz w:val="22"/>
          <w:szCs w:val="22"/>
          <w:lang w:eastAsia="en-US"/>
        </w:rPr>
      </w:pPr>
      <w:r>
        <w:rPr>
          <w:rFonts w:ascii="Arial" w:hAnsi="Arial" w:cs="Arial"/>
          <w:b/>
          <w:i/>
          <w:iCs/>
          <w:kern w:val="0"/>
          <w:sz w:val="22"/>
          <w:szCs w:val="22"/>
          <w:lang w:eastAsia="en-US"/>
        </w:rPr>
        <w:t>Wuhan</w:t>
      </w:r>
      <w:r w:rsidRPr="00F346E9">
        <w:rPr>
          <w:rFonts w:ascii="Arial" w:hAnsi="Arial" w:cs="Arial"/>
          <w:b/>
          <w:i/>
          <w:iCs/>
          <w:kern w:val="0"/>
          <w:sz w:val="22"/>
          <w:szCs w:val="22"/>
          <w:lang w:eastAsia="en-US"/>
        </w:rPr>
        <w:t xml:space="preserve">, </w:t>
      </w:r>
      <w:r>
        <w:rPr>
          <w:rFonts w:ascii="Arial" w:hAnsi="Arial" w:cs="Arial"/>
          <w:b/>
          <w:i/>
          <w:iCs/>
          <w:kern w:val="0"/>
          <w:sz w:val="22"/>
          <w:szCs w:val="22"/>
          <w:lang w:eastAsia="en-US"/>
        </w:rPr>
        <w:t>China</w:t>
      </w:r>
      <w:r w:rsidRPr="00F346E9">
        <w:rPr>
          <w:rFonts w:ascii="Arial" w:hAnsi="Arial" w:cs="Arial"/>
          <w:b/>
          <w:i/>
          <w:iCs/>
          <w:kern w:val="0"/>
          <w:sz w:val="22"/>
          <w:szCs w:val="22"/>
          <w:lang w:eastAsia="en-US"/>
        </w:rPr>
        <w:t xml:space="preserve">, </w:t>
      </w:r>
      <w:r>
        <w:rPr>
          <w:rFonts w:ascii="Arial" w:hAnsi="Arial" w:cs="Arial"/>
          <w:b/>
          <w:i/>
          <w:iCs/>
          <w:kern w:val="0"/>
          <w:sz w:val="22"/>
          <w:szCs w:val="22"/>
          <w:lang w:eastAsia="en-US"/>
        </w:rPr>
        <w:t>April</w:t>
      </w:r>
      <w:r w:rsidRPr="00F346E9">
        <w:rPr>
          <w:rFonts w:ascii="Arial" w:hAnsi="Arial" w:cs="Arial"/>
          <w:b/>
          <w:i/>
          <w:iCs/>
          <w:kern w:val="0"/>
          <w:sz w:val="22"/>
          <w:szCs w:val="22"/>
          <w:lang w:eastAsia="en-US"/>
        </w:rPr>
        <w:t xml:space="preserve">. </w:t>
      </w:r>
      <w:r>
        <w:rPr>
          <w:rFonts w:ascii="Arial" w:hAnsi="Arial" w:cs="Arial"/>
          <w:b/>
          <w:i/>
          <w:iCs/>
          <w:kern w:val="0"/>
          <w:sz w:val="22"/>
          <w:szCs w:val="22"/>
          <w:lang w:eastAsia="en-US"/>
        </w:rPr>
        <w:t>0</w:t>
      </w:r>
      <w:r w:rsidRPr="00F346E9">
        <w:rPr>
          <w:rFonts w:ascii="Arial" w:hAnsi="Arial" w:cs="Arial"/>
          <w:b/>
          <w:i/>
          <w:iCs/>
          <w:kern w:val="0"/>
          <w:sz w:val="22"/>
          <w:szCs w:val="22"/>
          <w:lang w:eastAsia="en-US"/>
        </w:rPr>
        <w:t xml:space="preserve">7th – </w:t>
      </w:r>
      <w:r>
        <w:rPr>
          <w:rFonts w:ascii="Arial" w:hAnsi="Arial" w:cs="Arial"/>
          <w:b/>
          <w:i/>
          <w:iCs/>
          <w:kern w:val="0"/>
          <w:sz w:val="22"/>
          <w:szCs w:val="22"/>
          <w:lang w:eastAsia="en-US"/>
        </w:rPr>
        <w:t>1</w:t>
      </w:r>
      <w:r w:rsidRPr="00F346E9">
        <w:rPr>
          <w:rFonts w:ascii="Arial" w:hAnsi="Arial" w:cs="Arial"/>
          <w:b/>
          <w:i/>
          <w:iCs/>
          <w:kern w:val="0"/>
          <w:sz w:val="22"/>
          <w:szCs w:val="22"/>
          <w:lang w:eastAsia="en-US"/>
        </w:rPr>
        <w:t>1</w:t>
      </w:r>
      <w:r>
        <w:rPr>
          <w:rFonts w:ascii="Arial" w:hAnsi="Arial" w:cs="Arial"/>
          <w:b/>
          <w:i/>
          <w:iCs/>
          <w:kern w:val="0"/>
          <w:sz w:val="22"/>
          <w:szCs w:val="22"/>
          <w:lang w:eastAsia="en-US"/>
        </w:rPr>
        <w:t>th</w:t>
      </w:r>
      <w:r w:rsidRPr="00F346E9">
        <w:rPr>
          <w:rFonts w:ascii="Arial" w:hAnsi="Arial" w:cs="Arial"/>
          <w:b/>
          <w:i/>
          <w:iCs/>
          <w:kern w:val="0"/>
          <w:sz w:val="22"/>
          <w:szCs w:val="22"/>
          <w:lang w:eastAsia="en-US"/>
        </w:rPr>
        <w:t>, 2025</w:t>
      </w:r>
    </w:p>
    <w:p w14:paraId="3BA8AD66" w14:textId="77777777" w:rsidR="00C444A6" w:rsidRDefault="00C444A6">
      <w:pPr>
        <w:tabs>
          <w:tab w:val="center" w:pos="4536"/>
          <w:tab w:val="right" w:pos="9072"/>
        </w:tabs>
        <w:spacing w:before="120" w:afterLines="0" w:after="0" w:line="260" w:lineRule="auto"/>
        <w:rPr>
          <w:rFonts w:ascii="Arial" w:hAnsi="Arial" w:cs="Arial"/>
          <w:b/>
          <w:bCs/>
          <w:sz w:val="22"/>
          <w:szCs w:val="22"/>
        </w:rPr>
      </w:pPr>
    </w:p>
    <w:p w14:paraId="5110EF88" w14:textId="77777777" w:rsidR="00C444A6" w:rsidRDefault="00000000">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Data rate control for XR applications</w:t>
      </w:r>
    </w:p>
    <w:p w14:paraId="11C20735" w14:textId="77777777" w:rsidR="00C444A6" w:rsidRDefault="000000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5B9B24B7" w14:textId="77777777" w:rsidR="00C444A6" w:rsidRDefault="000000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w:t>
      </w:r>
      <w:r>
        <w:rPr>
          <w:rFonts w:ascii="Arial" w:hAnsi="Arial"/>
          <w:b/>
          <w:sz w:val="22"/>
          <w:szCs w:val="22"/>
        </w:rPr>
        <w:t>.</w:t>
      </w:r>
      <w:r>
        <w:rPr>
          <w:rFonts w:ascii="Arial" w:hAnsi="Arial" w:hint="eastAsia"/>
          <w:b/>
          <w:sz w:val="22"/>
          <w:szCs w:val="22"/>
        </w:rPr>
        <w:t>7</w:t>
      </w:r>
      <w:r>
        <w:rPr>
          <w:rFonts w:ascii="Arial" w:hAnsi="Arial"/>
          <w:b/>
          <w:sz w:val="22"/>
          <w:szCs w:val="22"/>
        </w:rPr>
        <w:t>.</w:t>
      </w:r>
      <w:r>
        <w:rPr>
          <w:rFonts w:ascii="Arial" w:hAnsi="Arial" w:hint="eastAsia"/>
          <w:b/>
          <w:sz w:val="22"/>
          <w:szCs w:val="22"/>
        </w:rPr>
        <w:t>6</w:t>
      </w:r>
    </w:p>
    <w:p w14:paraId="69DC5D9D" w14:textId="77777777" w:rsidR="00C444A6" w:rsidRDefault="000000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460047C5" w14:textId="77777777" w:rsidR="00C444A6" w:rsidRDefault="00000000">
      <w:pPr>
        <w:pStyle w:val="Heading1"/>
        <w:spacing w:before="120" w:after="120"/>
        <w:ind w:left="0"/>
        <w:rPr>
          <w:rFonts w:eastAsia="SimSun"/>
        </w:rPr>
      </w:pPr>
      <w:r>
        <w:rPr>
          <w:rFonts w:eastAsia="SimSun" w:hint="eastAsia"/>
        </w:rPr>
        <w:t>Introduction</w:t>
      </w:r>
    </w:p>
    <w:p w14:paraId="13CE3473" w14:textId="77777777" w:rsidR="00C444A6" w:rsidRDefault="00000000">
      <w:pPr>
        <w:pStyle w:val="NormalWeb"/>
        <w:spacing w:before="120" w:beforeAutospacing="0" w:after="120" w:afterAutospacing="0" w:line="315" w:lineRule="atLeast"/>
        <w:rPr>
          <w:rFonts w:cs="Arial"/>
          <w:color w:val="000000"/>
          <w:sz w:val="21"/>
        </w:rPr>
      </w:pPr>
      <w:r>
        <w:rPr>
          <w:rFonts w:cs="Arial" w:hint="eastAsia"/>
          <w:color w:val="000000"/>
          <w:sz w:val="21"/>
        </w:rPr>
        <w:t>In RAN#105 meeting[1], Revised WID on XR (</w:t>
      </w:r>
      <w:proofErr w:type="spellStart"/>
      <w:r>
        <w:rPr>
          <w:rFonts w:cs="Arial" w:hint="eastAsia"/>
          <w:color w:val="000000"/>
          <w:sz w:val="21"/>
        </w:rPr>
        <w:t>eXtended</w:t>
      </w:r>
      <w:proofErr w:type="spellEnd"/>
      <w:r>
        <w:rPr>
          <w:rFonts w:cs="Arial" w:hint="eastAsia"/>
          <w:color w:val="000000"/>
          <w:sz w:val="21"/>
        </w:rPr>
        <w:t xml:space="preserve"> Reality) for NR Phase 3 has been agreed and </w:t>
      </w:r>
      <w:r>
        <w:rPr>
          <w:rFonts w:cs="Arial"/>
          <w:color w:val="000000"/>
          <w:sz w:val="21"/>
        </w:rPr>
        <w:t>the following objective</w:t>
      </w:r>
      <w:r>
        <w:rPr>
          <w:rFonts w:cs="Arial" w:hint="eastAsia"/>
          <w:color w:val="000000"/>
          <w:sz w:val="21"/>
        </w:rPr>
        <w:t xml:space="preserve"> has been included</w:t>
      </w:r>
      <w:r>
        <w:rPr>
          <w:rFonts w:cs="Arial"/>
          <w:color w:val="000000"/>
          <w:sz w:val="21"/>
        </w:rPr>
        <w:t xml:space="preserve">: </w:t>
      </w:r>
    </w:p>
    <w:tbl>
      <w:tblPr>
        <w:tblStyle w:val="TableGrid"/>
        <w:tblW w:w="0" w:type="auto"/>
        <w:tblLook w:val="04A0" w:firstRow="1" w:lastRow="0" w:firstColumn="1" w:lastColumn="0" w:noHBand="0" w:noVBand="1"/>
      </w:tblPr>
      <w:tblGrid>
        <w:gridCol w:w="9650"/>
      </w:tblGrid>
      <w:tr w:rsidR="00C444A6" w14:paraId="57FF4ACD" w14:textId="77777777">
        <w:tc>
          <w:tcPr>
            <w:tcW w:w="9650" w:type="dxa"/>
          </w:tcPr>
          <w:p w14:paraId="68BED81F" w14:textId="77777777" w:rsidR="00C444A6" w:rsidRDefault="00000000">
            <w:pPr>
              <w:pStyle w:val="B1"/>
              <w:spacing w:before="120" w:after="120"/>
            </w:pPr>
            <w:r>
              <w:t>-</w:t>
            </w:r>
            <w:r>
              <w:tab/>
              <w:t xml:space="preserve">Specify uplink congestion </w:t>
            </w:r>
            <w:proofErr w:type="spellStart"/>
            <w:r>
              <w:t>signalling</w:t>
            </w:r>
            <w:proofErr w:type="spellEnd"/>
            <w:r>
              <w:t xml:space="preserve"> [RAN2]: </w:t>
            </w:r>
          </w:p>
          <w:p w14:paraId="7C760DE0" w14:textId="77777777" w:rsidR="00C444A6" w:rsidRDefault="00000000">
            <w:pPr>
              <w:pStyle w:val="B2"/>
              <w:spacing w:before="120" w:after="120"/>
            </w:pPr>
            <w:r>
              <w:t>-</w:t>
            </w:r>
            <w:r>
              <w:tab/>
              <w:t xml:space="preserve">Specify in MAC layer XR rate control </w:t>
            </w:r>
            <w:proofErr w:type="spellStart"/>
            <w:r>
              <w:t>signalling</w:t>
            </w:r>
            <w:proofErr w:type="spellEnd"/>
            <w:r>
              <w:t xml:space="preserve"> over downlink per QoS flow/per DRB to enable faster source rate adaption to uplink congestion.</w:t>
            </w:r>
          </w:p>
        </w:tc>
      </w:tr>
    </w:tbl>
    <w:p w14:paraId="77E58132" w14:textId="77777777" w:rsidR="00C444A6" w:rsidRDefault="00000000">
      <w:pPr>
        <w:pStyle w:val="NormalWeb"/>
        <w:spacing w:before="120" w:beforeAutospacing="0" w:after="120" w:afterAutospacing="0" w:line="315" w:lineRule="atLeast"/>
        <w:rPr>
          <w:rFonts w:cs="Arial"/>
          <w:color w:val="000000"/>
          <w:sz w:val="21"/>
        </w:rPr>
      </w:pPr>
      <w:r>
        <w:rPr>
          <w:rFonts w:cs="Arial"/>
          <w:color w:val="000000"/>
          <w:sz w:val="21"/>
        </w:rPr>
        <w:t>At RAN2#127-bis</w:t>
      </w:r>
      <w:r>
        <w:rPr>
          <w:rFonts w:cs="Arial" w:hint="eastAsia"/>
          <w:color w:val="000000"/>
          <w:sz w:val="21"/>
        </w:rPr>
        <w:t>[2]</w:t>
      </w:r>
      <w:r>
        <w:rPr>
          <w:rFonts w:cs="Arial"/>
          <w:color w:val="000000"/>
          <w:sz w:val="21"/>
        </w:rPr>
        <w:t xml:space="preserve">, it was agreed that further analysis is needed to decide between per-QoS flow vs per DRB indication of XR rate control. It was also agreed to define a new table for bit rate recommendation with better granularity for XR applications. </w:t>
      </w:r>
    </w:p>
    <w:p w14:paraId="3A9A5C7E" w14:textId="77777777" w:rsidR="00C444A6" w:rsidRDefault="00000000">
      <w:pPr>
        <w:spacing w:before="120" w:after="120"/>
      </w:pPr>
      <w:r>
        <w:rPr>
          <w:rFonts w:cs="Arial"/>
          <w:color w:val="000000"/>
        </w:rPr>
        <w:t>At RAN2#12</w:t>
      </w:r>
      <w:r>
        <w:rPr>
          <w:rFonts w:cs="Arial" w:hint="eastAsia"/>
          <w:color w:val="000000"/>
        </w:rPr>
        <w:t>8</w:t>
      </w:r>
      <w:r>
        <w:rPr>
          <w:rFonts w:cs="Arial"/>
          <w:color w:val="000000"/>
        </w:rPr>
        <w:t xml:space="preserve">, </w:t>
      </w:r>
      <w:r>
        <w:rPr>
          <w:rFonts w:hint="eastAsia"/>
        </w:rPr>
        <w:t>the following agreements have been made[3]:</w:t>
      </w:r>
    </w:p>
    <w:tbl>
      <w:tblPr>
        <w:tblStyle w:val="TableGrid"/>
        <w:tblW w:w="0" w:type="auto"/>
        <w:tblLook w:val="04A0" w:firstRow="1" w:lastRow="0" w:firstColumn="1" w:lastColumn="0" w:noHBand="0" w:noVBand="1"/>
      </w:tblPr>
      <w:tblGrid>
        <w:gridCol w:w="9650"/>
      </w:tblGrid>
      <w:tr w:rsidR="00C444A6" w14:paraId="67E0F761" w14:textId="77777777">
        <w:tc>
          <w:tcPr>
            <w:tcW w:w="10138" w:type="dxa"/>
          </w:tcPr>
          <w:p w14:paraId="4EDB1508" w14:textId="77777777" w:rsidR="00C444A6" w:rsidRPr="0055385F" w:rsidRDefault="00000000" w:rsidP="0055385F">
            <w:pPr>
              <w:pStyle w:val="Agreement"/>
              <w:spacing w:before="120" w:after="120"/>
              <w:ind w:left="359"/>
              <w:rPr>
                <w:b w:val="0"/>
                <w:bCs/>
              </w:rPr>
            </w:pPr>
            <w:r w:rsidRPr="0055385F">
              <w:rPr>
                <w:b w:val="0"/>
                <w:bCs/>
              </w:rPr>
              <w:t>RAN2 confirms it is feasible for RAN to estimate the congestion information at both per-DRB and per-QoS flow level.</w:t>
            </w:r>
          </w:p>
          <w:p w14:paraId="45C2A3C8" w14:textId="77777777" w:rsidR="00C444A6" w:rsidRPr="0055385F" w:rsidRDefault="00000000" w:rsidP="0055385F">
            <w:pPr>
              <w:pStyle w:val="Agreement"/>
              <w:spacing w:before="120" w:after="120"/>
              <w:ind w:left="359"/>
              <w:rPr>
                <w:b w:val="0"/>
                <w:bCs/>
              </w:rPr>
            </w:pPr>
            <w:proofErr w:type="spellStart"/>
            <w:r w:rsidRPr="0055385F">
              <w:rPr>
                <w:b w:val="0"/>
                <w:bCs/>
              </w:rPr>
              <w:t>gNB</w:t>
            </w:r>
            <w:proofErr w:type="spellEnd"/>
            <w:r w:rsidRPr="0055385F">
              <w:rPr>
                <w:b w:val="0"/>
                <w:bCs/>
              </w:rPr>
              <w:t xml:space="preserve"> can be indicated which QoS flows can be throttled. FFS whether this is indicated from UE/CN</w:t>
            </w:r>
          </w:p>
          <w:p w14:paraId="5711FB42" w14:textId="77777777" w:rsidR="00C444A6" w:rsidRDefault="00000000" w:rsidP="0055385F">
            <w:pPr>
              <w:pStyle w:val="Agreement"/>
              <w:spacing w:before="120" w:after="120"/>
              <w:ind w:left="359"/>
            </w:pPr>
            <w:r w:rsidRPr="0055385F">
              <w:rPr>
                <w:b w:val="0"/>
                <w:bCs/>
              </w:rPr>
              <w:t xml:space="preserve">Rate indication from </w:t>
            </w:r>
            <w:proofErr w:type="spellStart"/>
            <w:r w:rsidRPr="0055385F">
              <w:rPr>
                <w:b w:val="0"/>
                <w:bCs/>
              </w:rPr>
              <w:t>gNB</w:t>
            </w:r>
            <w:proofErr w:type="spellEnd"/>
            <w:r w:rsidRPr="0055385F">
              <w:rPr>
                <w:b w:val="0"/>
                <w:bCs/>
              </w:rPr>
              <w:t xml:space="preserve"> to the UE on a per QoS flow level is supported. FFS the details, e.g. if: 1) flows are indicated by MAC CE or 2) by RRC while MAC CE is per DRB.</w:t>
            </w:r>
          </w:p>
        </w:tc>
      </w:tr>
    </w:tbl>
    <w:p w14:paraId="7CB0430C" w14:textId="5F6224E7" w:rsidR="006E01CB" w:rsidRDefault="006E01CB">
      <w:pPr>
        <w:pStyle w:val="NormalWeb"/>
        <w:spacing w:before="120" w:beforeAutospacing="0" w:after="120" w:afterAutospacing="0" w:line="315" w:lineRule="atLeast"/>
        <w:rPr>
          <w:rFonts w:cs="Arial"/>
          <w:color w:val="000000"/>
          <w:sz w:val="21"/>
        </w:rPr>
      </w:pPr>
      <w:r>
        <w:rPr>
          <w:rFonts w:cs="Arial"/>
          <w:color w:val="000000"/>
          <w:sz w:val="21"/>
        </w:rPr>
        <w:t xml:space="preserve">Further, at RAN2#129, RAN3 has sent an LS to RAN2 indicating that both solutions for XR rate control have RAN3 impact (see </w:t>
      </w:r>
      <w:r w:rsidR="00697125" w:rsidRPr="00697125">
        <w:rPr>
          <w:rFonts w:cs="Arial"/>
          <w:color w:val="000000"/>
          <w:sz w:val="21"/>
        </w:rPr>
        <w:t>R2-2501508</w:t>
      </w:r>
      <w:r w:rsidR="00697125">
        <w:rPr>
          <w:rFonts w:cs="Arial"/>
          <w:color w:val="000000"/>
          <w:sz w:val="21"/>
        </w:rPr>
        <w:t>)</w:t>
      </w:r>
    </w:p>
    <w:p w14:paraId="3C7F2D5D" w14:textId="5A54A7A5" w:rsidR="00C444A6" w:rsidRDefault="00000000">
      <w:pPr>
        <w:pStyle w:val="NormalWeb"/>
        <w:spacing w:before="120" w:beforeAutospacing="0" w:after="120" w:afterAutospacing="0" w:line="315" w:lineRule="atLeast"/>
      </w:pPr>
      <w:r>
        <w:rPr>
          <w:rFonts w:cs="Arial" w:hint="eastAsia"/>
          <w:color w:val="000000"/>
          <w:sz w:val="21"/>
        </w:rPr>
        <w:t xml:space="preserve">In this paper, </w:t>
      </w:r>
      <w:r>
        <w:rPr>
          <w:rFonts w:cs="Arial"/>
          <w:color w:val="000000"/>
          <w:sz w:val="21"/>
        </w:rPr>
        <w:t xml:space="preserve">we </w:t>
      </w:r>
      <w:r>
        <w:rPr>
          <w:rFonts w:cs="Arial" w:hint="eastAsia"/>
          <w:color w:val="000000"/>
          <w:sz w:val="21"/>
        </w:rPr>
        <w:t xml:space="preserve">will </w:t>
      </w:r>
      <w:r>
        <w:rPr>
          <w:rFonts w:cs="Arial"/>
          <w:color w:val="000000"/>
          <w:sz w:val="21"/>
        </w:rPr>
        <w:t xml:space="preserve">discuss </w:t>
      </w:r>
      <w:r>
        <w:rPr>
          <w:rFonts w:cs="Arial" w:hint="eastAsia"/>
          <w:color w:val="000000"/>
          <w:sz w:val="21"/>
        </w:rPr>
        <w:t xml:space="preserve">the </w:t>
      </w:r>
      <w:r>
        <w:rPr>
          <w:rFonts w:cs="Arial"/>
          <w:color w:val="000000"/>
          <w:sz w:val="21"/>
        </w:rPr>
        <w:t xml:space="preserve">remaining issues for this and propose a way forward for the XR rate control in Rel-19. </w:t>
      </w:r>
    </w:p>
    <w:p w14:paraId="75FC1C8D" w14:textId="77777777" w:rsidR="00C444A6" w:rsidRDefault="00C444A6">
      <w:pPr>
        <w:spacing w:before="120" w:after="120"/>
        <w:rPr>
          <w:b/>
          <w:bCs/>
        </w:rPr>
      </w:pPr>
    </w:p>
    <w:p w14:paraId="63E05045" w14:textId="77777777" w:rsidR="00C444A6" w:rsidRDefault="00000000">
      <w:pPr>
        <w:pStyle w:val="Heading1"/>
        <w:spacing w:before="120" w:after="120"/>
        <w:ind w:left="0"/>
        <w:rPr>
          <w:rFonts w:eastAsia="SimSun"/>
        </w:rPr>
      </w:pPr>
      <w:r>
        <w:rPr>
          <w:rFonts w:eastAsia="SimSun" w:hint="eastAsia"/>
        </w:rPr>
        <w:t>Discussion</w:t>
      </w:r>
    </w:p>
    <w:p w14:paraId="4D7900C4" w14:textId="0C7CEF63" w:rsidR="00697125" w:rsidRDefault="0077033A" w:rsidP="00697125">
      <w:pPr>
        <w:spacing w:before="120" w:after="120"/>
      </w:pPr>
      <w:r>
        <w:t xml:space="preserve">Based on the agreements at RAN2#128, we need to discuss further how the </w:t>
      </w:r>
      <w:proofErr w:type="spellStart"/>
      <w:r>
        <w:t>gNB</w:t>
      </w:r>
      <w:proofErr w:type="spellEnd"/>
      <w:r>
        <w:t xml:space="preserve"> can configure the XR rate control mechanism. The most flexible way to control the XR rate is to define a per-QoS flow level XR rate control using a MAC CE. However, in order to specify such an approach, work may also be needed in RAN3 to support the necessary </w:t>
      </w:r>
      <w:proofErr w:type="spellStart"/>
      <w:r>
        <w:t>signalling</w:t>
      </w:r>
      <w:proofErr w:type="spellEnd"/>
      <w:r>
        <w:t xml:space="preserve"> between the CU and DU nodes in the network side. If it is preferred in RAN2 to avoid such impact, then one option is to configure the QoS flow level applicability using RRC and then using the MAC CE to perform the dynamic rate control. </w:t>
      </w:r>
      <w:r w:rsidR="00697125">
        <w:t xml:space="preserve">However, in </w:t>
      </w:r>
      <w:r w:rsidR="00697125" w:rsidRPr="00697125">
        <w:t>R2-2501508</w:t>
      </w:r>
      <w:r w:rsidR="00697125">
        <w:t xml:space="preserve">, RAN3 indicated that both solutions have RAN2 impact. It is a bit unclear what the impact to F1 interface is with the RRC based approach. In this approach, the </w:t>
      </w:r>
      <w:proofErr w:type="spellStart"/>
      <w:r w:rsidR="00697125">
        <w:t>gNB</w:t>
      </w:r>
      <w:proofErr w:type="spellEnd"/>
      <w:r w:rsidR="00697125">
        <w:t xml:space="preserve"> configures which QoS flows are subject to rate control and this </w:t>
      </w:r>
      <w:proofErr w:type="spellStart"/>
      <w:r w:rsidR="00697125">
        <w:t>signalling</w:t>
      </w:r>
      <w:proofErr w:type="spellEnd"/>
      <w:r w:rsidR="00697125">
        <w:t xml:space="preserve"> is RRC level </w:t>
      </w:r>
      <w:proofErr w:type="spellStart"/>
      <w:r w:rsidR="00697125">
        <w:t>signalling</w:t>
      </w:r>
      <w:proofErr w:type="spellEnd"/>
      <w:r w:rsidR="00697125">
        <w:t xml:space="preserve"> which is from the CU to the UE. DU has no visibility of this. The DU then generates rate control MAC CEs based on the monitoring of the traffic locally at the DU side (on a per DRB basis) and generates rate control commands. The UE applies the recommended rate to the QoS flow which is configured by RRC. Thus, in this case the monitoring of the rate is performed directly at DU and the rate control commands are issued from the DU too. So, the impact to F1 interface is not really clear. </w:t>
      </w:r>
    </w:p>
    <w:p w14:paraId="6ED1C111" w14:textId="77777777" w:rsidR="00697125" w:rsidRPr="00697125" w:rsidRDefault="00697125" w:rsidP="00697125">
      <w:pPr>
        <w:pStyle w:val="BodyText"/>
        <w:spacing w:before="120"/>
      </w:pPr>
    </w:p>
    <w:p w14:paraId="30492549" w14:textId="48525CD4" w:rsidR="00697125" w:rsidRPr="00697125" w:rsidRDefault="00697125" w:rsidP="00697125">
      <w:pPr>
        <w:pStyle w:val="BodyText"/>
        <w:spacing w:before="120"/>
        <w:rPr>
          <w:b/>
          <w:bCs/>
        </w:rPr>
      </w:pPr>
      <w:r w:rsidRPr="00697125">
        <w:rPr>
          <w:b/>
          <w:bCs/>
        </w:rPr>
        <w:t>Observation 1: In case of the RRC based solution, the monitoring of the XR traffic is done on a per DRB basis and is performed at the DU (which also generates the MAC CE to control the data rate)</w:t>
      </w:r>
    </w:p>
    <w:p w14:paraId="04F11898" w14:textId="77777777" w:rsidR="00697125" w:rsidRDefault="00697125">
      <w:pPr>
        <w:spacing w:before="120" w:after="120"/>
      </w:pPr>
    </w:p>
    <w:p w14:paraId="547FEA1B" w14:textId="4F7BD65D" w:rsidR="00681459" w:rsidRDefault="0077033A">
      <w:pPr>
        <w:spacing w:before="120" w:after="120"/>
      </w:pPr>
      <w:r>
        <w:t>It should</w:t>
      </w:r>
      <w:r w:rsidR="00697125">
        <w:t xml:space="preserve"> however</w:t>
      </w:r>
      <w:r>
        <w:t xml:space="preserve"> be noted that </w:t>
      </w:r>
      <w:r w:rsidR="00697125">
        <w:t>the RRC based solution</w:t>
      </w:r>
      <w:r>
        <w:t xml:space="preserve"> makes it slightly less flexible for the </w:t>
      </w:r>
      <w:proofErr w:type="spellStart"/>
      <w:r>
        <w:t>gNB</w:t>
      </w:r>
      <w:proofErr w:type="spellEnd"/>
      <w:r>
        <w:t xml:space="preserve">, in the sense that only one QoS flow per DRB can be rate controlled with this approach. However, the </w:t>
      </w:r>
      <w:proofErr w:type="spellStart"/>
      <w:r>
        <w:t>gNB</w:t>
      </w:r>
      <w:proofErr w:type="spellEnd"/>
      <w:r>
        <w:t xml:space="preserve"> can then also choose to map only one QoS flow that is subject to rate control to such a DRB. </w:t>
      </w:r>
    </w:p>
    <w:p w14:paraId="4C57362C" w14:textId="48EBD888" w:rsidR="00697125" w:rsidRDefault="00697125" w:rsidP="00697125">
      <w:pPr>
        <w:pStyle w:val="BodyText"/>
        <w:spacing w:before="120"/>
        <w:rPr>
          <w:b/>
          <w:bCs/>
        </w:rPr>
      </w:pPr>
      <w:r w:rsidRPr="00697125">
        <w:rPr>
          <w:b/>
          <w:bCs/>
        </w:rPr>
        <w:t xml:space="preserve">Observation 2: The RRC based solution for XR rate control implicitly requires that only one QoS flow subject to rate control can be mapped to a given DRB. Such restriction is not there for the MAC based solution. </w:t>
      </w:r>
    </w:p>
    <w:p w14:paraId="306C49C1" w14:textId="7443B394" w:rsidR="00697125" w:rsidRPr="00697125" w:rsidRDefault="00697125" w:rsidP="00697125">
      <w:pPr>
        <w:pStyle w:val="BodyText"/>
        <w:spacing w:before="120"/>
      </w:pPr>
      <w:r>
        <w:t xml:space="preserve">On the other hand, the MAC based solution where the QoS flow identifier is directly included in the </w:t>
      </w:r>
      <w:r w:rsidR="00D23862">
        <w:t xml:space="preserve">MAC CE does have some impacts to F1 interface. Specifically, in this case the XR rate monitoring on a per QoS flow level needs to be performed in the CU (since the DU is may not be aware of the QoS flows mapped within the same DRB). Then the CU has to generate the per QoS flow level recommended rate and provide this to the DU. This will require F1 </w:t>
      </w:r>
      <w:proofErr w:type="spellStart"/>
      <w:r w:rsidR="00D23862">
        <w:t>signalling</w:t>
      </w:r>
      <w:proofErr w:type="spellEnd"/>
      <w:r w:rsidR="00D23862">
        <w:t xml:space="preserve">. However, now that RAN plenary agreed the necessary TUs for RAN3, defining such </w:t>
      </w:r>
      <w:proofErr w:type="spellStart"/>
      <w:r w:rsidR="00D23862">
        <w:t>signalling</w:t>
      </w:r>
      <w:proofErr w:type="spellEnd"/>
      <w:r w:rsidR="00D23862">
        <w:t xml:space="preserve"> should be feasible. So, RAN2 should make the decision based on the technical merits and not based on the RAN3 work. </w:t>
      </w:r>
    </w:p>
    <w:p w14:paraId="21371383" w14:textId="5207C830" w:rsidR="00681459" w:rsidRDefault="00681459">
      <w:pPr>
        <w:spacing w:before="120" w:after="120"/>
        <w:rPr>
          <w:b/>
          <w:bCs/>
        </w:rPr>
      </w:pPr>
      <w:r w:rsidRPr="0055385F">
        <w:rPr>
          <w:b/>
          <w:bCs/>
        </w:rPr>
        <w:t xml:space="preserve">Observation </w:t>
      </w:r>
      <w:r w:rsidR="00697125">
        <w:rPr>
          <w:b/>
          <w:bCs/>
        </w:rPr>
        <w:t>3</w:t>
      </w:r>
      <w:r w:rsidRPr="0055385F">
        <w:rPr>
          <w:b/>
          <w:bCs/>
        </w:rPr>
        <w:t>: The MAC based solution to signal the XR rate control on a per QoS flow basis is the most flexible option</w:t>
      </w:r>
      <w:r w:rsidR="00277485">
        <w:rPr>
          <w:b/>
          <w:bCs/>
        </w:rPr>
        <w:t>, but will require changes to RAN3 specs</w:t>
      </w:r>
      <w:r w:rsidR="00697125">
        <w:rPr>
          <w:b/>
          <w:bCs/>
        </w:rPr>
        <w:t xml:space="preserve"> (i.e. F1 interface)</w:t>
      </w:r>
      <w:r w:rsidR="00D23862">
        <w:rPr>
          <w:b/>
          <w:bCs/>
        </w:rPr>
        <w:t xml:space="preserve"> and this work is now feasible in RAN3 as there are TUs available for this work</w:t>
      </w:r>
    </w:p>
    <w:p w14:paraId="5FE0FCE2" w14:textId="77777777" w:rsidR="00D23862" w:rsidRDefault="00D23862" w:rsidP="0077033A">
      <w:pPr>
        <w:pStyle w:val="BodyText"/>
        <w:spacing w:before="120"/>
        <w:rPr>
          <w:rFonts w:ascii="Times New Roman" w:hAnsi="Times New Roman"/>
          <w:szCs w:val="20"/>
        </w:rPr>
      </w:pPr>
      <w:r>
        <w:rPr>
          <w:rFonts w:ascii="Times New Roman" w:hAnsi="Times New Roman"/>
          <w:szCs w:val="20"/>
        </w:rPr>
        <w:t xml:space="preserve">Although both solutions seem to work, the MAC based solution seems to be the most flexible one. So, we propose that RAN2 goes ahead with this solution and instructs RAN3 to specify the necessary F1 </w:t>
      </w:r>
      <w:proofErr w:type="spellStart"/>
      <w:r>
        <w:rPr>
          <w:rFonts w:ascii="Times New Roman" w:hAnsi="Times New Roman"/>
          <w:szCs w:val="20"/>
        </w:rPr>
        <w:t>signalling</w:t>
      </w:r>
      <w:proofErr w:type="spellEnd"/>
      <w:r>
        <w:rPr>
          <w:rFonts w:ascii="Times New Roman" w:hAnsi="Times New Roman"/>
          <w:szCs w:val="20"/>
        </w:rPr>
        <w:t xml:space="preserve">. </w:t>
      </w:r>
    </w:p>
    <w:p w14:paraId="16D9F362" w14:textId="6CADBAB7" w:rsidR="0077033A" w:rsidRDefault="0077033A" w:rsidP="0077033A">
      <w:pPr>
        <w:pStyle w:val="BodyText"/>
        <w:spacing w:before="120"/>
      </w:pPr>
      <w:r>
        <w:t xml:space="preserve"> </w:t>
      </w:r>
    </w:p>
    <w:p w14:paraId="29FEC27D" w14:textId="77777777" w:rsidR="00D23862" w:rsidRDefault="00D23862" w:rsidP="00D23862">
      <w:pPr>
        <w:pStyle w:val="BodyText"/>
        <w:spacing w:before="120"/>
        <w:rPr>
          <w:b/>
          <w:bCs/>
        </w:rPr>
      </w:pPr>
      <w:r w:rsidRPr="0055385F">
        <w:rPr>
          <w:b/>
          <w:bCs/>
        </w:rPr>
        <w:t xml:space="preserve">Proposal 1: </w:t>
      </w:r>
      <w:r w:rsidRPr="00D23862">
        <w:rPr>
          <w:b/>
          <w:bCs/>
          <w:u w:val="single"/>
        </w:rPr>
        <w:t>If the understanding is that both solutions have RAN3 impact</w:t>
      </w:r>
      <w:r>
        <w:rPr>
          <w:b/>
          <w:bCs/>
        </w:rPr>
        <w:t xml:space="preserve">, then RAN2 should select the MAC based solution which seems to be the most flexible one (i.e. </w:t>
      </w:r>
      <w:proofErr w:type="spellStart"/>
      <w:r>
        <w:rPr>
          <w:b/>
          <w:bCs/>
        </w:rPr>
        <w:t>gNB</w:t>
      </w:r>
      <w:proofErr w:type="spellEnd"/>
      <w:r>
        <w:rPr>
          <w:b/>
          <w:bCs/>
        </w:rPr>
        <w:t xml:space="preserve"> to indicate the recommended bit rate on a per QoS level basis in the MAC CE) </w:t>
      </w:r>
    </w:p>
    <w:p w14:paraId="722FF8F2" w14:textId="77777777" w:rsidR="00D23862" w:rsidRPr="0055385F" w:rsidRDefault="00D23862" w:rsidP="00D23862">
      <w:pPr>
        <w:pStyle w:val="BodyText"/>
        <w:spacing w:before="120"/>
        <w:rPr>
          <w:b/>
          <w:bCs/>
        </w:rPr>
      </w:pPr>
    </w:p>
    <w:p w14:paraId="138D44FD" w14:textId="22775AD6" w:rsidR="0077033A" w:rsidRPr="0055385F" w:rsidRDefault="0077033A" w:rsidP="0055385F">
      <w:pPr>
        <w:pStyle w:val="BodyText"/>
        <w:spacing w:before="120"/>
        <w:rPr>
          <w:b/>
          <w:bCs/>
        </w:rPr>
      </w:pPr>
      <w:r w:rsidRPr="0055385F">
        <w:rPr>
          <w:b/>
          <w:bCs/>
        </w:rPr>
        <w:t xml:space="preserve">Proposal 2: </w:t>
      </w:r>
      <w:r w:rsidR="00D23862">
        <w:rPr>
          <w:b/>
          <w:bCs/>
        </w:rPr>
        <w:t xml:space="preserve">RAN2 should send an LS to RAN3 to inform them about the agreed solution and ask RAN3 to define </w:t>
      </w:r>
      <w:r w:rsidR="00D12A04">
        <w:rPr>
          <w:b/>
          <w:bCs/>
        </w:rPr>
        <w:t>any corresponding</w:t>
      </w:r>
      <w:r w:rsidR="00D23862">
        <w:rPr>
          <w:b/>
          <w:bCs/>
        </w:rPr>
        <w:t xml:space="preserve"> F1 </w:t>
      </w:r>
      <w:proofErr w:type="spellStart"/>
      <w:r w:rsidR="00D23862">
        <w:rPr>
          <w:b/>
          <w:bCs/>
        </w:rPr>
        <w:t>signalling</w:t>
      </w:r>
      <w:proofErr w:type="spellEnd"/>
      <w:r w:rsidR="00B20F6D" w:rsidRPr="0055385F">
        <w:rPr>
          <w:b/>
          <w:bCs/>
        </w:rPr>
        <w:t xml:space="preserve"> </w:t>
      </w:r>
      <w:r w:rsidR="00D12A04">
        <w:rPr>
          <w:b/>
          <w:bCs/>
        </w:rPr>
        <w:t>(if needed)</w:t>
      </w:r>
    </w:p>
    <w:p w14:paraId="140D4A73" w14:textId="77777777" w:rsidR="00C444A6" w:rsidRDefault="00C444A6">
      <w:pPr>
        <w:pStyle w:val="BodyText"/>
        <w:spacing w:before="120"/>
        <w:rPr>
          <w:b/>
          <w:bCs/>
        </w:rPr>
      </w:pPr>
    </w:p>
    <w:p w14:paraId="7C2DF343" w14:textId="77777777" w:rsidR="00C444A6" w:rsidRDefault="00000000">
      <w:pPr>
        <w:pStyle w:val="Heading1"/>
        <w:spacing w:before="120" w:after="120"/>
        <w:ind w:left="0"/>
        <w:rPr>
          <w:rFonts w:eastAsia="SimSun"/>
        </w:rPr>
      </w:pPr>
      <w:r>
        <w:rPr>
          <w:rFonts w:eastAsia="SimSun"/>
        </w:rPr>
        <w:t>Conclusion</w:t>
      </w:r>
    </w:p>
    <w:p w14:paraId="34AC45CA" w14:textId="3144BD21" w:rsidR="00D12A04" w:rsidRDefault="00D12A04" w:rsidP="00D12A04">
      <w:pPr>
        <w:pStyle w:val="BodyText"/>
        <w:spacing w:before="120"/>
      </w:pPr>
      <w:r>
        <w:t xml:space="preserve">The following observations and proposals are made in this contribution: </w:t>
      </w:r>
    </w:p>
    <w:p w14:paraId="04E24ABA" w14:textId="77777777" w:rsidR="00D12A04" w:rsidRPr="00D12A04" w:rsidRDefault="00D12A04" w:rsidP="00D12A04">
      <w:pPr>
        <w:pStyle w:val="BodyText"/>
        <w:spacing w:before="120"/>
      </w:pPr>
    </w:p>
    <w:p w14:paraId="59C59348" w14:textId="1152E873" w:rsidR="00D12A04" w:rsidRPr="00D12A04" w:rsidRDefault="00D12A04" w:rsidP="00D12A04">
      <w:pPr>
        <w:pStyle w:val="BodyText"/>
        <w:spacing w:before="120"/>
        <w:rPr>
          <w:i/>
          <w:iCs/>
        </w:rPr>
      </w:pPr>
      <w:r w:rsidRPr="00D12A04">
        <w:rPr>
          <w:i/>
          <w:iCs/>
        </w:rPr>
        <w:t>Observation 1: In case of the RRC based solution, the monitoring of the XR traffic is done on a per DRB basis and is performed at the DU (which also generates the MAC CE to control the data rate)</w:t>
      </w:r>
    </w:p>
    <w:p w14:paraId="0BB02274" w14:textId="77777777" w:rsidR="00D12A04" w:rsidRPr="00D12A04" w:rsidRDefault="00D12A04" w:rsidP="00D12A04">
      <w:pPr>
        <w:pStyle w:val="BodyText"/>
        <w:spacing w:before="120"/>
        <w:rPr>
          <w:i/>
          <w:iCs/>
        </w:rPr>
      </w:pPr>
      <w:r w:rsidRPr="00D12A04">
        <w:rPr>
          <w:i/>
          <w:iCs/>
        </w:rPr>
        <w:t xml:space="preserve">Observation 2: The RRC based solution for XR rate control implicitly requires that only one QoS flow subject to rate control can be mapped to a given DRB. Such restriction is not there for the MAC based solution. </w:t>
      </w:r>
    </w:p>
    <w:p w14:paraId="7F2661D3" w14:textId="77777777" w:rsidR="00D12A04" w:rsidRPr="00D12A04" w:rsidRDefault="00D12A04" w:rsidP="00D12A04">
      <w:pPr>
        <w:spacing w:before="120" w:after="120"/>
        <w:rPr>
          <w:i/>
          <w:iCs/>
        </w:rPr>
      </w:pPr>
      <w:r w:rsidRPr="00D12A04">
        <w:rPr>
          <w:i/>
          <w:iCs/>
        </w:rPr>
        <w:t>Observation 3: The MAC based solution to signal the XR rate control on a per QoS flow basis is the most flexible option, but will require changes to RAN3 specs (i.e. F1 interface) and this work is now feasible in RAN3 as there are TUs available for this work</w:t>
      </w:r>
    </w:p>
    <w:p w14:paraId="060B8C1C" w14:textId="77777777" w:rsidR="00D12A04" w:rsidRDefault="00D12A04" w:rsidP="00D12A04">
      <w:pPr>
        <w:pStyle w:val="BodyText"/>
        <w:spacing w:before="120"/>
        <w:rPr>
          <w:b/>
          <w:bCs/>
        </w:rPr>
      </w:pPr>
    </w:p>
    <w:p w14:paraId="7E83E9DD" w14:textId="11ABC75A" w:rsidR="00D12A04" w:rsidRDefault="00D12A04" w:rsidP="00D12A04">
      <w:pPr>
        <w:pStyle w:val="BodyText"/>
        <w:spacing w:before="120"/>
        <w:rPr>
          <w:b/>
          <w:bCs/>
        </w:rPr>
      </w:pPr>
      <w:r w:rsidRPr="0055385F">
        <w:rPr>
          <w:b/>
          <w:bCs/>
        </w:rPr>
        <w:t xml:space="preserve">Proposal 1: </w:t>
      </w:r>
      <w:r w:rsidRPr="00D23862">
        <w:rPr>
          <w:b/>
          <w:bCs/>
          <w:u w:val="single"/>
        </w:rPr>
        <w:t>If the understanding is that both solutions have RAN3 impact</w:t>
      </w:r>
      <w:r>
        <w:rPr>
          <w:b/>
          <w:bCs/>
        </w:rPr>
        <w:t xml:space="preserve">, then RAN2 should select the MAC based solution which seems to be the most flexible one (i.e. </w:t>
      </w:r>
      <w:proofErr w:type="spellStart"/>
      <w:r>
        <w:rPr>
          <w:b/>
          <w:bCs/>
        </w:rPr>
        <w:t>gNB</w:t>
      </w:r>
      <w:proofErr w:type="spellEnd"/>
      <w:r>
        <w:rPr>
          <w:b/>
          <w:bCs/>
        </w:rPr>
        <w:t xml:space="preserve"> to indicate the recommended bit rate on a per QoS level basis in the MAC CE) </w:t>
      </w:r>
    </w:p>
    <w:p w14:paraId="7F1CDF34" w14:textId="77777777" w:rsidR="00D12A04" w:rsidRDefault="00D12A04" w:rsidP="00D12A04">
      <w:pPr>
        <w:pStyle w:val="BodyText"/>
        <w:spacing w:before="120"/>
        <w:rPr>
          <w:b/>
          <w:bCs/>
        </w:rPr>
      </w:pPr>
    </w:p>
    <w:p w14:paraId="6186F431" w14:textId="65B22AB2" w:rsidR="00D12A04" w:rsidRPr="0055385F" w:rsidRDefault="00D12A04" w:rsidP="00D12A04">
      <w:pPr>
        <w:pStyle w:val="BodyText"/>
        <w:spacing w:before="120"/>
        <w:rPr>
          <w:b/>
          <w:bCs/>
        </w:rPr>
      </w:pPr>
      <w:r w:rsidRPr="0055385F">
        <w:rPr>
          <w:b/>
          <w:bCs/>
        </w:rPr>
        <w:t xml:space="preserve">Proposal 2: </w:t>
      </w:r>
      <w:r>
        <w:rPr>
          <w:b/>
          <w:bCs/>
        </w:rPr>
        <w:t xml:space="preserve">RAN2 should send an LS to RAN3 to inform them about the agreed solution and ask RAN3 to define any corresponding F1 </w:t>
      </w:r>
      <w:proofErr w:type="spellStart"/>
      <w:r>
        <w:rPr>
          <w:b/>
          <w:bCs/>
        </w:rPr>
        <w:t>signalling</w:t>
      </w:r>
      <w:proofErr w:type="spellEnd"/>
      <w:r w:rsidRPr="0055385F">
        <w:rPr>
          <w:b/>
          <w:bCs/>
        </w:rPr>
        <w:t xml:space="preserve"> </w:t>
      </w:r>
      <w:r>
        <w:rPr>
          <w:b/>
          <w:bCs/>
        </w:rPr>
        <w:t>(if needed)</w:t>
      </w:r>
    </w:p>
    <w:p w14:paraId="673D9063" w14:textId="77777777" w:rsidR="00F112F3" w:rsidRDefault="00F112F3">
      <w:pPr>
        <w:pStyle w:val="BodyText"/>
        <w:spacing w:before="120"/>
        <w:rPr>
          <w:b/>
          <w:bCs/>
        </w:rPr>
      </w:pPr>
    </w:p>
    <w:p w14:paraId="4BC2D70A" w14:textId="77777777" w:rsidR="00C444A6" w:rsidRDefault="00000000">
      <w:pPr>
        <w:pStyle w:val="Heading1"/>
        <w:spacing w:before="120" w:after="120"/>
        <w:ind w:left="0"/>
        <w:rPr>
          <w:rFonts w:eastAsia="SimSun"/>
        </w:rPr>
      </w:pPr>
      <w:r>
        <w:rPr>
          <w:rFonts w:eastAsia="SimSun" w:hint="eastAsia"/>
        </w:rPr>
        <w:t>Reference</w:t>
      </w:r>
      <w:r>
        <w:rPr>
          <w:rFonts w:eastAsia="SimSun"/>
        </w:rPr>
        <w:t>s</w:t>
      </w:r>
    </w:p>
    <w:p w14:paraId="0CC07BBE" w14:textId="77777777" w:rsidR="00C444A6" w:rsidRDefault="00C444A6">
      <w:pPr>
        <w:pStyle w:val="ListParagraph"/>
        <w:numPr>
          <w:ilvl w:val="0"/>
          <w:numId w:val="8"/>
        </w:numPr>
        <w:spacing w:before="120" w:after="120"/>
        <w:rPr>
          <w:rFonts w:eastAsia="SimSun"/>
        </w:rPr>
      </w:pPr>
      <w:hyperlink r:id="rId9" w:history="1">
        <w:r w:rsidRPr="0055385F">
          <w:rPr>
            <w:rFonts w:eastAsia="SimSun"/>
          </w:rPr>
          <w:t>RP-241771</w:t>
        </w:r>
      </w:hyperlink>
      <w:r w:rsidRPr="0055385F">
        <w:rPr>
          <w:rFonts w:eastAsia="SimSun"/>
        </w:rPr>
        <w:t xml:space="preserve"> </w:t>
      </w:r>
      <w:r>
        <w:rPr>
          <w:rFonts w:eastAsia="SimSun"/>
        </w:rPr>
        <w:t>Revised WID on XR (</w:t>
      </w:r>
      <w:proofErr w:type="spellStart"/>
      <w:r>
        <w:rPr>
          <w:rFonts w:eastAsia="SimSun"/>
        </w:rPr>
        <w:t>eXtended</w:t>
      </w:r>
      <w:proofErr w:type="spellEnd"/>
      <w:r>
        <w:rPr>
          <w:rFonts w:eastAsia="SimSun"/>
        </w:rPr>
        <w:t xml:space="preserve"> Reality) for NR Phase 3</w:t>
      </w:r>
      <w:r>
        <w:rPr>
          <w:rFonts w:eastAsia="SimSun"/>
        </w:rPr>
        <w:tab/>
        <w:t>RA</w:t>
      </w:r>
      <w:r w:rsidRPr="0055385F">
        <w:rPr>
          <w:rFonts w:eastAsia="SimSun"/>
        </w:rPr>
        <w:t>N#105</w:t>
      </w:r>
    </w:p>
    <w:p w14:paraId="4F57EB15" w14:textId="77777777" w:rsidR="00C444A6" w:rsidRPr="0055385F" w:rsidRDefault="00000000" w:rsidP="0055385F">
      <w:pPr>
        <w:pStyle w:val="ListParagraph"/>
        <w:numPr>
          <w:ilvl w:val="0"/>
          <w:numId w:val="8"/>
        </w:numPr>
        <w:spacing w:before="120" w:after="120" w:line="315" w:lineRule="atLeast"/>
      </w:pPr>
      <w:r w:rsidRPr="0055385F">
        <w:rPr>
          <w:rFonts w:eastAsia="SimSun"/>
        </w:rPr>
        <w:t>Draft_RAN2_127b_Meeting_Report_v1</w:t>
      </w:r>
    </w:p>
    <w:p w14:paraId="7AE27445" w14:textId="77777777" w:rsidR="00C444A6" w:rsidRPr="0055385F" w:rsidRDefault="00000000" w:rsidP="0055385F">
      <w:pPr>
        <w:pStyle w:val="ListParagraph"/>
        <w:numPr>
          <w:ilvl w:val="0"/>
          <w:numId w:val="8"/>
        </w:numPr>
        <w:spacing w:before="120" w:after="120" w:line="315" w:lineRule="atLeast"/>
      </w:pPr>
      <w:r w:rsidRPr="0055385F">
        <w:rPr>
          <w:rFonts w:eastAsia="SimSun"/>
        </w:rPr>
        <w:t>Draft_RAN2_128_Meeting_Report_v1</w:t>
      </w:r>
    </w:p>
    <w:p w14:paraId="1EE1AF5A" w14:textId="77777777" w:rsidR="00C444A6" w:rsidRDefault="00000000">
      <w:pPr>
        <w:pStyle w:val="ListParagraph"/>
        <w:numPr>
          <w:ilvl w:val="0"/>
          <w:numId w:val="8"/>
        </w:numPr>
        <w:spacing w:before="120" w:after="120"/>
        <w:rPr>
          <w:rFonts w:eastAsia="SimSun"/>
        </w:rPr>
      </w:pPr>
      <w:r>
        <w:rPr>
          <w:rStyle w:val="Hyperlink"/>
          <w:rFonts w:eastAsia="SimSun" w:hint="eastAsia"/>
          <w:color w:val="auto"/>
          <w:u w:val="none"/>
        </w:rPr>
        <w:t>3GPP TS 38.321, V18.2.0 (2024-06), NR; Medium Access Control (MAC) protocol specification</w:t>
      </w:r>
    </w:p>
    <w:p w14:paraId="5310DED2" w14:textId="77777777" w:rsidR="00C444A6" w:rsidRDefault="00C444A6">
      <w:pPr>
        <w:pStyle w:val="References"/>
        <w:numPr>
          <w:ilvl w:val="0"/>
          <w:numId w:val="0"/>
        </w:numPr>
        <w:spacing w:before="120" w:after="120"/>
      </w:pPr>
    </w:p>
    <w:sectPr w:rsidR="00C444A6">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DD325" w14:textId="77777777" w:rsidR="00427F73" w:rsidRDefault="00427F73">
      <w:pPr>
        <w:spacing w:before="120" w:after="120" w:line="240" w:lineRule="auto"/>
      </w:pPr>
      <w:r>
        <w:separator/>
      </w:r>
    </w:p>
  </w:endnote>
  <w:endnote w:type="continuationSeparator" w:id="0">
    <w:p w14:paraId="6388B697" w14:textId="77777777" w:rsidR="00427F73" w:rsidRDefault="00427F7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0DFD" w14:textId="77777777" w:rsidR="00C444A6" w:rsidRDefault="00C444A6">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774B2" w14:textId="77777777" w:rsidR="00C444A6"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03CDF85C" wp14:editId="0FBD9A39">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7D2240B" w14:textId="77777777" w:rsidR="00C444A6"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2F9A" w14:textId="77777777" w:rsidR="00C444A6" w:rsidRDefault="00C444A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22807" w14:textId="77777777" w:rsidR="00427F73" w:rsidRDefault="00427F73">
      <w:pPr>
        <w:spacing w:before="120" w:after="120"/>
      </w:pPr>
      <w:r>
        <w:separator/>
      </w:r>
    </w:p>
  </w:footnote>
  <w:footnote w:type="continuationSeparator" w:id="0">
    <w:p w14:paraId="79298BF6" w14:textId="77777777" w:rsidR="00427F73" w:rsidRDefault="00427F7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7C215" w14:textId="77777777" w:rsidR="00C444A6" w:rsidRDefault="00C444A6">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E054" w14:textId="77777777" w:rsidR="00C444A6" w:rsidRDefault="00C444A6">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52DF7" w14:textId="77777777" w:rsidR="00C444A6" w:rsidRDefault="00C444A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16503B2F"/>
    <w:multiLevelType w:val="multilevel"/>
    <w:tmpl w:val="16503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103"/>
        </w:tabs>
        <w:ind w:left="1103" w:hanging="360"/>
      </w:pPr>
      <w:rPr>
        <w:rFonts w:ascii="Symbol" w:hAnsi="Symbol" w:hint="default"/>
        <w:b/>
        <w:i w:val="0"/>
        <w:color w:val="auto"/>
        <w:sz w:val="22"/>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357"/>
        </w:tabs>
        <w:ind w:left="-357" w:hanging="360"/>
      </w:pPr>
      <w:rPr>
        <w:rFonts w:ascii="Wingdings" w:hAnsi="Wingdings" w:hint="default"/>
      </w:rPr>
    </w:lvl>
    <w:lvl w:ilvl="3">
      <w:start w:val="1"/>
      <w:numFmt w:val="bullet"/>
      <w:lvlText w:val=""/>
      <w:lvlJc w:val="left"/>
      <w:pPr>
        <w:tabs>
          <w:tab w:val="left" w:pos="363"/>
        </w:tabs>
        <w:ind w:left="363" w:hanging="360"/>
      </w:pPr>
      <w:rPr>
        <w:rFonts w:ascii="Symbol" w:hAnsi="Symbol" w:hint="default"/>
      </w:rPr>
    </w:lvl>
    <w:lvl w:ilvl="4">
      <w:start w:val="1"/>
      <w:numFmt w:val="bullet"/>
      <w:lvlText w:val="o"/>
      <w:lvlJc w:val="left"/>
      <w:pPr>
        <w:tabs>
          <w:tab w:val="left" w:pos="1083"/>
        </w:tabs>
        <w:ind w:left="1083" w:hanging="360"/>
      </w:pPr>
      <w:rPr>
        <w:rFonts w:ascii="Courier New" w:hAnsi="Courier New" w:cs="Courier New" w:hint="default"/>
      </w:rPr>
    </w:lvl>
    <w:lvl w:ilvl="5">
      <w:start w:val="1"/>
      <w:numFmt w:val="bullet"/>
      <w:lvlText w:val=""/>
      <w:lvlJc w:val="left"/>
      <w:pPr>
        <w:tabs>
          <w:tab w:val="left" w:pos="1803"/>
        </w:tabs>
        <w:ind w:left="1803" w:hanging="360"/>
      </w:pPr>
      <w:rPr>
        <w:rFonts w:ascii="Wingdings" w:hAnsi="Wingdings" w:hint="default"/>
      </w:rPr>
    </w:lvl>
    <w:lvl w:ilvl="6">
      <w:start w:val="1"/>
      <w:numFmt w:val="bullet"/>
      <w:lvlText w:val=""/>
      <w:lvlJc w:val="left"/>
      <w:pPr>
        <w:tabs>
          <w:tab w:val="left" w:pos="2523"/>
        </w:tabs>
        <w:ind w:left="2523" w:hanging="360"/>
      </w:pPr>
      <w:rPr>
        <w:rFonts w:ascii="Symbol" w:hAnsi="Symbol" w:hint="default"/>
      </w:rPr>
    </w:lvl>
    <w:lvl w:ilvl="7">
      <w:start w:val="1"/>
      <w:numFmt w:val="bullet"/>
      <w:lvlText w:val="o"/>
      <w:lvlJc w:val="left"/>
      <w:pPr>
        <w:tabs>
          <w:tab w:val="left" w:pos="3243"/>
        </w:tabs>
        <w:ind w:left="3243" w:hanging="360"/>
      </w:pPr>
      <w:rPr>
        <w:rFonts w:ascii="Courier New" w:hAnsi="Courier New" w:cs="Courier New" w:hint="default"/>
      </w:rPr>
    </w:lvl>
    <w:lvl w:ilvl="8">
      <w:start w:val="1"/>
      <w:numFmt w:val="bullet"/>
      <w:lvlText w:val=""/>
      <w:lvlJc w:val="left"/>
      <w:pPr>
        <w:tabs>
          <w:tab w:val="left" w:pos="3963"/>
        </w:tabs>
        <w:ind w:left="3963" w:hanging="360"/>
      </w:pPr>
      <w:rPr>
        <w:rFonts w:ascii="Wingdings" w:hAnsi="Wingdings" w:hint="default"/>
      </w:rPr>
    </w:lvl>
  </w:abstractNum>
  <w:num w:numId="1" w16cid:durableId="1598362965">
    <w:abstractNumId w:val="3"/>
  </w:num>
  <w:num w:numId="2" w16cid:durableId="2047096370">
    <w:abstractNumId w:val="6"/>
  </w:num>
  <w:num w:numId="3" w16cid:durableId="1102723178">
    <w:abstractNumId w:val="0"/>
  </w:num>
  <w:num w:numId="4" w16cid:durableId="611982607">
    <w:abstractNumId w:val="1"/>
  </w:num>
  <w:num w:numId="5" w16cid:durableId="1167329975">
    <w:abstractNumId w:val="8"/>
  </w:num>
  <w:num w:numId="6" w16cid:durableId="242881733">
    <w:abstractNumId w:val="5"/>
  </w:num>
  <w:num w:numId="7" w16cid:durableId="640622469">
    <w:abstractNumId w:val="4"/>
  </w:num>
  <w:num w:numId="8" w16cid:durableId="1885673198">
    <w:abstractNumId w:val="2"/>
  </w:num>
  <w:num w:numId="9" w16cid:durableId="18781989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1F56"/>
    <w:rsid w:val="00050423"/>
    <w:rsid w:val="00051F4E"/>
    <w:rsid w:val="000529AC"/>
    <w:rsid w:val="00071FB7"/>
    <w:rsid w:val="00072FB0"/>
    <w:rsid w:val="0007790D"/>
    <w:rsid w:val="00077A1A"/>
    <w:rsid w:val="00090D39"/>
    <w:rsid w:val="00093DF3"/>
    <w:rsid w:val="000A15BE"/>
    <w:rsid w:val="000A168E"/>
    <w:rsid w:val="000A4031"/>
    <w:rsid w:val="000C1A96"/>
    <w:rsid w:val="000C1CDE"/>
    <w:rsid w:val="000C7E3D"/>
    <w:rsid w:val="000D0462"/>
    <w:rsid w:val="000D627E"/>
    <w:rsid w:val="000E2433"/>
    <w:rsid w:val="000F28CA"/>
    <w:rsid w:val="001009B8"/>
    <w:rsid w:val="00103457"/>
    <w:rsid w:val="00103906"/>
    <w:rsid w:val="00120AF7"/>
    <w:rsid w:val="00142961"/>
    <w:rsid w:val="001470AA"/>
    <w:rsid w:val="00153BF7"/>
    <w:rsid w:val="00154DBD"/>
    <w:rsid w:val="0016113B"/>
    <w:rsid w:val="001632AB"/>
    <w:rsid w:val="00172A27"/>
    <w:rsid w:val="001754AE"/>
    <w:rsid w:val="0018654F"/>
    <w:rsid w:val="0018732E"/>
    <w:rsid w:val="00191912"/>
    <w:rsid w:val="00195F46"/>
    <w:rsid w:val="001A1539"/>
    <w:rsid w:val="001B3634"/>
    <w:rsid w:val="001C1894"/>
    <w:rsid w:val="001C196F"/>
    <w:rsid w:val="001D1287"/>
    <w:rsid w:val="001E0651"/>
    <w:rsid w:val="001E125B"/>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77485"/>
    <w:rsid w:val="00282069"/>
    <w:rsid w:val="0029516D"/>
    <w:rsid w:val="00297949"/>
    <w:rsid w:val="002A3D98"/>
    <w:rsid w:val="002B12B6"/>
    <w:rsid w:val="002B402B"/>
    <w:rsid w:val="002B4661"/>
    <w:rsid w:val="002C43E0"/>
    <w:rsid w:val="002C4448"/>
    <w:rsid w:val="002C68AC"/>
    <w:rsid w:val="002C7CCD"/>
    <w:rsid w:val="002F0E7A"/>
    <w:rsid w:val="002F2535"/>
    <w:rsid w:val="002F5687"/>
    <w:rsid w:val="002F5A8D"/>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B6C"/>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056"/>
    <w:rsid w:val="003A1DCE"/>
    <w:rsid w:val="003A4365"/>
    <w:rsid w:val="003A6BBE"/>
    <w:rsid w:val="003A7EAD"/>
    <w:rsid w:val="003B53DF"/>
    <w:rsid w:val="003D1DE1"/>
    <w:rsid w:val="003D44C6"/>
    <w:rsid w:val="003D5CFD"/>
    <w:rsid w:val="003E2C2B"/>
    <w:rsid w:val="003F7415"/>
    <w:rsid w:val="004003D2"/>
    <w:rsid w:val="00417B25"/>
    <w:rsid w:val="004209E1"/>
    <w:rsid w:val="0042238B"/>
    <w:rsid w:val="00427F73"/>
    <w:rsid w:val="00440E60"/>
    <w:rsid w:val="00450C17"/>
    <w:rsid w:val="004527B1"/>
    <w:rsid w:val="004545A5"/>
    <w:rsid w:val="004557D2"/>
    <w:rsid w:val="004608F6"/>
    <w:rsid w:val="00464D85"/>
    <w:rsid w:val="004724B4"/>
    <w:rsid w:val="00472B06"/>
    <w:rsid w:val="00477655"/>
    <w:rsid w:val="00480405"/>
    <w:rsid w:val="0048120F"/>
    <w:rsid w:val="00482706"/>
    <w:rsid w:val="00490434"/>
    <w:rsid w:val="004A142B"/>
    <w:rsid w:val="004A2759"/>
    <w:rsid w:val="004A5D1D"/>
    <w:rsid w:val="004A699E"/>
    <w:rsid w:val="004B44A9"/>
    <w:rsid w:val="004C1A54"/>
    <w:rsid w:val="004D2637"/>
    <w:rsid w:val="004D6C78"/>
    <w:rsid w:val="004E6999"/>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5385F"/>
    <w:rsid w:val="005644F6"/>
    <w:rsid w:val="00564BCB"/>
    <w:rsid w:val="00570231"/>
    <w:rsid w:val="005725AF"/>
    <w:rsid w:val="00572F6E"/>
    <w:rsid w:val="00574776"/>
    <w:rsid w:val="0058526A"/>
    <w:rsid w:val="00592D88"/>
    <w:rsid w:val="0059321F"/>
    <w:rsid w:val="00593818"/>
    <w:rsid w:val="005A05C6"/>
    <w:rsid w:val="005A0FE9"/>
    <w:rsid w:val="005B245F"/>
    <w:rsid w:val="005B4834"/>
    <w:rsid w:val="005B77A5"/>
    <w:rsid w:val="005C6B42"/>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81459"/>
    <w:rsid w:val="00691376"/>
    <w:rsid w:val="006922EF"/>
    <w:rsid w:val="00694FB9"/>
    <w:rsid w:val="00697125"/>
    <w:rsid w:val="006A2804"/>
    <w:rsid w:val="006B0580"/>
    <w:rsid w:val="006C2229"/>
    <w:rsid w:val="006C55B1"/>
    <w:rsid w:val="006C69C1"/>
    <w:rsid w:val="006D11DE"/>
    <w:rsid w:val="006D3D89"/>
    <w:rsid w:val="006E01C3"/>
    <w:rsid w:val="006E01CB"/>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37E00"/>
    <w:rsid w:val="007427BB"/>
    <w:rsid w:val="007440A2"/>
    <w:rsid w:val="00745143"/>
    <w:rsid w:val="00747C56"/>
    <w:rsid w:val="007501AC"/>
    <w:rsid w:val="00750EDD"/>
    <w:rsid w:val="00756124"/>
    <w:rsid w:val="00762F1B"/>
    <w:rsid w:val="0076682E"/>
    <w:rsid w:val="0077033A"/>
    <w:rsid w:val="0077581A"/>
    <w:rsid w:val="0077761A"/>
    <w:rsid w:val="00784828"/>
    <w:rsid w:val="00785A2A"/>
    <w:rsid w:val="00785DA6"/>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036A8"/>
    <w:rsid w:val="00810C42"/>
    <w:rsid w:val="00816EF3"/>
    <w:rsid w:val="008226B2"/>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C7FE3"/>
    <w:rsid w:val="008D3ED9"/>
    <w:rsid w:val="008E1E4D"/>
    <w:rsid w:val="008F255E"/>
    <w:rsid w:val="008F3DC8"/>
    <w:rsid w:val="00901BD8"/>
    <w:rsid w:val="00903A35"/>
    <w:rsid w:val="00913703"/>
    <w:rsid w:val="009221EB"/>
    <w:rsid w:val="00922624"/>
    <w:rsid w:val="00923BDA"/>
    <w:rsid w:val="0093617A"/>
    <w:rsid w:val="009411A5"/>
    <w:rsid w:val="00942AEE"/>
    <w:rsid w:val="00946A7C"/>
    <w:rsid w:val="00946FAF"/>
    <w:rsid w:val="00950DB1"/>
    <w:rsid w:val="00952C83"/>
    <w:rsid w:val="00956A30"/>
    <w:rsid w:val="00957418"/>
    <w:rsid w:val="009610C6"/>
    <w:rsid w:val="0096194F"/>
    <w:rsid w:val="00963243"/>
    <w:rsid w:val="009648EE"/>
    <w:rsid w:val="00966E7D"/>
    <w:rsid w:val="00970630"/>
    <w:rsid w:val="00971A1F"/>
    <w:rsid w:val="009734B7"/>
    <w:rsid w:val="0097647B"/>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0A06"/>
    <w:rsid w:val="00A02219"/>
    <w:rsid w:val="00A05A33"/>
    <w:rsid w:val="00A14F22"/>
    <w:rsid w:val="00A171E5"/>
    <w:rsid w:val="00A17810"/>
    <w:rsid w:val="00A212A7"/>
    <w:rsid w:val="00A21523"/>
    <w:rsid w:val="00A26720"/>
    <w:rsid w:val="00A33BD9"/>
    <w:rsid w:val="00A40C3F"/>
    <w:rsid w:val="00A4182C"/>
    <w:rsid w:val="00A438B0"/>
    <w:rsid w:val="00A50B2A"/>
    <w:rsid w:val="00A51740"/>
    <w:rsid w:val="00A54A48"/>
    <w:rsid w:val="00A551E2"/>
    <w:rsid w:val="00A56849"/>
    <w:rsid w:val="00A656E5"/>
    <w:rsid w:val="00A809DB"/>
    <w:rsid w:val="00A83C13"/>
    <w:rsid w:val="00A86EB5"/>
    <w:rsid w:val="00A91773"/>
    <w:rsid w:val="00A92854"/>
    <w:rsid w:val="00A92CA8"/>
    <w:rsid w:val="00A967AB"/>
    <w:rsid w:val="00AA1889"/>
    <w:rsid w:val="00AB0AAF"/>
    <w:rsid w:val="00AB251B"/>
    <w:rsid w:val="00AB5108"/>
    <w:rsid w:val="00AB6D34"/>
    <w:rsid w:val="00AC1ED1"/>
    <w:rsid w:val="00AC24BF"/>
    <w:rsid w:val="00AD56C4"/>
    <w:rsid w:val="00AD7FE5"/>
    <w:rsid w:val="00AE5530"/>
    <w:rsid w:val="00AF050A"/>
    <w:rsid w:val="00B031EF"/>
    <w:rsid w:val="00B07839"/>
    <w:rsid w:val="00B11405"/>
    <w:rsid w:val="00B12602"/>
    <w:rsid w:val="00B138E9"/>
    <w:rsid w:val="00B179E3"/>
    <w:rsid w:val="00B20F6D"/>
    <w:rsid w:val="00B21480"/>
    <w:rsid w:val="00B245AA"/>
    <w:rsid w:val="00B24F76"/>
    <w:rsid w:val="00B26F06"/>
    <w:rsid w:val="00B34FF8"/>
    <w:rsid w:val="00B43645"/>
    <w:rsid w:val="00B5181A"/>
    <w:rsid w:val="00B52BE9"/>
    <w:rsid w:val="00B54730"/>
    <w:rsid w:val="00B56091"/>
    <w:rsid w:val="00B60F6C"/>
    <w:rsid w:val="00B663FA"/>
    <w:rsid w:val="00B71A78"/>
    <w:rsid w:val="00B72848"/>
    <w:rsid w:val="00B731A6"/>
    <w:rsid w:val="00B76824"/>
    <w:rsid w:val="00B768A1"/>
    <w:rsid w:val="00B81C3C"/>
    <w:rsid w:val="00B87AB7"/>
    <w:rsid w:val="00B96E00"/>
    <w:rsid w:val="00BA72B7"/>
    <w:rsid w:val="00BA7674"/>
    <w:rsid w:val="00BB08C4"/>
    <w:rsid w:val="00BC0005"/>
    <w:rsid w:val="00BD49FA"/>
    <w:rsid w:val="00BD6A5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444A6"/>
    <w:rsid w:val="00C5791E"/>
    <w:rsid w:val="00C625E3"/>
    <w:rsid w:val="00C65B20"/>
    <w:rsid w:val="00C67AE3"/>
    <w:rsid w:val="00C76271"/>
    <w:rsid w:val="00C829B3"/>
    <w:rsid w:val="00C855D2"/>
    <w:rsid w:val="00C925E7"/>
    <w:rsid w:val="00C93053"/>
    <w:rsid w:val="00CA03EE"/>
    <w:rsid w:val="00CA09F5"/>
    <w:rsid w:val="00CA152B"/>
    <w:rsid w:val="00CA6BF4"/>
    <w:rsid w:val="00CB03D7"/>
    <w:rsid w:val="00CB046A"/>
    <w:rsid w:val="00CB7FB3"/>
    <w:rsid w:val="00CC01B0"/>
    <w:rsid w:val="00CC11A8"/>
    <w:rsid w:val="00CD5E4A"/>
    <w:rsid w:val="00CD62C4"/>
    <w:rsid w:val="00CD71E9"/>
    <w:rsid w:val="00CE32ED"/>
    <w:rsid w:val="00CF0062"/>
    <w:rsid w:val="00CF25E8"/>
    <w:rsid w:val="00CF4293"/>
    <w:rsid w:val="00D06F00"/>
    <w:rsid w:val="00D0740C"/>
    <w:rsid w:val="00D1043B"/>
    <w:rsid w:val="00D12A04"/>
    <w:rsid w:val="00D14578"/>
    <w:rsid w:val="00D17260"/>
    <w:rsid w:val="00D22C2E"/>
    <w:rsid w:val="00D23862"/>
    <w:rsid w:val="00D24465"/>
    <w:rsid w:val="00D27BF8"/>
    <w:rsid w:val="00D30D70"/>
    <w:rsid w:val="00D30FF6"/>
    <w:rsid w:val="00D471A9"/>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C0C4F"/>
    <w:rsid w:val="00DC1213"/>
    <w:rsid w:val="00DC6E1E"/>
    <w:rsid w:val="00DC70F6"/>
    <w:rsid w:val="00DC724A"/>
    <w:rsid w:val="00DD5F49"/>
    <w:rsid w:val="00DF4482"/>
    <w:rsid w:val="00E01355"/>
    <w:rsid w:val="00E05651"/>
    <w:rsid w:val="00E068AA"/>
    <w:rsid w:val="00E258FC"/>
    <w:rsid w:val="00E30348"/>
    <w:rsid w:val="00E339EA"/>
    <w:rsid w:val="00E51594"/>
    <w:rsid w:val="00E52879"/>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112F3"/>
    <w:rsid w:val="00F143A1"/>
    <w:rsid w:val="00F1480F"/>
    <w:rsid w:val="00F179F3"/>
    <w:rsid w:val="00F2072B"/>
    <w:rsid w:val="00F263C6"/>
    <w:rsid w:val="00F34277"/>
    <w:rsid w:val="00F346E9"/>
    <w:rsid w:val="00F4372E"/>
    <w:rsid w:val="00F453FE"/>
    <w:rsid w:val="00F624B9"/>
    <w:rsid w:val="00F71825"/>
    <w:rsid w:val="00F80169"/>
    <w:rsid w:val="00F81514"/>
    <w:rsid w:val="00F82200"/>
    <w:rsid w:val="00F85FAD"/>
    <w:rsid w:val="00F86352"/>
    <w:rsid w:val="00F87040"/>
    <w:rsid w:val="00F870DD"/>
    <w:rsid w:val="00F95A32"/>
    <w:rsid w:val="00FA1D8A"/>
    <w:rsid w:val="00FA3FD9"/>
    <w:rsid w:val="00FA6AF6"/>
    <w:rsid w:val="00FA7D65"/>
    <w:rsid w:val="00FB2EE6"/>
    <w:rsid w:val="00FB593A"/>
    <w:rsid w:val="00FC1AD0"/>
    <w:rsid w:val="00FC20D8"/>
    <w:rsid w:val="00FC3D4E"/>
    <w:rsid w:val="00FC6D99"/>
    <w:rsid w:val="00FC72FB"/>
    <w:rsid w:val="00FD162B"/>
    <w:rsid w:val="00FD7CC0"/>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2369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3103F7"/>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0B4D87"/>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73E6A"/>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D02E02"/>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540CA8"/>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469E4"/>
    <w:rsid w:val="408563A3"/>
    <w:rsid w:val="40A1164F"/>
    <w:rsid w:val="40AD7C5B"/>
    <w:rsid w:val="40CD5F0B"/>
    <w:rsid w:val="40DD4729"/>
    <w:rsid w:val="40EB7E0B"/>
    <w:rsid w:val="40F1349D"/>
    <w:rsid w:val="411E2BE4"/>
    <w:rsid w:val="4136428A"/>
    <w:rsid w:val="413A144A"/>
    <w:rsid w:val="41694287"/>
    <w:rsid w:val="416948A9"/>
    <w:rsid w:val="416B194D"/>
    <w:rsid w:val="418A6870"/>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9FA5FE9"/>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B24A1B"/>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BC6407"/>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815CD"/>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82E8A"/>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13384"/>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10DEA"/>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807F41"/>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5B6313"/>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9E2999"/>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BDAD"/>
  <w15:docId w15:val="{99933C74-80B6-4952-A611-69539B3EE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w:hAnsi="Times"/>
      <w:szCs w:val="24"/>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clear" w:pos="1103"/>
        <w:tab w:val="left" w:pos="1619"/>
        <w:tab w:val="left" w:pos="2363"/>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eastAsia="zh-CN"/>
    </w:rPr>
  </w:style>
  <w:style w:type="paragraph" w:styleId="Revision">
    <w:name w:val="Revision"/>
    <w:hidden/>
    <w:uiPriority w:val="99"/>
    <w:unhideWhenUsed/>
    <w:rsid w:val="0077033A"/>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40791.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ZTE(Eswar2)</cp:lastModifiedBy>
  <cp:revision>6</cp:revision>
  <dcterms:created xsi:type="dcterms:W3CDTF">2025-02-06T12:21:00Z</dcterms:created>
  <dcterms:modified xsi:type="dcterms:W3CDTF">2025-03-27T13:47:00Z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A34D89D033914DC682940FE50DBD81D4</vt:lpwstr>
  </property>
</Properties>
</file>