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29b                        </w:t>
      </w:r>
      <w:r>
        <w:rPr>
          <w:rFonts w:hint="eastAsia" w:ascii="Segoe UI" w:hAnsi="Segoe UI" w:eastAsia="等线" w:cs="Segoe UI"/>
          <w:color w:val="000000"/>
          <w:sz w:val="22"/>
          <w:szCs w:val="22"/>
          <w:lang w:val="en-US" w:eastAsia="zh-CN" w:bidi="ar"/>
        </w:rPr>
        <w:t>R2-2502422</w:t>
      </w:r>
    </w:p>
    <w:p>
      <w:pPr>
        <w:pStyle w:val="8"/>
        <w:rPr>
          <w:rFonts w:hint="eastAsia" w:eastAsia="宋体"/>
          <w:lang w:val="en-US" w:eastAsia="zh-CN"/>
        </w:rPr>
      </w:pPr>
      <w:r>
        <w:rPr>
          <w:rFonts w:hint="eastAsia" w:eastAsia="宋体"/>
          <w:lang w:val="en-US" w:eastAsia="zh-CN"/>
        </w:rPr>
        <w:t>Wuhan, China, Apr. 7th – 11st, 2025</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8.2.2</w:t>
      </w:r>
      <w:bookmarkStart w:id="4" w:name="_GoBack"/>
      <w:bookmarkEnd w:id="4"/>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Paging for A-IoT</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spacing w:before="120"/>
        <w:rPr>
          <w:rFonts w:hint="eastAsia" w:ascii="Arial" w:hAnsi="Arial" w:cs="Arial"/>
          <w:szCs w:val="20"/>
        </w:rPr>
      </w:pPr>
      <w:bookmarkStart w:id="0" w:name="_Ref488331639"/>
      <w:r>
        <w:t>Introduction</w:t>
      </w:r>
      <w:bookmarkEnd w:id="0"/>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US"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29</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A-IoT Paging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p>
    <w:p>
      <w:pPr>
        <w:numPr>
          <w:ilvl w:val="0"/>
          <w:numId w:val="0"/>
        </w:numPr>
        <w:pBdr>
          <w:top w:val="single" w:color="auto" w:sz="4" w:space="1"/>
          <w:left w:val="single" w:color="auto" w:sz="4" w:space="4"/>
          <w:bottom w:val="single" w:color="auto" w:sz="4" w:space="1"/>
          <w:right w:val="single" w:color="auto" w:sz="4" w:space="4"/>
        </w:pBdr>
        <w:overflowPunct w:val="0"/>
        <w:autoSpaceDE w:val="0"/>
        <w:autoSpaceDN w:val="0"/>
        <w:adjustRightInd w:val="0"/>
        <w:spacing w:before="60"/>
        <w:ind w:left="1619" w:hanging="360"/>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Agreements</w:t>
      </w:r>
    </w:p>
    <w:p>
      <w:pPr>
        <w:numPr>
          <w:ilvl w:val="0"/>
          <w:numId w:val="4"/>
        </w:numPr>
        <w:pBdr>
          <w:top w:val="single" w:color="auto" w:sz="4" w:space="1"/>
          <w:left w:val="single" w:color="auto" w:sz="4" w:space="4"/>
          <w:bottom w:val="single" w:color="auto" w:sz="4" w:space="1"/>
          <w:right w:val="single" w:color="auto" w:sz="4" w:space="4"/>
        </w:pBdr>
        <w:overflowPunct/>
        <w:autoSpaceDE/>
        <w:autoSpaceDN/>
        <w:adjustRightInd/>
        <w:spacing w:before="60"/>
        <w:ind w:left="1619" w:hanging="360"/>
        <w:textAlignment w:val="auto"/>
        <w:rPr>
          <w:rFonts w:ascii="Arial" w:hAnsi="Arial" w:eastAsia="Times New Roman" w:cs="Times New Roman"/>
          <w:b w:val="0"/>
          <w:bCs/>
          <w:lang w:val="en-GB" w:eastAsia="ja-JP" w:bidi="ar-SA"/>
        </w:rPr>
      </w:pPr>
      <w:r>
        <w:rPr>
          <w:rFonts w:ascii="Arial" w:hAnsi="Arial" w:eastAsia="Times New Roman" w:cs="Times New Roman"/>
          <w:b w:val="0"/>
          <w:bCs/>
          <w:lang w:val="en-GB" w:eastAsia="ja-JP" w:bidi="ar-SA"/>
        </w:rPr>
        <w:t xml:space="preserve">Parallel service requests by the same reader is not supported.    </w:t>
      </w:r>
    </w:p>
    <w:p>
      <w:pPr>
        <w:numPr>
          <w:ilvl w:val="0"/>
          <w:numId w:val="4"/>
        </w:numPr>
        <w:pBdr>
          <w:top w:val="single" w:color="auto" w:sz="4" w:space="1"/>
          <w:left w:val="single" w:color="auto" w:sz="4" w:space="4"/>
          <w:bottom w:val="single" w:color="auto" w:sz="4" w:space="1"/>
          <w:right w:val="single" w:color="auto" w:sz="4" w:space="4"/>
        </w:pBdr>
        <w:overflowPunct/>
        <w:autoSpaceDE/>
        <w:autoSpaceDN/>
        <w:adjustRightInd/>
        <w:spacing w:before="60"/>
        <w:ind w:left="1619" w:hanging="360"/>
        <w:textAlignment w:val="auto"/>
        <w:rPr>
          <w:rFonts w:ascii="Arial" w:hAnsi="Arial" w:eastAsia="Times New Roman" w:cs="Times New Roman"/>
          <w:b w:val="0"/>
          <w:bCs/>
          <w:lang w:val="en-GB" w:eastAsia="ja-JP" w:bidi="ar-SA"/>
        </w:rPr>
      </w:pPr>
      <w:r>
        <w:rPr>
          <w:rFonts w:ascii="Arial" w:hAnsi="Arial" w:eastAsia="Times New Roman" w:cs="Times New Roman"/>
          <w:b w:val="0"/>
          <w:bCs/>
          <w:lang w:val="en-GB" w:eastAsia="ja-JP" w:bidi="ar-SA"/>
        </w:rPr>
        <w:t xml:space="preserve">The device is expected to only perform one procedure at a time.   FFS device behaviour if multiple requests are received in parallel (if needed).  </w:t>
      </w:r>
    </w:p>
    <w:p>
      <w:pPr>
        <w:numPr>
          <w:ilvl w:val="0"/>
          <w:numId w:val="4"/>
        </w:numPr>
        <w:pBdr>
          <w:top w:val="single" w:color="auto" w:sz="4" w:space="1"/>
          <w:left w:val="single" w:color="auto" w:sz="4" w:space="4"/>
          <w:bottom w:val="single" w:color="auto" w:sz="4" w:space="1"/>
          <w:right w:val="single" w:color="auto" w:sz="4" w:space="4"/>
        </w:pBdr>
        <w:overflowPunct/>
        <w:autoSpaceDE/>
        <w:autoSpaceDN/>
        <w:adjustRightInd/>
        <w:spacing w:before="60"/>
        <w:ind w:left="1619" w:hanging="360"/>
        <w:textAlignment w:val="auto"/>
        <w:rPr>
          <w:rFonts w:ascii="Arial" w:hAnsi="Arial" w:eastAsia="Times New Roman" w:cs="Times New Roman"/>
          <w:b w:val="0"/>
          <w:bCs/>
          <w:lang w:val="en-GB" w:eastAsia="ja-JP" w:bidi="ar-SA"/>
        </w:rPr>
      </w:pPr>
      <w:r>
        <w:rPr>
          <w:rFonts w:ascii="Arial" w:hAnsi="Arial" w:eastAsia="Times New Roman" w:cs="Times New Roman"/>
          <w:b w:val="0"/>
          <w:bCs/>
          <w:lang w:val="en-GB" w:eastAsia="ja-JP" w:bidi="ar-SA"/>
        </w:rPr>
        <w:t>The “transaction ID” can be generated by reader based on CN corelation ID.  FFS how reader will generate “transaction ID”.  FFS the size of transaction ID</w:t>
      </w:r>
    </w:p>
    <w:p>
      <w:pPr>
        <w:numPr>
          <w:ilvl w:val="0"/>
          <w:numId w:val="4"/>
        </w:numPr>
        <w:pBdr>
          <w:top w:val="single" w:color="auto" w:sz="4" w:space="1"/>
          <w:left w:val="single" w:color="auto" w:sz="4" w:space="4"/>
          <w:bottom w:val="single" w:color="auto" w:sz="4" w:space="1"/>
          <w:right w:val="single" w:color="auto" w:sz="4" w:space="4"/>
        </w:pBdr>
        <w:overflowPunct/>
        <w:autoSpaceDE/>
        <w:autoSpaceDN/>
        <w:adjustRightInd/>
        <w:spacing w:before="60"/>
        <w:ind w:left="1619" w:hanging="360"/>
        <w:textAlignment w:val="auto"/>
        <w:rPr>
          <w:rFonts w:ascii="Arial" w:hAnsi="Arial" w:eastAsia="Times New Roman" w:cs="Times New Roman"/>
          <w:b w:val="0"/>
          <w:bCs/>
          <w:lang w:val="en-GB" w:eastAsia="ja-JP" w:bidi="ar-SA"/>
        </w:rPr>
      </w:pPr>
      <w:r>
        <w:rPr>
          <w:rFonts w:ascii="Arial" w:hAnsi="Arial" w:eastAsia="Times New Roman" w:cs="Times New Roman"/>
          <w:b w:val="0"/>
          <w:bCs/>
          <w:lang w:val="en-GB" w:eastAsia="ja-JP" w:bidi="ar-SA"/>
        </w:rPr>
        <w:t>1 bit solution is excluded.   FFS the size.  Aim to have a reasonable size.</w:t>
      </w:r>
    </w:p>
    <w:p>
      <w:pPr>
        <w:numPr>
          <w:ilvl w:val="0"/>
          <w:numId w:val="4"/>
        </w:numPr>
        <w:pBdr>
          <w:top w:val="single" w:color="auto" w:sz="4" w:space="1"/>
          <w:left w:val="single" w:color="auto" w:sz="4" w:space="4"/>
          <w:bottom w:val="single" w:color="auto" w:sz="4" w:space="1"/>
          <w:right w:val="single" w:color="auto" w:sz="4" w:space="4"/>
        </w:pBdr>
        <w:overflowPunct/>
        <w:autoSpaceDE/>
        <w:autoSpaceDN/>
        <w:adjustRightInd/>
        <w:spacing w:before="60"/>
        <w:ind w:left="1619" w:hanging="360"/>
        <w:textAlignment w:val="auto"/>
        <w:rPr>
          <w:rFonts w:ascii="Arial" w:hAnsi="Arial" w:eastAsia="Times New Roman" w:cs="Times New Roman"/>
          <w:b w:val="0"/>
          <w:bCs/>
          <w:lang w:val="en-GB" w:eastAsia="ja-JP" w:bidi="ar-SA"/>
        </w:rPr>
      </w:pPr>
      <w:r>
        <w:rPr>
          <w:rFonts w:ascii="Arial" w:hAnsi="Arial" w:eastAsia="Times New Roman" w:cs="Times New Roman"/>
          <w:b w:val="0"/>
          <w:bCs/>
          <w:lang w:val="en-GB" w:eastAsia="ja-JP" w:bidi="ar-SA"/>
        </w:rPr>
        <w:t xml:space="preserve">RAN2 acknowledges that multi-reader scenario may exist but we will not specify something specific for this purpose.  We can rely on transaction ID and implementation to handle it.  </w:t>
      </w:r>
    </w:p>
    <w:p>
      <w:pPr>
        <w:numPr>
          <w:ilvl w:val="-1"/>
          <w:numId w:val="0"/>
        </w:numPr>
        <w:pBdr>
          <w:top w:val="single" w:color="auto" w:sz="4" w:space="1"/>
          <w:left w:val="single" w:color="auto" w:sz="4" w:space="4"/>
          <w:bottom w:val="single" w:color="auto" w:sz="4" w:space="1"/>
          <w:right w:val="single" w:color="auto" w:sz="4" w:space="4"/>
        </w:pBdr>
        <w:overflowPunct/>
        <w:autoSpaceDE/>
        <w:autoSpaceDN/>
        <w:adjustRightInd/>
        <w:spacing w:before="60"/>
        <w:ind w:left="1259" w:firstLine="0"/>
        <w:textAlignment w:val="auto"/>
        <w:rPr>
          <w:rFonts w:ascii="Arial" w:hAnsi="Arial" w:eastAsia="Times New Roman" w:cs="Times New Roman"/>
          <w:b w:val="0"/>
          <w:bCs/>
          <w:lang w:val="en-GB" w:eastAsia="ja-JP" w:bidi="ar-SA"/>
        </w:rPr>
      </w:pPr>
      <w:r>
        <w:rPr>
          <w:rFonts w:ascii="Arial" w:hAnsi="Arial" w:eastAsia="Times New Roman" w:cs="Times New Roman"/>
          <w:b w:val="0"/>
          <w:bCs/>
          <w:lang w:val="en-GB" w:eastAsia="ja-JP" w:bidi="ar-SA"/>
        </w:rPr>
        <w:t xml:space="preserve">  </w:t>
      </w:r>
    </w:p>
    <w:p>
      <w:pPr>
        <w:pBdr>
          <w:top w:val="single" w:color="auto" w:sz="4" w:space="1"/>
          <w:left w:val="single" w:color="auto" w:sz="4" w:space="4"/>
          <w:bottom w:val="single" w:color="auto" w:sz="4" w:space="1"/>
          <w:right w:val="single" w:color="auto" w:sz="4" w:space="4"/>
        </w:pBdr>
        <w:overflowPunct w:val="0"/>
        <w:autoSpaceDE w:val="0"/>
        <w:autoSpaceDN w:val="0"/>
        <w:adjustRightInd w:val="0"/>
        <w:spacing w:before="0"/>
        <w:ind w:left="1622" w:hanging="363"/>
        <w:textAlignment w:val="baseline"/>
        <w:rPr>
          <w:rFonts w:ascii="Arial" w:hAnsi="Arial" w:eastAsia="Times New Roman" w:cs="Times New Roman"/>
          <w:b/>
          <w:bCs/>
          <w:lang w:val="en-GB" w:eastAsia="ja-JP" w:bidi="ar-SA"/>
        </w:rPr>
      </w:pPr>
      <w:r>
        <w:rPr>
          <w:rFonts w:ascii="Arial" w:hAnsi="Arial" w:eastAsia="Times New Roman" w:cs="Times New Roman"/>
          <w:b/>
          <w:bCs/>
          <w:lang w:val="en-GB" w:eastAsia="ja-JP" w:bidi="ar-SA"/>
        </w:rPr>
        <w:t>Agreements on paging ID</w:t>
      </w:r>
    </w:p>
    <w:p>
      <w:pPr>
        <w:numPr>
          <w:ilvl w:val="0"/>
          <w:numId w:val="5"/>
        </w:numPr>
        <w:pBdr>
          <w:top w:val="single" w:color="auto" w:sz="4" w:space="1"/>
          <w:left w:val="single" w:color="auto" w:sz="4" w:space="4"/>
          <w:bottom w:val="single" w:color="auto" w:sz="4" w:space="1"/>
          <w:right w:val="single" w:color="auto" w:sz="4" w:space="4"/>
        </w:pBdr>
        <w:overflowPunct/>
        <w:autoSpaceDE/>
        <w:autoSpaceDN/>
        <w:adjustRightInd/>
        <w:spacing w:before="0"/>
        <w:ind w:left="1619" w:hanging="360"/>
        <w:textAlignment w:val="auto"/>
        <w:rPr>
          <w:rFonts w:ascii="Arial" w:hAnsi="Arial" w:eastAsia="Times New Roman" w:cs="Times New Roman"/>
          <w:lang w:val="en-GB" w:eastAsia="ja-JP" w:bidi="ar-SA"/>
        </w:rPr>
      </w:pPr>
      <w:r>
        <w:rPr>
          <w:rFonts w:ascii="Arial" w:hAnsi="Arial" w:eastAsia="Times New Roman" w:cs="Times New Roman"/>
          <w:lang w:val="en-GB" w:eastAsia="ja-JP" w:bidi="ar-SA"/>
        </w:rPr>
        <w:t>The “one identifier” in the paging message includes both the case of “one single device identifier” and “one group identifier”/”filtering criteria”, while the exact format of latter is supposed to be designed by SA2.</w:t>
      </w:r>
    </w:p>
    <w:p>
      <w:pPr>
        <w:numPr>
          <w:ilvl w:val="0"/>
          <w:numId w:val="5"/>
        </w:numPr>
        <w:pBdr>
          <w:top w:val="single" w:color="auto" w:sz="4" w:space="1"/>
          <w:left w:val="single" w:color="auto" w:sz="4" w:space="4"/>
          <w:bottom w:val="single" w:color="auto" w:sz="4" w:space="1"/>
          <w:right w:val="single" w:color="auto" w:sz="4" w:space="4"/>
        </w:pBdr>
        <w:overflowPunct/>
        <w:autoSpaceDE/>
        <w:autoSpaceDN/>
        <w:adjustRightInd/>
        <w:spacing w:before="0"/>
        <w:ind w:left="1619" w:hanging="360"/>
        <w:textAlignment w:val="auto"/>
        <w:rPr>
          <w:rFonts w:ascii="Arial" w:hAnsi="Arial" w:eastAsia="Times New Roman" w:cs="Times New Roman"/>
          <w:lang w:val="en-GB" w:eastAsia="ja-JP" w:bidi="ar-SA"/>
        </w:rPr>
      </w:pPr>
      <w:r>
        <w:rPr>
          <w:rFonts w:ascii="Arial" w:hAnsi="Arial" w:eastAsia="Times New Roman" w:cs="Times New Roman"/>
          <w:lang w:val="en-GB" w:eastAsia="ja-JP" w:bidi="ar-SA"/>
        </w:rPr>
        <w:t>The current assumption is that the paging identifier is transparent to the A-IoT MAC Layer and carried by upper layer.   FFS if there is really a need for visibility in the MAC layer</w:t>
      </w:r>
    </w:p>
    <w:p>
      <w:pPr>
        <w:numPr>
          <w:ilvl w:val="-1"/>
          <w:numId w:val="0"/>
        </w:numPr>
        <w:pBdr>
          <w:top w:val="single" w:color="auto" w:sz="4" w:space="1"/>
          <w:left w:val="single" w:color="auto" w:sz="4" w:space="4"/>
          <w:bottom w:val="single" w:color="auto" w:sz="4" w:space="1"/>
          <w:right w:val="single" w:color="auto" w:sz="4" w:space="4"/>
        </w:pBdr>
        <w:overflowPunct/>
        <w:autoSpaceDE/>
        <w:autoSpaceDN/>
        <w:adjustRightInd/>
        <w:spacing w:before="60"/>
        <w:ind w:left="1259" w:firstLine="0"/>
        <w:textAlignment w:val="auto"/>
        <w:rPr>
          <w:rFonts w:hint="eastAsia" w:ascii="Arial" w:hAnsi="Arial" w:eastAsia="Times New Roman" w:cs="Times New Roman"/>
          <w:b w:val="0"/>
          <w:bCs/>
          <w:lang w:val="en-GB" w:eastAsia="ja-JP" w:bidi="ar-SA"/>
        </w:rPr>
      </w:pPr>
    </w:p>
    <w:p>
      <w:pPr>
        <w:numPr>
          <w:ilvl w:val="-1"/>
          <w:numId w:val="0"/>
        </w:numPr>
        <w:pBdr>
          <w:top w:val="single" w:color="auto" w:sz="4" w:space="1"/>
          <w:left w:val="single" w:color="auto" w:sz="4" w:space="4"/>
          <w:bottom w:val="single" w:color="auto" w:sz="4" w:space="1"/>
          <w:right w:val="single" w:color="auto" w:sz="4" w:space="4"/>
        </w:pBdr>
        <w:overflowPunct/>
        <w:autoSpaceDE/>
        <w:autoSpaceDN/>
        <w:adjustRightInd/>
        <w:spacing w:before="60"/>
        <w:ind w:left="1259" w:firstLine="0"/>
        <w:textAlignment w:val="auto"/>
        <w:rPr>
          <w:rFonts w:hint="eastAsia" w:ascii="Arial" w:hAnsi="Arial" w:eastAsia="Times New Roman" w:cs="Times New Roman"/>
          <w:b w:val="0"/>
          <w:bCs/>
          <w:lang w:val="en-GB" w:eastAsia="ja-JP" w:bidi="ar-SA"/>
        </w:rPr>
      </w:pPr>
      <w:r>
        <w:rPr>
          <w:rFonts w:hint="eastAsia" w:ascii="Arial" w:hAnsi="Arial" w:eastAsia="Times New Roman" w:cs="Times New Roman"/>
          <w:b w:val="0"/>
          <w:bCs/>
          <w:lang w:val="en-GB" w:eastAsia="ja-JP" w:bidi="ar-SA"/>
        </w:rPr>
        <w:t>Agreements</w:t>
      </w:r>
    </w:p>
    <w:p>
      <w:pPr>
        <w:numPr>
          <w:ilvl w:val="0"/>
          <w:numId w:val="6"/>
        </w:numPr>
        <w:pBdr>
          <w:top w:val="single" w:color="auto" w:sz="4" w:space="1"/>
          <w:left w:val="single" w:color="auto" w:sz="4" w:space="4"/>
          <w:bottom w:val="single" w:color="auto" w:sz="4" w:space="1"/>
          <w:right w:val="single" w:color="auto" w:sz="4" w:space="4"/>
        </w:pBdr>
        <w:overflowPunct/>
        <w:autoSpaceDE/>
        <w:autoSpaceDN/>
        <w:adjustRightInd/>
        <w:spacing w:before="60"/>
        <w:ind w:left="1259" w:firstLine="0"/>
        <w:textAlignment w:val="auto"/>
        <w:rPr>
          <w:rFonts w:hint="eastAsia" w:ascii="Arial" w:hAnsi="Arial" w:eastAsia="Times New Roman" w:cs="Times New Roman"/>
          <w:b w:val="0"/>
          <w:bCs/>
          <w:lang w:val="en-GB" w:eastAsia="ja-JP" w:bidi="ar-SA"/>
        </w:rPr>
      </w:pPr>
      <w:r>
        <w:rPr>
          <w:rFonts w:hint="eastAsia" w:ascii="Arial" w:hAnsi="Arial" w:eastAsia="Times New Roman" w:cs="Times New Roman"/>
          <w:b w:val="0"/>
          <w:bCs/>
          <w:lang w:val="en-GB" w:eastAsia="ja-JP" w:bidi="ar-SA"/>
        </w:rPr>
        <w:t>The A-IoT paging message can include a number of msg1 resources</w:t>
      </w:r>
    </w:p>
    <w:p>
      <w:pPr>
        <w:numPr>
          <w:ilvl w:val="0"/>
          <w:numId w:val="6"/>
        </w:numPr>
        <w:pBdr>
          <w:top w:val="single" w:color="auto" w:sz="4" w:space="1"/>
          <w:left w:val="single" w:color="auto" w:sz="4" w:space="4"/>
          <w:bottom w:val="single" w:color="auto" w:sz="4" w:space="1"/>
          <w:right w:val="single" w:color="auto" w:sz="4" w:space="4"/>
        </w:pBdr>
        <w:overflowPunct/>
        <w:autoSpaceDE/>
        <w:autoSpaceDN/>
        <w:adjustRightInd/>
        <w:spacing w:before="60"/>
        <w:ind w:left="1259" w:firstLine="0"/>
        <w:textAlignment w:val="auto"/>
        <w:rPr>
          <w:rFonts w:hint="eastAsia" w:ascii="Arial" w:hAnsi="Arial" w:eastAsia="Times New Roman" w:cs="Times New Roman"/>
          <w:b w:val="0"/>
          <w:bCs/>
          <w:lang w:val="en-GB" w:eastAsia="ja-JP" w:bidi="ar-SA"/>
        </w:rPr>
      </w:pPr>
      <w:r>
        <w:rPr>
          <w:rFonts w:hint="eastAsia" w:ascii="Arial" w:hAnsi="Arial" w:eastAsia="Times New Roman" w:cs="Times New Roman"/>
          <w:b w:val="0"/>
          <w:bCs/>
          <w:lang w:val="en-GB" w:eastAsia="ja-JP" w:bidi="ar-SA"/>
        </w:rPr>
        <w:t xml:space="preserve">From RAN2 perspective, after initial paging message, the R2D transmission </w:t>
      </w:r>
      <w:r>
        <w:rPr>
          <w:rFonts w:hint="eastAsia" w:ascii="Arial" w:hAnsi="Arial" w:eastAsia="宋体" w:cs="Times New Roman"/>
          <w:b w:val="0"/>
          <w:bCs/>
          <w:lang w:val="en-US" w:eastAsia="zh-CN" w:bidi="ar-SA"/>
        </w:rPr>
        <w:t xml:space="preserve">  </w:t>
      </w:r>
      <w:r>
        <w:rPr>
          <w:rFonts w:hint="eastAsia" w:ascii="Arial" w:hAnsi="Arial" w:eastAsia="Times New Roman" w:cs="Times New Roman"/>
          <w:b w:val="0"/>
          <w:bCs/>
          <w:lang w:val="en-GB" w:eastAsia="ja-JP" w:bidi="ar-SA"/>
        </w:rPr>
        <w:t>which determines the Msg1 resource(s), can be achieved by one of the below two ways, unless RAN1 concludes to use L1 signaling later:</w:t>
      </w:r>
    </w:p>
    <w:p>
      <w:pPr>
        <w:numPr>
          <w:ilvl w:val="-1"/>
          <w:numId w:val="0"/>
        </w:numPr>
        <w:pBdr>
          <w:top w:val="single" w:color="auto" w:sz="4" w:space="1"/>
          <w:left w:val="single" w:color="auto" w:sz="4" w:space="4"/>
          <w:bottom w:val="single" w:color="auto" w:sz="4" w:space="1"/>
          <w:right w:val="single" w:color="auto" w:sz="4" w:space="4"/>
        </w:pBdr>
        <w:overflowPunct/>
        <w:autoSpaceDE/>
        <w:autoSpaceDN/>
        <w:adjustRightInd/>
        <w:spacing w:before="60"/>
        <w:ind w:left="1259" w:firstLine="0"/>
        <w:textAlignment w:val="auto"/>
        <w:rPr>
          <w:rFonts w:hint="eastAsia" w:ascii="Arial" w:hAnsi="Arial" w:eastAsia="Times New Roman" w:cs="Times New Roman"/>
          <w:b w:val="0"/>
          <w:bCs/>
          <w:lang w:val="en-GB" w:eastAsia="ja-JP" w:bidi="ar-SA"/>
        </w:rPr>
      </w:pPr>
      <w:r>
        <w:rPr>
          <w:rFonts w:hint="eastAsia" w:ascii="Arial" w:hAnsi="Arial" w:eastAsia="Times New Roman" w:cs="Times New Roman"/>
          <w:b w:val="0"/>
          <w:bCs/>
          <w:lang w:val="en-GB" w:eastAsia="ja-JP" w:bidi="ar-SA"/>
        </w:rPr>
        <w:t>Way-1: introducing new R2D message other than the paging message, e.g., QueryRep-like; or</w:t>
      </w:r>
    </w:p>
    <w:p>
      <w:pPr>
        <w:numPr>
          <w:ilvl w:val="-1"/>
          <w:numId w:val="0"/>
        </w:numPr>
        <w:pBdr>
          <w:top w:val="single" w:color="auto" w:sz="4" w:space="1"/>
          <w:left w:val="single" w:color="auto" w:sz="4" w:space="4"/>
          <w:bottom w:val="single" w:color="auto" w:sz="4" w:space="1"/>
          <w:right w:val="single" w:color="auto" w:sz="4" w:space="4"/>
        </w:pBdr>
        <w:overflowPunct/>
        <w:autoSpaceDE/>
        <w:autoSpaceDN/>
        <w:adjustRightInd/>
        <w:spacing w:before="60"/>
        <w:ind w:left="1259" w:firstLine="0"/>
        <w:textAlignment w:val="auto"/>
        <w:rPr>
          <w:rFonts w:hint="eastAsia" w:ascii="Arial" w:hAnsi="Arial" w:eastAsia="Times New Roman" w:cs="Times New Roman"/>
          <w:b w:val="0"/>
          <w:bCs/>
          <w:lang w:val="en-GB" w:eastAsia="ja-JP" w:bidi="ar-SA"/>
        </w:rPr>
      </w:pPr>
      <w:r>
        <w:rPr>
          <w:rFonts w:hint="eastAsia" w:ascii="Arial" w:hAnsi="Arial" w:eastAsia="Times New Roman" w:cs="Times New Roman"/>
          <w:b w:val="0"/>
          <w:bCs/>
          <w:lang w:val="en-GB" w:eastAsia="ja-JP" w:bidi="ar-SA"/>
        </w:rPr>
        <w:t>Way-2: reusing the same paging message, using field(s) to indicate it is only to determine the Msg1 resource(s) and omitting the paging identifier (device ID/group ID) field</w:t>
      </w:r>
    </w:p>
    <w:p>
      <w:pPr>
        <w:numPr>
          <w:ilvl w:val="-1"/>
          <w:numId w:val="0"/>
        </w:numPr>
        <w:pBdr>
          <w:top w:val="single" w:color="auto" w:sz="4" w:space="1"/>
          <w:left w:val="single" w:color="auto" w:sz="4" w:space="4"/>
          <w:bottom w:val="single" w:color="auto" w:sz="4" w:space="1"/>
          <w:right w:val="single" w:color="auto" w:sz="4" w:space="4"/>
        </w:pBdr>
        <w:overflowPunct/>
        <w:autoSpaceDE/>
        <w:autoSpaceDN/>
        <w:adjustRightInd/>
        <w:spacing w:before="60" w:after="0"/>
        <w:ind w:left="1259" w:firstLine="0"/>
        <w:textAlignment w:val="auto"/>
        <w:rPr>
          <w:rFonts w:ascii="Arial" w:hAnsi="Arial" w:eastAsia="等线" w:cs="Arial"/>
          <w:szCs w:val="20"/>
        </w:rPr>
      </w:pPr>
      <w:r>
        <w:rPr>
          <w:rFonts w:hint="eastAsia" w:ascii="Arial" w:hAnsi="Arial" w:eastAsia="Times New Roman" w:cs="Times New Roman"/>
          <w:b w:val="0"/>
          <w:bCs/>
          <w:lang w:val="en-GB" w:eastAsia="ja-JP" w:bidi="ar-SA"/>
        </w:rPr>
        <w:t>3. The service type of A-IoT (e.g., inventory only, inventory + command) is not included in paging message.</w:t>
      </w:r>
    </w:p>
    <w:p>
      <w:pPr>
        <w:pStyle w:val="6"/>
        <w:spacing w:before="120"/>
        <w:rPr>
          <w:rFonts w:hint="default" w:ascii="Arial" w:hAnsi="Arial" w:cs="Arial"/>
          <w:szCs w:val="20"/>
          <w:lang w:val="en-US"/>
        </w:rPr>
      </w:pPr>
      <w:r>
        <w:rPr>
          <w:rFonts w:hint="eastAsia" w:ascii="Arial" w:hAnsi="Arial" w:cs="Arial"/>
          <w:szCs w:val="20"/>
        </w:rPr>
        <w:t xml:space="preserve">In this contribution, we provide our views on </w:t>
      </w:r>
      <w:r>
        <w:rPr>
          <w:rFonts w:hint="eastAsia" w:eastAsia="宋体" w:cs="Arial"/>
          <w:szCs w:val="20"/>
          <w:lang w:val="en-US" w:eastAsia="zh-CN"/>
        </w:rPr>
        <w:t>Paging</w:t>
      </w:r>
      <w:r>
        <w:rPr>
          <w:rFonts w:hint="eastAsia" w:ascii="Arial" w:hAnsi="Arial" w:eastAsia="MS Mincho"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r>
        <w:rPr>
          <w:rFonts w:hint="eastAsia" w:cs="Arial"/>
          <w:sz w:val="21"/>
          <w:szCs w:val="20"/>
          <w:lang w:val="en-US" w:eastAsia="zh-CN"/>
        </w:rPr>
        <w:t>.</w:t>
      </w:r>
    </w:p>
    <w:p>
      <w:pPr>
        <w:pStyle w:val="2"/>
        <w:numPr>
          <w:ilvl w:val="0"/>
          <w:numId w:val="3"/>
        </w:numPr>
        <w:ind w:left="360" w:leftChars="0" w:hanging="360" w:firstLineChars="0"/>
        <w:rPr>
          <w:rFonts w:hint="default" w:eastAsia="宋体"/>
          <w:lang w:val="en-US" w:eastAsia="zh-CN"/>
        </w:rPr>
      </w:pPr>
      <w:r>
        <w:t>Discussion</w:t>
      </w:r>
    </w:p>
    <w:p>
      <w:pPr>
        <w:pStyle w:val="3"/>
        <w:keepNext/>
        <w:numPr>
          <w:ilvl w:val="1"/>
          <w:numId w:val="3"/>
        </w:numPr>
        <w:tabs>
          <w:tab w:val="left" w:pos="851"/>
        </w:tabs>
        <w:ind w:left="720" w:hanging="720"/>
        <w:rPr>
          <w:rFonts w:hint="eastAsia"/>
          <w:lang w:val="en-US" w:eastAsia="zh-CN"/>
        </w:rPr>
      </w:pPr>
      <w:r>
        <w:rPr>
          <w:rFonts w:hint="eastAsia"/>
          <w:lang w:val="en-US" w:eastAsia="zh-CN"/>
        </w:rPr>
        <w:t>A-IoT all device paging</w:t>
      </w:r>
    </w:p>
    <w:p>
      <w:pPr>
        <w:rPr>
          <w:rFonts w:hint="default"/>
          <w:lang w:val="en-US" w:eastAsia="zh-CN"/>
        </w:rPr>
      </w:pPr>
      <w:r>
        <w:rPr>
          <w:rFonts w:hint="eastAsia" w:eastAsia="MS Mincho" w:cs="Times New Roman"/>
          <w:sz w:val="20"/>
          <w:szCs w:val="20"/>
          <w:lang w:val="en-US" w:eastAsia="zh-CN"/>
        </w:rPr>
        <w:t xml:space="preserve">It has </w:t>
      </w:r>
      <w:r>
        <w:rPr>
          <w:rFonts w:hint="eastAsia" w:cs="Times New Roman"/>
          <w:sz w:val="20"/>
          <w:szCs w:val="20"/>
          <w:lang w:val="en-US" w:eastAsia="zh-CN"/>
        </w:rPr>
        <w:t>been agreed</w:t>
      </w:r>
      <w:r>
        <w:rPr>
          <w:rFonts w:hint="eastAsia" w:eastAsia="MS Mincho" w:cs="Times New Roman"/>
          <w:sz w:val="20"/>
          <w:szCs w:val="20"/>
          <w:lang w:val="en-US" w:eastAsia="zh-CN"/>
        </w:rPr>
        <w:t xml:space="preserve"> in the WID that A-IoT Paging message contains no identifier will be supported which means all A-IoT devices that can receive the A-IoT paging message need to respond</w:t>
      </w:r>
      <w:r>
        <w:rPr>
          <w:rFonts w:hint="eastAsia" w:cs="Times New Roman"/>
          <w:sz w:val="20"/>
          <w:szCs w:val="20"/>
          <w:lang w:val="en-US" w:eastAsia="zh-CN"/>
        </w:rPr>
        <w:t>.</w:t>
      </w:r>
      <w:r>
        <w:rPr>
          <w:rFonts w:hint="eastAsia" w:eastAsia="宋体"/>
          <w:lang w:val="en-US" w:eastAsia="zh-CN"/>
        </w:rPr>
        <w:t xml:space="preserve"> </w:t>
      </w:r>
      <w:r>
        <w:rPr>
          <w:rFonts w:hint="eastAsia"/>
          <w:lang w:val="en-US" w:eastAsia="zh-CN"/>
        </w:rPr>
        <w:t>Moreover RAN2 has also confirm that slotted-ALOHA is the baseline for A-IoT random access and the A-IoT device will randomly choose a slot based on a Q-like value to access. A appropriate Q-like value is both good for reader</w:t>
      </w:r>
      <w:r>
        <w:rPr>
          <w:rFonts w:hint="default"/>
          <w:lang w:val="en-US" w:eastAsia="zh-CN"/>
        </w:rPr>
        <w:t>’</w:t>
      </w:r>
      <w:r>
        <w:rPr>
          <w:rFonts w:hint="eastAsia"/>
          <w:lang w:val="en-US" w:eastAsia="zh-CN"/>
        </w:rPr>
        <w:t>s resource allocation and device</w:t>
      </w:r>
      <w:r>
        <w:rPr>
          <w:rFonts w:hint="default"/>
          <w:lang w:val="en-US" w:eastAsia="zh-CN"/>
        </w:rPr>
        <w:t>’</w:t>
      </w:r>
      <w:r>
        <w:rPr>
          <w:rFonts w:hint="eastAsia"/>
          <w:lang w:val="en-US" w:eastAsia="zh-CN"/>
        </w:rPr>
        <w:t>s access efficiency. To achieve this, it has been agreed that the approximate number of target devices is considered useful to be visible to the reader from CN. With the approximate number of target devices, the reader can set a appropriate Q-like value. However for all devices paging, if the number of devices is huge, the Q-like value has to be set large enough to avoid conflict. However a large Q-like value may cause resource wasting if many slots are not been selected by devices and may make device wait long if a device selects a large slot. To improve the access efficiency, the multi-round or sub-grouping paging can be considered. For all device paging, if the number of target devices is huge, the devices can be further grouped and the devices only respond to the paging belong to its own round or sub-gruop. For example, the reader can include the number of groups N and the current paging group i in the paging message, the device can choose the paging group index based on the number of group N and its device id, and when the current paging group i in the paging equals its paging group index, it responds to the paging message.</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bookmarkStart w:id="1" w:name="OLE_LINK3"/>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if the number of target devices is huge, multi-round or sub-grouping paging can be considered, t</w:t>
      </w:r>
      <w:r>
        <w:rPr>
          <w:rFonts w:hint="eastAsia" w:ascii="Arial" w:hAnsi="Arial" w:cs="Arial" w:eastAsiaTheme="minorEastAsia"/>
          <w:b/>
          <w:sz w:val="21"/>
          <w:szCs w:val="20"/>
          <w:lang w:val="en-US" w:eastAsia="zh-CN"/>
        </w:rPr>
        <w:t xml:space="preserve">he </w:t>
      </w:r>
      <w:r>
        <w:rPr>
          <w:rFonts w:hint="eastAsia" w:cs="Arial" w:eastAsiaTheme="minorEastAsia"/>
          <w:b/>
          <w:sz w:val="21"/>
          <w:szCs w:val="20"/>
          <w:lang w:val="en-US" w:eastAsia="zh-CN"/>
        </w:rPr>
        <w:t xml:space="preserve">devices </w:t>
      </w:r>
      <w:r>
        <w:rPr>
          <w:rFonts w:hint="eastAsia" w:ascii="Arial" w:hAnsi="Arial" w:cs="Arial" w:eastAsiaTheme="minorEastAsia"/>
          <w:b/>
          <w:sz w:val="21"/>
          <w:szCs w:val="20"/>
          <w:lang w:val="en-US" w:eastAsia="zh-CN"/>
        </w:rPr>
        <w:t xml:space="preserve">only respond to the paging belong to its own </w:t>
      </w:r>
      <w:r>
        <w:rPr>
          <w:rFonts w:hint="eastAsia" w:cs="Arial" w:eastAsiaTheme="minorEastAsia"/>
          <w:b/>
          <w:sz w:val="21"/>
          <w:szCs w:val="20"/>
          <w:lang w:val="en-US" w:eastAsia="zh-CN"/>
        </w:rPr>
        <w:t>round or group.</w:t>
      </w:r>
    </w:p>
    <w:bookmarkEnd w:id="1"/>
    <w:p>
      <w:pPr>
        <w:pStyle w:val="3"/>
        <w:keepNext/>
        <w:numPr>
          <w:ilvl w:val="-1"/>
          <w:numId w:val="0"/>
        </w:numPr>
        <w:tabs>
          <w:tab w:val="left" w:pos="851"/>
        </w:tabs>
        <w:ind w:left="0" w:firstLine="0"/>
        <w:rPr>
          <w:rFonts w:hint="default"/>
          <w:lang w:val="en-US" w:eastAsia="zh-CN"/>
        </w:rPr>
      </w:pPr>
      <w:r>
        <w:rPr>
          <w:rFonts w:hint="eastAsia"/>
          <w:lang w:val="en-US" w:eastAsia="zh-CN"/>
        </w:rPr>
        <w:t>2.2 Simultaneous Paging Procedures</w:t>
      </w:r>
    </w:p>
    <w:p>
      <w:pPr>
        <w:pStyle w:val="6"/>
        <w:keepNext w:val="0"/>
        <w:keepLines w:val="0"/>
        <w:pageBreakBefore w:val="0"/>
        <w:widowControl/>
        <w:kinsoku/>
        <w:wordWrap/>
        <w:overflowPunct/>
        <w:topLinePunct w:val="0"/>
        <w:autoSpaceDE/>
        <w:autoSpaceDN/>
        <w:bidi w:val="0"/>
        <w:adjustRightInd/>
        <w:snapToGrid/>
        <w:spacing w:line="240" w:lineRule="auto"/>
        <w:textAlignment w:val="auto"/>
        <w:rPr>
          <w:rFonts w:hint="default" w:cs="Arial" w:eastAsiaTheme="minorEastAsia"/>
          <w:b w:val="0"/>
          <w:bCs/>
          <w:sz w:val="21"/>
          <w:szCs w:val="20"/>
          <w:lang w:val="en-US" w:eastAsia="zh-CN"/>
        </w:rPr>
      </w:pPr>
      <w:bookmarkStart w:id="2" w:name="OLE_LINK2"/>
      <w:r>
        <w:rPr>
          <w:rFonts w:hint="eastAsia" w:cs="Arial" w:eastAsiaTheme="minorEastAsia"/>
          <w:b w:val="0"/>
          <w:bCs/>
          <w:sz w:val="21"/>
          <w:szCs w:val="20"/>
          <w:lang w:val="en-US" w:eastAsia="zh-CN"/>
        </w:rPr>
        <w:t>In last meeting the simultaneous paging is discussed and made the agreement that parallel service requests by the same reader is not supported and the device is expected to only perform one procedure at a time, FFS device behaviour if multiple requests are received in parallel. In the offline email discussing, the cases are divided into 2 scenarios: the requests are from the same reader or different reader, the requests are the same service request or different service request. First of all ,from our understanding as we has already agreed parallel service requests by the same reader is not supported, so a smart reader will not request a service when there is a ongoing one no matter the service is a different or a same one. So we can make a assumption that if there is another service request when the device is in a ongoing procedure, the service request is from a different reader. Regarding the device behaviour if the requests are the same service request or different service request. We think that we should follow the agreement that if the service request is the same one(thus have the same transaction ID), the device ignores the request. If the service request is the new one(thus have the new transaction ID) when there is an ongoing procedure the device follows the latest one. The device decides whether to respond the service request(paging message) only based on the transaction ID is a same or new one.</w:t>
      </w:r>
    </w:p>
    <w:p>
      <w:pPr>
        <w:pStyle w:val="6"/>
        <w:keepNext w:val="0"/>
        <w:keepLines w:val="0"/>
        <w:pageBreakBefore w:val="0"/>
        <w:widowControl/>
        <w:kinsoku/>
        <w:wordWrap/>
        <w:overflowPunct/>
        <w:topLinePunct w:val="0"/>
        <w:autoSpaceDE/>
        <w:autoSpaceDN/>
        <w:bidi w:val="0"/>
        <w:adjustRightInd/>
        <w:snapToGrid/>
        <w:spacing w:before="313" w:beforeLines="100" w:after="0" w:afterLines="-2147483648" w:line="240" w:lineRule="auto"/>
        <w:textAlignment w:val="auto"/>
        <w:rPr>
          <w:rFonts w:hint="eastAsia" w:cs="Arial" w:eastAsiaTheme="minorEastAsia"/>
          <w:b/>
          <w:sz w:val="21"/>
          <w:szCs w:val="20"/>
          <w:lang w:val="en-US" w:eastAsia="zh-CN"/>
        </w:rPr>
      </w:pPr>
      <w:bookmarkStart w:id="3" w:name="OLE_LINK1"/>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bookmarkEnd w:id="3"/>
      <w:r>
        <w:rPr>
          <w:rFonts w:hint="eastAsia" w:cs="Arial" w:eastAsiaTheme="minorEastAsia"/>
          <w:b/>
          <w:sz w:val="21"/>
          <w:szCs w:val="20"/>
          <w:lang w:val="en-US" w:eastAsia="zh-CN"/>
        </w:rPr>
        <w:t xml:space="preserve"> RAN2 to make a assumption that if the device receives a service request(paging message) when there is an ongoing procedure, the service request is from a different reader.</w:t>
      </w:r>
    </w:p>
    <w:p>
      <w:pPr>
        <w:pStyle w:val="6"/>
        <w:keepNext w:val="0"/>
        <w:keepLines w:val="0"/>
        <w:pageBreakBefore w:val="0"/>
        <w:widowControl/>
        <w:kinsoku/>
        <w:wordWrap/>
        <w:overflowPunct/>
        <w:topLinePunct w:val="0"/>
        <w:autoSpaceDE/>
        <w:autoSpaceDN/>
        <w:bidi w:val="0"/>
        <w:adjustRightInd/>
        <w:snapToGrid/>
        <w:spacing w:before="313" w:beforeLines="100" w:after="313" w:afterLines="100" w:line="240" w:lineRule="auto"/>
        <w:textAlignment w:val="auto"/>
        <w:rPr>
          <w:rFonts w:hint="default"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only response the service request if the transaction ID is different from the previous/current one.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sz w:val="21"/>
          <w:szCs w:val="20"/>
          <w:lang w:val="en-US" w:eastAsia="zh-CN"/>
        </w:rPr>
      </w:pPr>
    </w:p>
    <w:bookmarkEnd w:id="2"/>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A-IoT paging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after="0" w:afterLines="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if the number of target devices is huge, the multi-round paging can be considered, t</w:t>
      </w:r>
      <w:r>
        <w:rPr>
          <w:rFonts w:hint="eastAsia" w:ascii="Arial" w:hAnsi="Arial" w:cs="Arial" w:eastAsiaTheme="minorEastAsia"/>
          <w:b/>
          <w:sz w:val="21"/>
          <w:szCs w:val="20"/>
          <w:lang w:val="en-US" w:eastAsia="zh-CN"/>
        </w:rPr>
        <w:t xml:space="preserve">he </w:t>
      </w:r>
      <w:r>
        <w:rPr>
          <w:rFonts w:hint="eastAsia" w:cs="Arial" w:eastAsiaTheme="minorEastAsia"/>
          <w:b/>
          <w:sz w:val="21"/>
          <w:szCs w:val="20"/>
          <w:lang w:val="en-US" w:eastAsia="zh-CN"/>
        </w:rPr>
        <w:t xml:space="preserve">devices </w:t>
      </w:r>
      <w:r>
        <w:rPr>
          <w:rFonts w:hint="eastAsia" w:ascii="Arial" w:hAnsi="Arial" w:cs="Arial" w:eastAsiaTheme="minorEastAsia"/>
          <w:b/>
          <w:sz w:val="21"/>
          <w:szCs w:val="20"/>
          <w:lang w:val="en-US" w:eastAsia="zh-CN"/>
        </w:rPr>
        <w:t xml:space="preserve">only respond to the paging belong to its own </w:t>
      </w:r>
      <w:r>
        <w:rPr>
          <w:rFonts w:hint="eastAsia" w:cs="Arial" w:eastAsiaTheme="minorEastAsia"/>
          <w:b/>
          <w:sz w:val="21"/>
          <w:szCs w:val="20"/>
          <w:lang w:val="en-US" w:eastAsia="zh-CN"/>
        </w:rPr>
        <w:t>round.</w:t>
      </w:r>
    </w:p>
    <w:p>
      <w:pPr>
        <w:pStyle w:val="6"/>
        <w:keepNext w:val="0"/>
        <w:keepLines w:val="0"/>
        <w:pageBreakBefore w:val="0"/>
        <w:widowControl/>
        <w:kinsoku/>
        <w:wordWrap/>
        <w:overflowPunct/>
        <w:topLinePunct w:val="0"/>
        <w:autoSpaceDE/>
        <w:autoSpaceDN/>
        <w:bidi w:val="0"/>
        <w:adjustRightInd/>
        <w:snapToGrid/>
        <w:spacing w:before="313" w:beforeLines="100" w:after="0" w:afterLines="-2147483648" w:line="24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2</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 xml:space="preserve"> RAN2 to make a assumption that if the device receives a service request(paging message) when there is an ongoing procedure, the service request is from a different reader.</w:t>
      </w:r>
    </w:p>
    <w:p>
      <w:pPr>
        <w:pStyle w:val="6"/>
        <w:keepNext w:val="0"/>
        <w:keepLines w:val="0"/>
        <w:pageBreakBefore w:val="0"/>
        <w:widowControl/>
        <w:kinsoku/>
        <w:wordWrap/>
        <w:overflowPunct/>
        <w:topLinePunct w:val="0"/>
        <w:autoSpaceDE/>
        <w:autoSpaceDN/>
        <w:bidi w:val="0"/>
        <w:adjustRightInd/>
        <w:snapToGrid/>
        <w:spacing w:before="313" w:beforeLines="100" w:after="313" w:afterLines="100" w:line="240" w:lineRule="auto"/>
        <w:textAlignment w:val="auto"/>
        <w:rPr>
          <w:rFonts w:hint="default"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3</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The device only response the service request if the transaction ID is different from the previous/current one.</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7"/>
        </w:numPr>
        <w:spacing w:after="0"/>
        <w:jc w:val="both"/>
        <w:rPr>
          <w:rFonts w:hint="default"/>
          <w:sz w:val="22"/>
          <w:szCs w:val="22"/>
          <w:lang w:val="en-US"/>
        </w:rPr>
      </w:pPr>
      <w:r>
        <w:rPr>
          <w:rFonts w:hint="default" w:eastAsia="宋体"/>
          <w:sz w:val="22"/>
          <w:szCs w:val="22"/>
          <w:lang w:val="en-US" w:eastAsia="zh-CN"/>
        </w:rPr>
        <w:t>“Draft_RAN2_129_Meeting_Report_v3”</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46682F"/>
    <w:multiLevelType w:val="singleLevel"/>
    <w:tmpl w:val="EC46682F"/>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2">
    <w:nsid w:val="10251F83"/>
    <w:multiLevelType w:val="multilevel"/>
    <w:tmpl w:val="10251F83"/>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91203B1"/>
    <w:multiLevelType w:val="multilevel"/>
    <w:tmpl w:val="491203B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5">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5"/>
  </w:num>
  <w:num w:numId="4">
    <w:abstractNumId w:val="2"/>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B9779A"/>
    <w:rsid w:val="00D10BDD"/>
    <w:rsid w:val="00E21B0B"/>
    <w:rsid w:val="00E72B48"/>
    <w:rsid w:val="01462A03"/>
    <w:rsid w:val="01683B44"/>
    <w:rsid w:val="016D2429"/>
    <w:rsid w:val="017625C7"/>
    <w:rsid w:val="018742E3"/>
    <w:rsid w:val="0187503E"/>
    <w:rsid w:val="01BC413C"/>
    <w:rsid w:val="02090656"/>
    <w:rsid w:val="026B101C"/>
    <w:rsid w:val="026D6078"/>
    <w:rsid w:val="02A060A9"/>
    <w:rsid w:val="02F16840"/>
    <w:rsid w:val="03290742"/>
    <w:rsid w:val="03FA4B3F"/>
    <w:rsid w:val="0441406B"/>
    <w:rsid w:val="049342E7"/>
    <w:rsid w:val="04A63BBE"/>
    <w:rsid w:val="04BA00BC"/>
    <w:rsid w:val="04EA35DE"/>
    <w:rsid w:val="05A17499"/>
    <w:rsid w:val="05F02177"/>
    <w:rsid w:val="063E6DCB"/>
    <w:rsid w:val="06A279E5"/>
    <w:rsid w:val="06AD14D1"/>
    <w:rsid w:val="0729485D"/>
    <w:rsid w:val="074434AD"/>
    <w:rsid w:val="077E1DF5"/>
    <w:rsid w:val="08705469"/>
    <w:rsid w:val="0871778C"/>
    <w:rsid w:val="08CB3099"/>
    <w:rsid w:val="09242B66"/>
    <w:rsid w:val="09915223"/>
    <w:rsid w:val="09AA20D3"/>
    <w:rsid w:val="09C8159B"/>
    <w:rsid w:val="0A083CCF"/>
    <w:rsid w:val="0A296EBB"/>
    <w:rsid w:val="0A4D5DE4"/>
    <w:rsid w:val="0A6B1965"/>
    <w:rsid w:val="0AAF1D24"/>
    <w:rsid w:val="0B5A15F4"/>
    <w:rsid w:val="0C480592"/>
    <w:rsid w:val="0C8A04EF"/>
    <w:rsid w:val="0C8B3F6C"/>
    <w:rsid w:val="0CDF38AA"/>
    <w:rsid w:val="0CFB2676"/>
    <w:rsid w:val="0D086537"/>
    <w:rsid w:val="0D245A9E"/>
    <w:rsid w:val="0D6C62FD"/>
    <w:rsid w:val="0D701E08"/>
    <w:rsid w:val="0D840B99"/>
    <w:rsid w:val="0D887010"/>
    <w:rsid w:val="0DAF7C6F"/>
    <w:rsid w:val="0DE169FC"/>
    <w:rsid w:val="0E345E33"/>
    <w:rsid w:val="0EE73CC1"/>
    <w:rsid w:val="0F054467"/>
    <w:rsid w:val="0F711142"/>
    <w:rsid w:val="0F846F16"/>
    <w:rsid w:val="0F970BC8"/>
    <w:rsid w:val="0FF1497D"/>
    <w:rsid w:val="102E458D"/>
    <w:rsid w:val="10664121"/>
    <w:rsid w:val="107078FB"/>
    <w:rsid w:val="10D97A01"/>
    <w:rsid w:val="10F5590A"/>
    <w:rsid w:val="10F9442F"/>
    <w:rsid w:val="11051868"/>
    <w:rsid w:val="110E3FBC"/>
    <w:rsid w:val="1259446D"/>
    <w:rsid w:val="12CA4226"/>
    <w:rsid w:val="134C4354"/>
    <w:rsid w:val="13D7274C"/>
    <w:rsid w:val="14161B3C"/>
    <w:rsid w:val="142030D3"/>
    <w:rsid w:val="148B0721"/>
    <w:rsid w:val="14EE3856"/>
    <w:rsid w:val="151764BF"/>
    <w:rsid w:val="152D3A5B"/>
    <w:rsid w:val="16162911"/>
    <w:rsid w:val="161A2980"/>
    <w:rsid w:val="16231D84"/>
    <w:rsid w:val="166A6E0A"/>
    <w:rsid w:val="16AF5E9F"/>
    <w:rsid w:val="16DE6476"/>
    <w:rsid w:val="16FF7648"/>
    <w:rsid w:val="172B15A5"/>
    <w:rsid w:val="17A24952"/>
    <w:rsid w:val="17AE7B7C"/>
    <w:rsid w:val="17C0415C"/>
    <w:rsid w:val="17E44D5C"/>
    <w:rsid w:val="18891BE5"/>
    <w:rsid w:val="18C4408C"/>
    <w:rsid w:val="18FE5245"/>
    <w:rsid w:val="19033124"/>
    <w:rsid w:val="190C3624"/>
    <w:rsid w:val="190D1A9F"/>
    <w:rsid w:val="19120992"/>
    <w:rsid w:val="192B61EE"/>
    <w:rsid w:val="19CF1F1C"/>
    <w:rsid w:val="19FC3902"/>
    <w:rsid w:val="1A174811"/>
    <w:rsid w:val="1A261530"/>
    <w:rsid w:val="1B0106E1"/>
    <w:rsid w:val="1B4F2E04"/>
    <w:rsid w:val="1B5D02DF"/>
    <w:rsid w:val="1B76390C"/>
    <w:rsid w:val="1B7F05AA"/>
    <w:rsid w:val="1BB5656E"/>
    <w:rsid w:val="1C651C0C"/>
    <w:rsid w:val="1D5C422C"/>
    <w:rsid w:val="1D72553F"/>
    <w:rsid w:val="1D7F0245"/>
    <w:rsid w:val="1D954E58"/>
    <w:rsid w:val="1D9D4FE7"/>
    <w:rsid w:val="1DB61295"/>
    <w:rsid w:val="1E7A7055"/>
    <w:rsid w:val="1E837BE2"/>
    <w:rsid w:val="1EA02D2C"/>
    <w:rsid w:val="1EDC632D"/>
    <w:rsid w:val="1FF75154"/>
    <w:rsid w:val="205D2601"/>
    <w:rsid w:val="20EA0B5E"/>
    <w:rsid w:val="21150F4A"/>
    <w:rsid w:val="21272772"/>
    <w:rsid w:val="217D10FE"/>
    <w:rsid w:val="218C3C37"/>
    <w:rsid w:val="21A07045"/>
    <w:rsid w:val="21DC5F44"/>
    <w:rsid w:val="21EA7E73"/>
    <w:rsid w:val="22846486"/>
    <w:rsid w:val="22927389"/>
    <w:rsid w:val="22E661B8"/>
    <w:rsid w:val="22ED4EA9"/>
    <w:rsid w:val="2311372E"/>
    <w:rsid w:val="23313175"/>
    <w:rsid w:val="236F4355"/>
    <w:rsid w:val="24980A44"/>
    <w:rsid w:val="24F831F6"/>
    <w:rsid w:val="253A0CB4"/>
    <w:rsid w:val="253F3B36"/>
    <w:rsid w:val="255A0D1D"/>
    <w:rsid w:val="258E2521"/>
    <w:rsid w:val="25A657FD"/>
    <w:rsid w:val="25BC78D5"/>
    <w:rsid w:val="25C95136"/>
    <w:rsid w:val="25DF25F3"/>
    <w:rsid w:val="25E27EEA"/>
    <w:rsid w:val="2653352F"/>
    <w:rsid w:val="26F5334E"/>
    <w:rsid w:val="27264053"/>
    <w:rsid w:val="273F71A1"/>
    <w:rsid w:val="275F2582"/>
    <w:rsid w:val="276944B2"/>
    <w:rsid w:val="287B00A7"/>
    <w:rsid w:val="29260DD4"/>
    <w:rsid w:val="2941444C"/>
    <w:rsid w:val="29523E43"/>
    <w:rsid w:val="2982756F"/>
    <w:rsid w:val="299E3F8A"/>
    <w:rsid w:val="2ABE6C52"/>
    <w:rsid w:val="2ABF7B59"/>
    <w:rsid w:val="2B1B06C1"/>
    <w:rsid w:val="2B1B574F"/>
    <w:rsid w:val="2B214053"/>
    <w:rsid w:val="2BAE0628"/>
    <w:rsid w:val="2C151E25"/>
    <w:rsid w:val="2C882B47"/>
    <w:rsid w:val="2CFA3372"/>
    <w:rsid w:val="2D64575D"/>
    <w:rsid w:val="2ECA078E"/>
    <w:rsid w:val="2EDC2122"/>
    <w:rsid w:val="2EEC38EF"/>
    <w:rsid w:val="2F264722"/>
    <w:rsid w:val="2F4F1C42"/>
    <w:rsid w:val="2FCB0EFA"/>
    <w:rsid w:val="3038562B"/>
    <w:rsid w:val="30605E40"/>
    <w:rsid w:val="306127E8"/>
    <w:rsid w:val="307C700A"/>
    <w:rsid w:val="30F35CF8"/>
    <w:rsid w:val="31111AB1"/>
    <w:rsid w:val="315E520F"/>
    <w:rsid w:val="3168677E"/>
    <w:rsid w:val="319D2E0A"/>
    <w:rsid w:val="31DF49EE"/>
    <w:rsid w:val="31F027DF"/>
    <w:rsid w:val="321F3E3D"/>
    <w:rsid w:val="329F15E7"/>
    <w:rsid w:val="32BB6C22"/>
    <w:rsid w:val="33031B19"/>
    <w:rsid w:val="33DE5E56"/>
    <w:rsid w:val="34682BF9"/>
    <w:rsid w:val="34FC34CD"/>
    <w:rsid w:val="354C6CDB"/>
    <w:rsid w:val="35592207"/>
    <w:rsid w:val="35A73E89"/>
    <w:rsid w:val="36040465"/>
    <w:rsid w:val="36913EB9"/>
    <w:rsid w:val="36E43987"/>
    <w:rsid w:val="37F326F9"/>
    <w:rsid w:val="381758AE"/>
    <w:rsid w:val="38263F63"/>
    <w:rsid w:val="38277C4F"/>
    <w:rsid w:val="387554D3"/>
    <w:rsid w:val="3885080A"/>
    <w:rsid w:val="38A038DB"/>
    <w:rsid w:val="38A75C86"/>
    <w:rsid w:val="38AA0169"/>
    <w:rsid w:val="38B33F69"/>
    <w:rsid w:val="39E010B6"/>
    <w:rsid w:val="39EF7A8E"/>
    <w:rsid w:val="3A34153B"/>
    <w:rsid w:val="3A3F7324"/>
    <w:rsid w:val="3A7C338E"/>
    <w:rsid w:val="3AC13929"/>
    <w:rsid w:val="3AD24A89"/>
    <w:rsid w:val="3B026B89"/>
    <w:rsid w:val="3B7F12E7"/>
    <w:rsid w:val="3BC407B7"/>
    <w:rsid w:val="3BD561D8"/>
    <w:rsid w:val="3BE31C32"/>
    <w:rsid w:val="3BE67712"/>
    <w:rsid w:val="3C752CAA"/>
    <w:rsid w:val="3C872072"/>
    <w:rsid w:val="3C93695A"/>
    <w:rsid w:val="3CCB7931"/>
    <w:rsid w:val="3CCF2B82"/>
    <w:rsid w:val="3D064EB3"/>
    <w:rsid w:val="3DD41740"/>
    <w:rsid w:val="3E864E05"/>
    <w:rsid w:val="3F211A45"/>
    <w:rsid w:val="3F3A2108"/>
    <w:rsid w:val="3F3C3648"/>
    <w:rsid w:val="402D6EED"/>
    <w:rsid w:val="40572BA6"/>
    <w:rsid w:val="40575782"/>
    <w:rsid w:val="405B3D86"/>
    <w:rsid w:val="40987E39"/>
    <w:rsid w:val="41A229C0"/>
    <w:rsid w:val="41FA152C"/>
    <w:rsid w:val="421B5540"/>
    <w:rsid w:val="427F40C3"/>
    <w:rsid w:val="42B641B0"/>
    <w:rsid w:val="433F51D5"/>
    <w:rsid w:val="4379118C"/>
    <w:rsid w:val="43F1148F"/>
    <w:rsid w:val="440B0F36"/>
    <w:rsid w:val="446E3F52"/>
    <w:rsid w:val="44724F1D"/>
    <w:rsid w:val="448E1E9E"/>
    <w:rsid w:val="44B81D93"/>
    <w:rsid w:val="44D90FC8"/>
    <w:rsid w:val="44DD285F"/>
    <w:rsid w:val="44F70184"/>
    <w:rsid w:val="45052547"/>
    <w:rsid w:val="45581B60"/>
    <w:rsid w:val="457B016E"/>
    <w:rsid w:val="45982D3F"/>
    <w:rsid w:val="45AE5EB3"/>
    <w:rsid w:val="466B78DE"/>
    <w:rsid w:val="47755220"/>
    <w:rsid w:val="47B4251A"/>
    <w:rsid w:val="47B61984"/>
    <w:rsid w:val="47CC5B84"/>
    <w:rsid w:val="47DB3B84"/>
    <w:rsid w:val="48224C4E"/>
    <w:rsid w:val="48771FF6"/>
    <w:rsid w:val="48D47265"/>
    <w:rsid w:val="497A2805"/>
    <w:rsid w:val="49894B23"/>
    <w:rsid w:val="49AD48BF"/>
    <w:rsid w:val="4A212B31"/>
    <w:rsid w:val="4A475B7C"/>
    <w:rsid w:val="4A4C681A"/>
    <w:rsid w:val="4A4D723F"/>
    <w:rsid w:val="4A892E1A"/>
    <w:rsid w:val="4B936CA1"/>
    <w:rsid w:val="4BA75289"/>
    <w:rsid w:val="4CA501B4"/>
    <w:rsid w:val="4CEB22EC"/>
    <w:rsid w:val="4CEB6606"/>
    <w:rsid w:val="4DBA64D0"/>
    <w:rsid w:val="4DC01E5E"/>
    <w:rsid w:val="4DE56289"/>
    <w:rsid w:val="4E5308E7"/>
    <w:rsid w:val="4EF2504D"/>
    <w:rsid w:val="4F305F01"/>
    <w:rsid w:val="4FC5637B"/>
    <w:rsid w:val="4FE74116"/>
    <w:rsid w:val="50486FE9"/>
    <w:rsid w:val="505952FE"/>
    <w:rsid w:val="505D4828"/>
    <w:rsid w:val="507F10B4"/>
    <w:rsid w:val="512637BE"/>
    <w:rsid w:val="51292B01"/>
    <w:rsid w:val="512C578B"/>
    <w:rsid w:val="513F69E1"/>
    <w:rsid w:val="51B82F80"/>
    <w:rsid w:val="52731D06"/>
    <w:rsid w:val="529A7957"/>
    <w:rsid w:val="535C68D4"/>
    <w:rsid w:val="53EA6F9A"/>
    <w:rsid w:val="53F070C1"/>
    <w:rsid w:val="545D2BA8"/>
    <w:rsid w:val="54A934E9"/>
    <w:rsid w:val="54F44BA6"/>
    <w:rsid w:val="55983F91"/>
    <w:rsid w:val="55B4202C"/>
    <w:rsid w:val="55C500DF"/>
    <w:rsid w:val="55DA4CD9"/>
    <w:rsid w:val="566863C1"/>
    <w:rsid w:val="56870F30"/>
    <w:rsid w:val="569228A9"/>
    <w:rsid w:val="56F007AB"/>
    <w:rsid w:val="5731633C"/>
    <w:rsid w:val="583140F1"/>
    <w:rsid w:val="58774338"/>
    <w:rsid w:val="58E619F6"/>
    <w:rsid w:val="590A569E"/>
    <w:rsid w:val="59BE34E8"/>
    <w:rsid w:val="59F90CBF"/>
    <w:rsid w:val="5A0B65E0"/>
    <w:rsid w:val="5A4B4D4E"/>
    <w:rsid w:val="5A6C32D7"/>
    <w:rsid w:val="5AA50E0C"/>
    <w:rsid w:val="5B854011"/>
    <w:rsid w:val="5BCF629C"/>
    <w:rsid w:val="5C081964"/>
    <w:rsid w:val="5C5D662E"/>
    <w:rsid w:val="5D1B6016"/>
    <w:rsid w:val="5D53233E"/>
    <w:rsid w:val="5D54635C"/>
    <w:rsid w:val="5D5B1B63"/>
    <w:rsid w:val="5D663CA7"/>
    <w:rsid w:val="5E032063"/>
    <w:rsid w:val="5E0C53FA"/>
    <w:rsid w:val="5E3C4F06"/>
    <w:rsid w:val="5E537C9D"/>
    <w:rsid w:val="5E660896"/>
    <w:rsid w:val="5EA25936"/>
    <w:rsid w:val="5EA33FAB"/>
    <w:rsid w:val="5EE34F16"/>
    <w:rsid w:val="5EF55435"/>
    <w:rsid w:val="5EF7417A"/>
    <w:rsid w:val="5F313438"/>
    <w:rsid w:val="5F3A2579"/>
    <w:rsid w:val="5F3F1385"/>
    <w:rsid w:val="5FB546F2"/>
    <w:rsid w:val="5FBE6E63"/>
    <w:rsid w:val="5FD22A90"/>
    <w:rsid w:val="60507E6D"/>
    <w:rsid w:val="6090406B"/>
    <w:rsid w:val="61662F00"/>
    <w:rsid w:val="61B805F3"/>
    <w:rsid w:val="6227137B"/>
    <w:rsid w:val="62750521"/>
    <w:rsid w:val="62E378E6"/>
    <w:rsid w:val="63107C4E"/>
    <w:rsid w:val="636359AC"/>
    <w:rsid w:val="64082F38"/>
    <w:rsid w:val="64246DD5"/>
    <w:rsid w:val="64376585"/>
    <w:rsid w:val="643816EF"/>
    <w:rsid w:val="6442112C"/>
    <w:rsid w:val="646D6FF1"/>
    <w:rsid w:val="64CC3670"/>
    <w:rsid w:val="64D627EE"/>
    <w:rsid w:val="64E400F0"/>
    <w:rsid w:val="65487255"/>
    <w:rsid w:val="655855F6"/>
    <w:rsid w:val="6574461E"/>
    <w:rsid w:val="658646E8"/>
    <w:rsid w:val="65A33A9F"/>
    <w:rsid w:val="65C620D8"/>
    <w:rsid w:val="662919EF"/>
    <w:rsid w:val="662D4756"/>
    <w:rsid w:val="668F0881"/>
    <w:rsid w:val="66EE5EB2"/>
    <w:rsid w:val="66F14584"/>
    <w:rsid w:val="67501472"/>
    <w:rsid w:val="67526135"/>
    <w:rsid w:val="676E35D8"/>
    <w:rsid w:val="6770270C"/>
    <w:rsid w:val="67934F03"/>
    <w:rsid w:val="67E57609"/>
    <w:rsid w:val="67FC5648"/>
    <w:rsid w:val="68136DF9"/>
    <w:rsid w:val="68467009"/>
    <w:rsid w:val="685A4CFC"/>
    <w:rsid w:val="68767861"/>
    <w:rsid w:val="68835C7D"/>
    <w:rsid w:val="68843869"/>
    <w:rsid w:val="68B056ED"/>
    <w:rsid w:val="68D74AB5"/>
    <w:rsid w:val="69957377"/>
    <w:rsid w:val="6A1D554E"/>
    <w:rsid w:val="6A227A14"/>
    <w:rsid w:val="6A2A1BFB"/>
    <w:rsid w:val="6B230E25"/>
    <w:rsid w:val="6B5F3459"/>
    <w:rsid w:val="6BBD35E1"/>
    <w:rsid w:val="6BD84F85"/>
    <w:rsid w:val="6D186743"/>
    <w:rsid w:val="6D657093"/>
    <w:rsid w:val="6D912D15"/>
    <w:rsid w:val="6DB773DA"/>
    <w:rsid w:val="6DC32F00"/>
    <w:rsid w:val="6DF3417E"/>
    <w:rsid w:val="6F7A7829"/>
    <w:rsid w:val="6F8945E5"/>
    <w:rsid w:val="6FA206B9"/>
    <w:rsid w:val="7000610B"/>
    <w:rsid w:val="701647AB"/>
    <w:rsid w:val="70DA0C2F"/>
    <w:rsid w:val="70F449A8"/>
    <w:rsid w:val="71526A6E"/>
    <w:rsid w:val="71E9466D"/>
    <w:rsid w:val="728F5634"/>
    <w:rsid w:val="72DA7BC8"/>
    <w:rsid w:val="73102170"/>
    <w:rsid w:val="73297196"/>
    <w:rsid w:val="732F74F2"/>
    <w:rsid w:val="733629F2"/>
    <w:rsid w:val="73510555"/>
    <w:rsid w:val="736B747C"/>
    <w:rsid w:val="736F3978"/>
    <w:rsid w:val="7377058B"/>
    <w:rsid w:val="739F626B"/>
    <w:rsid w:val="740E42DE"/>
    <w:rsid w:val="744E78C9"/>
    <w:rsid w:val="74FE2154"/>
    <w:rsid w:val="7541042C"/>
    <w:rsid w:val="755D5E57"/>
    <w:rsid w:val="758B55DE"/>
    <w:rsid w:val="75AB68F1"/>
    <w:rsid w:val="75D904B6"/>
    <w:rsid w:val="75E80709"/>
    <w:rsid w:val="762B57C5"/>
    <w:rsid w:val="767E3B53"/>
    <w:rsid w:val="76C51939"/>
    <w:rsid w:val="77E058FB"/>
    <w:rsid w:val="78071F72"/>
    <w:rsid w:val="786414B4"/>
    <w:rsid w:val="78774C15"/>
    <w:rsid w:val="78827AE1"/>
    <w:rsid w:val="78AE26CF"/>
    <w:rsid w:val="799465E1"/>
    <w:rsid w:val="79A36E38"/>
    <w:rsid w:val="79AD14BA"/>
    <w:rsid w:val="79D04B7D"/>
    <w:rsid w:val="79D35A65"/>
    <w:rsid w:val="79DF4049"/>
    <w:rsid w:val="7A102ABD"/>
    <w:rsid w:val="7A2F2424"/>
    <w:rsid w:val="7A5050C2"/>
    <w:rsid w:val="7B24076C"/>
    <w:rsid w:val="7B764BBF"/>
    <w:rsid w:val="7B7A37E2"/>
    <w:rsid w:val="7B84483F"/>
    <w:rsid w:val="7C1164A2"/>
    <w:rsid w:val="7C355074"/>
    <w:rsid w:val="7C5B2870"/>
    <w:rsid w:val="7CB35C3C"/>
    <w:rsid w:val="7CB960BC"/>
    <w:rsid w:val="7D017E8E"/>
    <w:rsid w:val="7D3C12C6"/>
    <w:rsid w:val="7D6C29A9"/>
    <w:rsid w:val="7D876979"/>
    <w:rsid w:val="7DCB2B8A"/>
    <w:rsid w:val="7DDD21DB"/>
    <w:rsid w:val="7EA24DF3"/>
    <w:rsid w:val="7EAD531F"/>
    <w:rsid w:val="7EB6157B"/>
    <w:rsid w:val="7EC76F8B"/>
    <w:rsid w:val="7ED27CCA"/>
    <w:rsid w:val="7F25430C"/>
    <w:rsid w:val="7F7427E3"/>
    <w:rsid w:val="7FE90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link w:val="27"/>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 w:type="paragraph" w:customStyle="1" w:styleId="26">
    <w:name w:val="Doc-title"/>
    <w:basedOn w:val="1"/>
    <w:next w:val="16"/>
    <w:qFormat/>
    <w:uiPriority w:val="0"/>
    <w:pPr>
      <w:spacing w:before="60"/>
      <w:ind w:left="1259" w:hanging="1259"/>
    </w:pPr>
  </w:style>
  <w:style w:type="character" w:customStyle="1" w:styleId="27">
    <w:name w:val="标题 1 Char"/>
    <w:link w:val="2"/>
    <w:uiPriority w:val="0"/>
    <w:rPr>
      <w:rFonts w:ascii="Arial" w:hAnsi="Arial" w:eastAsia="MS Mincho" w:cs="Arial"/>
      <w:sz w:val="36"/>
      <w:szCs w:val="36"/>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Transsion-ww</cp:lastModifiedBy>
  <dcterms:modified xsi:type="dcterms:W3CDTF">2025-03-27T11:04:35Z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