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BB28" w14:textId="77777777" w:rsidR="009602EA" w:rsidRDefault="009602EA" w:rsidP="001669B4">
      <w:pPr>
        <w:jc w:val="both"/>
      </w:pPr>
    </w:p>
    <w:p w14:paraId="5817B6F6" w14:textId="03AEA91D" w:rsidR="00EF3FEE" w:rsidRDefault="00EF3FEE" w:rsidP="001669B4">
      <w:pPr>
        <w:tabs>
          <w:tab w:val="left" w:pos="1985"/>
        </w:tabs>
        <w:spacing w:after="0"/>
        <w:ind w:left="2040" w:hangingChars="850" w:hanging="2040"/>
        <w:jc w:val="both"/>
        <w:rPr>
          <w:rFonts w:ascii="Arial" w:eastAsia="Malgun Gothic" w:hAnsi="Arial"/>
          <w:b/>
          <w:sz w:val="24"/>
          <w:lang w:eastAsia="en-US"/>
        </w:rPr>
      </w:pPr>
      <w:r w:rsidRPr="001E492F">
        <w:rPr>
          <w:rFonts w:ascii="Arial" w:eastAsia="Malgun Gothic" w:hAnsi="Arial"/>
          <w:b/>
          <w:sz w:val="24"/>
          <w:lang w:eastAsia="en-US"/>
        </w:rPr>
        <w:t>3GPP TSG-RAN WG2 Meeting #</w:t>
      </w:r>
      <w:r>
        <w:rPr>
          <w:rFonts w:ascii="Arial" w:eastAsia="Malgun Gothic" w:hAnsi="Arial"/>
          <w:b/>
          <w:sz w:val="24"/>
          <w:lang w:eastAsia="en-US"/>
        </w:rPr>
        <w:t>129</w:t>
      </w:r>
      <w:r w:rsidR="00B97A51">
        <w:rPr>
          <w:rFonts w:ascii="Arial" w:eastAsia="Malgun Gothic" w:hAnsi="Arial"/>
          <w:b/>
          <w:sz w:val="24"/>
          <w:lang w:eastAsia="en-US"/>
        </w:rPr>
        <w:t>bis</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Pr="001E492F">
        <w:rPr>
          <w:rFonts w:ascii="Arial" w:eastAsia="Malgun Gothic" w:hAnsi="Arial"/>
          <w:b/>
          <w:sz w:val="24"/>
          <w:lang w:eastAsia="en-US"/>
        </w:rPr>
        <w:tab/>
      </w:r>
      <w:r w:rsidR="00E77BFC">
        <w:rPr>
          <w:rFonts w:ascii="Arial" w:eastAsia="Malgun Gothic" w:hAnsi="Arial"/>
          <w:b/>
          <w:sz w:val="24"/>
          <w:lang w:eastAsia="en-US"/>
        </w:rPr>
        <w:t xml:space="preserve">           </w:t>
      </w:r>
      <w:r w:rsidR="00751490" w:rsidRPr="00751490">
        <w:rPr>
          <w:rFonts w:ascii="Arial" w:eastAsia="Malgun Gothic" w:hAnsi="Arial"/>
          <w:b/>
          <w:sz w:val="24"/>
          <w:lang w:eastAsia="en-US"/>
        </w:rPr>
        <w:t>R2-</w:t>
      </w:r>
      <w:r w:rsidR="008F1402" w:rsidRPr="00751490">
        <w:rPr>
          <w:rFonts w:ascii="Arial" w:eastAsia="Malgun Gothic" w:hAnsi="Arial"/>
          <w:b/>
          <w:sz w:val="24"/>
          <w:lang w:eastAsia="en-US"/>
        </w:rPr>
        <w:t>250</w:t>
      </w:r>
      <w:r w:rsidR="008F1402">
        <w:rPr>
          <w:rFonts w:ascii="Arial" w:eastAsia="Malgun Gothic" w:hAnsi="Arial"/>
          <w:b/>
          <w:sz w:val="24"/>
          <w:lang w:eastAsia="en-US"/>
        </w:rPr>
        <w:t>2115</w:t>
      </w:r>
    </w:p>
    <w:p w14:paraId="20D2EC83" w14:textId="6B044E41" w:rsidR="00EF3FEE" w:rsidRDefault="00B97A51" w:rsidP="001669B4">
      <w:pPr>
        <w:pStyle w:val="CRCoverPage"/>
        <w:tabs>
          <w:tab w:val="left" w:pos="1985"/>
        </w:tabs>
        <w:spacing w:after="0"/>
        <w:jc w:val="both"/>
        <w:rPr>
          <w:rFonts w:eastAsia="Malgun Gothic" w:cstheme="minorBidi"/>
          <w:b/>
          <w:sz w:val="24"/>
          <w:szCs w:val="22"/>
          <w:lang w:val="en-US"/>
        </w:rPr>
      </w:pPr>
      <w:r>
        <w:rPr>
          <w:rFonts w:eastAsia="Malgun Gothic" w:cstheme="minorBidi"/>
          <w:b/>
          <w:sz w:val="24"/>
          <w:szCs w:val="22"/>
          <w:lang w:val="en-US"/>
        </w:rPr>
        <w:t>Wuhan</w:t>
      </w:r>
      <w:r w:rsidR="00EF3FEE" w:rsidRPr="00EF3FEE">
        <w:rPr>
          <w:rFonts w:eastAsia="Malgun Gothic" w:cstheme="minorBidi"/>
          <w:b/>
          <w:sz w:val="24"/>
          <w:szCs w:val="22"/>
          <w:lang w:val="en-US"/>
        </w:rPr>
        <w:t xml:space="preserve">, </w:t>
      </w:r>
      <w:r>
        <w:rPr>
          <w:rFonts w:eastAsia="Malgun Gothic" w:cstheme="minorBidi"/>
          <w:b/>
          <w:sz w:val="24"/>
          <w:szCs w:val="22"/>
          <w:lang w:val="en-US"/>
        </w:rPr>
        <w:t>China</w:t>
      </w:r>
      <w:r w:rsidR="00EF3FEE" w:rsidRPr="00EF3FEE">
        <w:rPr>
          <w:rFonts w:eastAsia="Malgun Gothic" w:cstheme="minorBidi"/>
          <w:b/>
          <w:sz w:val="24"/>
          <w:szCs w:val="22"/>
          <w:lang w:val="en-US"/>
        </w:rPr>
        <w:t xml:space="preserve">, </w:t>
      </w:r>
      <w:r>
        <w:rPr>
          <w:rFonts w:eastAsia="Malgun Gothic" w:cstheme="minorBidi"/>
          <w:b/>
          <w:sz w:val="24"/>
          <w:szCs w:val="22"/>
          <w:lang w:val="en-US"/>
        </w:rPr>
        <w:t>April</w:t>
      </w:r>
      <w:r w:rsidR="00EF3FEE" w:rsidRPr="00EF3FEE">
        <w:rPr>
          <w:rFonts w:eastAsia="Malgun Gothic" w:cstheme="minorBidi"/>
          <w:b/>
          <w:sz w:val="24"/>
          <w:szCs w:val="22"/>
          <w:lang w:val="en-US"/>
        </w:rPr>
        <w:t xml:space="preserve"> </w:t>
      </w:r>
      <w:r>
        <w:rPr>
          <w:rFonts w:eastAsia="Malgun Gothic" w:cstheme="minorBidi"/>
          <w:b/>
          <w:sz w:val="24"/>
          <w:szCs w:val="22"/>
          <w:lang w:val="en-US"/>
        </w:rPr>
        <w:t>7</w:t>
      </w:r>
      <w:r w:rsidR="00EF3FEE" w:rsidRPr="00EF3FEE">
        <w:rPr>
          <w:rFonts w:eastAsia="Malgun Gothic" w:cstheme="minorBidi"/>
          <w:b/>
          <w:sz w:val="24"/>
          <w:szCs w:val="22"/>
          <w:lang w:val="en-US"/>
        </w:rPr>
        <w:t xml:space="preserve">th – </w:t>
      </w:r>
      <w:r>
        <w:rPr>
          <w:rFonts w:eastAsia="Malgun Gothic" w:cstheme="minorBidi"/>
          <w:b/>
          <w:sz w:val="24"/>
          <w:szCs w:val="22"/>
          <w:lang w:val="en-US"/>
        </w:rPr>
        <w:t>11th</w:t>
      </w:r>
      <w:r w:rsidR="00EF3FEE" w:rsidRPr="00EF3FEE">
        <w:rPr>
          <w:rFonts w:eastAsia="Malgun Gothic" w:cstheme="minorBidi"/>
          <w:b/>
          <w:sz w:val="24"/>
          <w:szCs w:val="22"/>
          <w:lang w:val="en-US"/>
        </w:rPr>
        <w:t>, 2025</w:t>
      </w:r>
    </w:p>
    <w:p w14:paraId="56C81BB4" w14:textId="77777777" w:rsidR="00EF3FEE" w:rsidRDefault="00EF3FEE" w:rsidP="001669B4">
      <w:pPr>
        <w:pStyle w:val="CRCoverPage"/>
        <w:tabs>
          <w:tab w:val="left" w:pos="1985"/>
        </w:tabs>
        <w:spacing w:after="0"/>
        <w:jc w:val="both"/>
        <w:rPr>
          <w:rFonts w:asciiTheme="minorHAnsi" w:hAnsiTheme="minorHAnsi" w:cstheme="minorHAnsi"/>
          <w:b/>
          <w:bCs/>
          <w:sz w:val="28"/>
        </w:rPr>
      </w:pPr>
    </w:p>
    <w:p w14:paraId="55DBB87B" w14:textId="77777777" w:rsidR="00EF3FEE" w:rsidRPr="003C2E7A" w:rsidRDefault="00EF3FEE" w:rsidP="001669B4">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8.1.2.2</w:t>
      </w:r>
    </w:p>
    <w:p w14:paraId="69413CB2" w14:textId="77777777"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06C255BB" w14:textId="77777777"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t>Discussion on LCM for UE-sided model for beam management</w:t>
      </w:r>
    </w:p>
    <w:p w14:paraId="685F8AF9" w14:textId="77777777" w:rsidR="00EF3FEE" w:rsidRPr="003C2E7A" w:rsidRDefault="00EF3FEE" w:rsidP="001669B4">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34635A75" w14:textId="77777777" w:rsidR="00EF3FEE" w:rsidRDefault="00EF3FEE" w:rsidP="001669B4">
      <w:pPr>
        <w:pStyle w:val="Heading1"/>
        <w:numPr>
          <w:ilvl w:val="0"/>
          <w:numId w:val="1"/>
        </w:numPr>
        <w:jc w:val="both"/>
      </w:pPr>
      <w:r>
        <w:t>Introduction</w:t>
      </w:r>
    </w:p>
    <w:p w14:paraId="76BAD504" w14:textId="35FC1BF5" w:rsidR="0032285A" w:rsidRDefault="00CC4217" w:rsidP="001669B4">
      <w:pPr>
        <w:jc w:val="both"/>
      </w:pPr>
      <w:r>
        <w:t xml:space="preserve">In RAN2 #129, based on RAN1 LS reply, RAN2 concluded </w:t>
      </w:r>
      <w:r w:rsidR="00F96679">
        <w:t xml:space="preserve">details of applicable functionalities reporting procedure with option A. </w:t>
      </w:r>
    </w:p>
    <w:p w14:paraId="59AD7982"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b/>
          <w:bCs/>
          <w:iCs/>
          <w:noProof/>
          <w:lang w:eastAsia="ko-KR"/>
        </w:rPr>
      </w:pPr>
      <w:r w:rsidRPr="00720693">
        <w:rPr>
          <w:rFonts w:eastAsiaTheme="minorEastAsia"/>
          <w:b/>
          <w:bCs/>
          <w:iCs/>
          <w:noProof/>
          <w:lang w:eastAsia="ko-KR"/>
        </w:rPr>
        <w:t>Agreements</w:t>
      </w:r>
    </w:p>
    <w:p w14:paraId="6F1B5813"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sidRPr="00720693">
        <w:rPr>
          <w:rFonts w:eastAsiaTheme="minorEastAsia"/>
          <w:iCs/>
          <w:noProof/>
          <w:lang w:eastAsia="ko-KR"/>
        </w:rPr>
        <w:t>1.</w:t>
      </w:r>
      <w:r w:rsidRPr="00720693">
        <w:rPr>
          <w:rFonts w:eastAsiaTheme="minorEastAsia"/>
          <w:iCs/>
          <w:noProof/>
          <w:lang w:eastAsia="ko-KR"/>
        </w:rPr>
        <w:tab/>
        <w:t xml:space="preserve">Inference configuration/parameters can be signalled in step 3 and/or Inference configuration can be signalled in step 5 (i.e. option a and option b from RAN1).   </w:t>
      </w:r>
    </w:p>
    <w:p w14:paraId="070EC7AB"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sidRPr="00720693">
        <w:rPr>
          <w:rFonts w:eastAsiaTheme="minorEastAsia"/>
          <w:iCs/>
          <w:noProof/>
          <w:lang w:eastAsia="ko-KR"/>
        </w:rPr>
        <w:t>2.</w:t>
      </w:r>
      <w:r w:rsidRPr="00720693">
        <w:rPr>
          <w:rFonts w:eastAsiaTheme="minorEastAsia"/>
          <w:iCs/>
          <w:noProof/>
          <w:lang w:eastAsia="ko-KR"/>
        </w:rPr>
        <w:tab/>
        <w:t xml:space="preserve">The full inference configuration is sent in CSI-ReportConfig. </w:t>
      </w:r>
    </w:p>
    <w:p w14:paraId="5D0E9AD9"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sidRPr="00720693">
        <w:rPr>
          <w:rFonts w:eastAsiaTheme="minorEastAsia"/>
          <w:iCs/>
          <w:noProof/>
          <w:lang w:eastAsia="ko-KR"/>
        </w:rPr>
        <w:t>3.</w:t>
      </w:r>
      <w:r w:rsidRPr="00720693">
        <w:rPr>
          <w:rFonts w:eastAsiaTheme="minorEastAsia"/>
          <w:iCs/>
          <w:noProof/>
          <w:lang w:eastAsia="ko-KR"/>
        </w:rPr>
        <w:tab/>
        <w:t>Upon receiving a full inference configuration, the UE sends the initial applicability report in RRCReconfigurationComplete. UAI can be sent to update applicability.</w:t>
      </w:r>
    </w:p>
    <w:p w14:paraId="14576BB9" w14:textId="77777777" w:rsidR="0065390F"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sidRPr="00720693">
        <w:rPr>
          <w:rFonts w:eastAsiaTheme="minorEastAsia"/>
          <w:iCs/>
          <w:noProof/>
          <w:lang w:eastAsia="ko-KR"/>
        </w:rPr>
        <w:t>4.</w:t>
      </w:r>
      <w:r w:rsidRPr="00720693">
        <w:rPr>
          <w:rFonts w:eastAsiaTheme="minorEastAsia"/>
          <w:iCs/>
          <w:noProof/>
          <w:lang w:eastAsia="ko-KR"/>
        </w:rPr>
        <w:tab/>
        <w:t>FFS signaling details for option B (e.g. whether it is signaling in CSI-Report Config or otherconfig)</w:t>
      </w:r>
    </w:p>
    <w:p w14:paraId="78CC5977" w14:textId="77777777" w:rsidR="0065390F"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p>
    <w:p w14:paraId="52913273" w14:textId="77777777" w:rsidR="0065390F"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Pr>
          <w:rFonts w:eastAsiaTheme="minorEastAsia"/>
          <w:iCs/>
          <w:noProof/>
          <w:lang w:eastAsia="ko-KR"/>
        </w:rPr>
        <w:t xml:space="preserve">5. </w:t>
      </w:r>
      <w:r>
        <w:rPr>
          <w:rFonts w:eastAsiaTheme="minorEastAsia"/>
          <w:iCs/>
          <w:noProof/>
          <w:lang w:eastAsia="ko-KR"/>
        </w:rPr>
        <w:tab/>
      </w:r>
      <w:r w:rsidRPr="00720693">
        <w:rPr>
          <w:rFonts w:eastAsiaTheme="minorEastAsia"/>
          <w:iCs/>
          <w:noProof/>
          <w:lang w:eastAsia="ko-KR"/>
        </w:rPr>
        <w:t>Support the explicit reporting of applicability/inapplicability in initial report and subsequent reporting it reports only applicability it changed.   FFS if we report explicit cause</w:t>
      </w:r>
    </w:p>
    <w:p w14:paraId="2749484F" w14:textId="77777777" w:rsidR="0065390F"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p>
    <w:p w14:paraId="4167D312"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Pr>
          <w:rFonts w:eastAsiaTheme="minorEastAsia"/>
          <w:iCs/>
          <w:noProof/>
          <w:lang w:eastAsia="ko-KR"/>
        </w:rPr>
        <w:t>6.</w:t>
      </w:r>
      <w:r>
        <w:rPr>
          <w:rFonts w:eastAsiaTheme="minorEastAsia"/>
          <w:iCs/>
          <w:noProof/>
          <w:lang w:eastAsia="ko-KR"/>
        </w:rPr>
        <w:tab/>
      </w:r>
      <w:r w:rsidRPr="00720693">
        <w:rPr>
          <w:rFonts w:eastAsiaTheme="minorEastAsia"/>
          <w:iCs/>
          <w:noProof/>
          <w:lang w:eastAsia="ko-KR"/>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4719213F" w14:textId="77777777" w:rsidR="0065390F"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Pr>
          <w:rFonts w:eastAsiaTheme="minorEastAsia"/>
          <w:iCs/>
          <w:noProof/>
          <w:lang w:eastAsia="ko-KR"/>
        </w:rPr>
        <w:t xml:space="preserve">7. </w:t>
      </w:r>
      <w:r>
        <w:rPr>
          <w:rFonts w:eastAsiaTheme="minorEastAsia"/>
          <w:iCs/>
          <w:noProof/>
          <w:lang w:eastAsia="ko-KR"/>
        </w:rPr>
        <w:tab/>
      </w:r>
      <w:r w:rsidRPr="00720693">
        <w:rPr>
          <w:rFonts w:eastAsiaTheme="minorEastAsia"/>
          <w:iCs/>
          <w:noProof/>
          <w:lang w:eastAsia="ko-KR"/>
        </w:rPr>
        <w:t>The provided periodic CSI configuration should be consistent with reported UE capabilities</w:t>
      </w:r>
    </w:p>
    <w:p w14:paraId="2A1D4135"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Pr>
          <w:rFonts w:eastAsiaTheme="minorEastAsia"/>
          <w:iCs/>
          <w:noProof/>
          <w:lang w:eastAsia="ko-KR"/>
        </w:rPr>
        <w:t>8.</w:t>
      </w:r>
      <w:r>
        <w:rPr>
          <w:rFonts w:eastAsiaTheme="minorEastAsia"/>
          <w:iCs/>
          <w:noProof/>
          <w:lang w:eastAsia="ko-KR"/>
        </w:rPr>
        <w:tab/>
      </w:r>
      <w:r w:rsidRPr="00720693">
        <w:rPr>
          <w:rFonts w:eastAsiaTheme="minorEastAsia"/>
          <w:iCs/>
          <w:noProof/>
          <w:lang w:eastAsia="ko-KR"/>
        </w:rPr>
        <w:t xml:space="preserve">FFS option B </w:t>
      </w:r>
    </w:p>
    <w:p w14:paraId="3F5B677E"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p>
    <w:p w14:paraId="309E336D"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Pr>
          <w:rFonts w:eastAsiaTheme="minorEastAsia"/>
          <w:iCs/>
          <w:noProof/>
          <w:lang w:eastAsia="ko-KR"/>
        </w:rPr>
        <w:t>9.</w:t>
      </w:r>
      <w:r>
        <w:rPr>
          <w:rFonts w:eastAsiaTheme="minorEastAsia"/>
          <w:iCs/>
          <w:noProof/>
          <w:lang w:eastAsia="ko-KR"/>
        </w:rPr>
        <w:tab/>
      </w:r>
      <w:r w:rsidRPr="00720693">
        <w:rPr>
          <w:rFonts w:eastAsiaTheme="minorEastAsia"/>
          <w:iCs/>
          <w:noProof/>
          <w:lang w:eastAsia="ko-KR"/>
        </w:rPr>
        <w:t>Semi-persistent and aperiodic CSI reporting of applicable functionality is activated following legacy CSI framework:</w:t>
      </w:r>
    </w:p>
    <w:p w14:paraId="4027B098" w14:textId="77777777" w:rsidR="0065390F" w:rsidRPr="00720693"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Pr>
          <w:rFonts w:eastAsiaTheme="minorEastAsia"/>
          <w:iCs/>
          <w:noProof/>
          <w:lang w:eastAsia="ko-KR"/>
        </w:rPr>
        <w:tab/>
      </w:r>
      <w:r w:rsidRPr="00720693">
        <w:rPr>
          <w:rFonts w:eastAsiaTheme="minorEastAsia"/>
          <w:iCs/>
          <w:noProof/>
          <w:lang w:eastAsia="ko-KR"/>
        </w:rPr>
        <w:t>Semi-persistent reporting, activated by MAC CE/DCI</w:t>
      </w:r>
    </w:p>
    <w:p w14:paraId="4DAE8272" w14:textId="77777777" w:rsidR="0065390F" w:rsidRPr="00B135E2"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r>
        <w:rPr>
          <w:rFonts w:eastAsiaTheme="minorEastAsia"/>
          <w:iCs/>
          <w:noProof/>
          <w:lang w:eastAsia="ko-KR"/>
        </w:rPr>
        <w:tab/>
      </w:r>
      <w:r w:rsidRPr="00720693">
        <w:rPr>
          <w:rFonts w:eastAsiaTheme="minorEastAsia"/>
          <w:iCs/>
          <w:noProof/>
          <w:lang w:eastAsia="ko-KR"/>
        </w:rPr>
        <w:t>Aperiodic CSI reporting, activated by DCI</w:t>
      </w:r>
    </w:p>
    <w:p w14:paraId="3ACF3757" w14:textId="77777777" w:rsidR="0065390F" w:rsidRPr="00B135E2" w:rsidRDefault="0065390F" w:rsidP="0065390F">
      <w:pPr>
        <w:pStyle w:val="Doc-text2"/>
        <w:pBdr>
          <w:top w:val="single" w:sz="4" w:space="1" w:color="auto"/>
          <w:left w:val="single" w:sz="4" w:space="4" w:color="auto"/>
          <w:bottom w:val="single" w:sz="4" w:space="1" w:color="auto"/>
          <w:right w:val="single" w:sz="4" w:space="4" w:color="auto"/>
        </w:pBdr>
        <w:ind w:leftChars="129" w:left="647"/>
        <w:rPr>
          <w:rFonts w:eastAsiaTheme="minorEastAsia"/>
          <w:iCs/>
          <w:noProof/>
          <w:lang w:eastAsia="ko-KR"/>
        </w:rPr>
      </w:pPr>
    </w:p>
    <w:p w14:paraId="085901FA" w14:textId="194586F3" w:rsidR="0065390F" w:rsidRDefault="0065390F" w:rsidP="001669B4">
      <w:pPr>
        <w:jc w:val="both"/>
      </w:pPr>
    </w:p>
    <w:p w14:paraId="1B56E934" w14:textId="4FCCB64A" w:rsidR="00DD13A7" w:rsidRDefault="00DD13A7" w:rsidP="001669B4">
      <w:pPr>
        <w:jc w:val="both"/>
      </w:pPr>
      <w:r>
        <w:t xml:space="preserve">In this contribution, we would like to discuss details of option B and remaining issues for LCM for BM use case. </w:t>
      </w:r>
    </w:p>
    <w:p w14:paraId="554B3A29" w14:textId="77777777" w:rsidR="00DD13A7" w:rsidRDefault="00DD13A7" w:rsidP="0033695F">
      <w:pPr>
        <w:pStyle w:val="Heading1"/>
        <w:numPr>
          <w:ilvl w:val="0"/>
          <w:numId w:val="1"/>
        </w:numPr>
        <w:jc w:val="both"/>
      </w:pPr>
      <w:r>
        <w:t>Option B</w:t>
      </w:r>
    </w:p>
    <w:p w14:paraId="5D231A1D" w14:textId="4B108F03" w:rsidR="0033695F" w:rsidRDefault="0033695F" w:rsidP="00DD13A7">
      <w:pPr>
        <w:pStyle w:val="Heading1"/>
        <w:numPr>
          <w:ilvl w:val="1"/>
          <w:numId w:val="1"/>
        </w:numPr>
        <w:jc w:val="both"/>
      </w:pPr>
      <w:r>
        <w:t xml:space="preserve">Advantage of </w:t>
      </w:r>
      <w:r w:rsidR="00EC60B1">
        <w:t>o</w:t>
      </w:r>
      <w:r>
        <w:t>ption B</w:t>
      </w:r>
    </w:p>
    <w:p w14:paraId="6BD0D1F1" w14:textId="1297F736" w:rsidR="009464F0" w:rsidRDefault="00EC60B1" w:rsidP="003B10E9">
      <w:pPr>
        <w:jc w:val="both"/>
      </w:pPr>
      <w:r>
        <w:t>In the last meeting, there was a question on the advantage of option B. In our view, t</w:t>
      </w:r>
      <w:r w:rsidR="009464F0">
        <w:t xml:space="preserve">he main benefit of option B compared to option A is </w:t>
      </w:r>
      <w:r w:rsidR="00886044">
        <w:t xml:space="preserve">so clear </w:t>
      </w:r>
      <w:r w:rsidR="009464F0">
        <w:t xml:space="preserve">that gNB doesn’t need to provide full configuration to determine applicable functionality. Especially, in case of periodic CSI report, </w:t>
      </w:r>
      <w:r w:rsidR="00886044">
        <w:t xml:space="preserve">in option A, </w:t>
      </w:r>
      <w:r>
        <w:t xml:space="preserve">UE </w:t>
      </w:r>
      <w:r w:rsidR="00886044">
        <w:t>needs to</w:t>
      </w:r>
      <w:r>
        <w:t xml:space="preserve"> activate upon receiving </w:t>
      </w:r>
      <w:proofErr w:type="spellStart"/>
      <w:r>
        <w:t>RRCReconfiguration</w:t>
      </w:r>
      <w:proofErr w:type="spellEnd"/>
      <w:r>
        <w:t xml:space="preserve"> if the CSI report is </w:t>
      </w:r>
      <w:r w:rsidR="00886044">
        <w:t xml:space="preserve">considered as </w:t>
      </w:r>
      <w:r>
        <w:t xml:space="preserve">applicable. </w:t>
      </w:r>
    </w:p>
    <w:p w14:paraId="69D77575" w14:textId="5E9A8158" w:rsidR="00EC60B1" w:rsidRDefault="00EC60B1" w:rsidP="003B10E9">
      <w:pPr>
        <w:jc w:val="both"/>
      </w:pPr>
      <w:r>
        <w:lastRenderedPageBreak/>
        <w:t>For example, let us suppose that UE supports only 1 periodic CSI report for BM use case</w:t>
      </w:r>
      <w:r w:rsidR="002847D6">
        <w:t xml:space="preserve"> (</w:t>
      </w:r>
      <w:proofErr w:type="spellStart"/>
      <w:r w:rsidR="002847D6" w:rsidRPr="00EE3036">
        <w:t>maxNumberPeriodicCSI</w:t>
      </w:r>
      <w:proofErr w:type="spellEnd"/>
      <w:r w:rsidR="002847D6" w:rsidRPr="00EE3036">
        <w:t>-</w:t>
      </w:r>
      <w:proofErr w:type="spellStart"/>
      <w:r w:rsidR="002847D6" w:rsidRPr="00EE3036">
        <w:t>PerBWP</w:t>
      </w:r>
      <w:proofErr w:type="spellEnd"/>
      <w:r w:rsidR="002847D6" w:rsidRPr="00EE3036">
        <w:t>-</w:t>
      </w:r>
      <w:proofErr w:type="spellStart"/>
      <w:r w:rsidR="002847D6" w:rsidRPr="00EE3036">
        <w:t>ForCSI</w:t>
      </w:r>
      <w:proofErr w:type="spellEnd"/>
      <w:r w:rsidR="002847D6" w:rsidRPr="00EE3036">
        <w:t>-Report</w:t>
      </w:r>
      <w:r w:rsidR="002847D6">
        <w:t>)</w:t>
      </w:r>
      <w:r>
        <w:t>. With option A, gNB would configure only one potential candidate to ask UE for applicability reporting</w:t>
      </w:r>
      <w:r w:rsidR="005F01C9">
        <w:t xml:space="preserve"> in each RRC reconfiguration message in order to avoid the case where the number of periodic CSI reports is</w:t>
      </w:r>
      <w:r w:rsidR="00886044">
        <w:t xml:space="preserve"> activated more than 1 which is </w:t>
      </w:r>
      <w:r w:rsidR="005F01C9">
        <w:t>beyond UE capability</w:t>
      </w:r>
      <w:r>
        <w:t xml:space="preserve">.  </w:t>
      </w:r>
      <w:r w:rsidR="00A455D5">
        <w:t>If the provided CSI-Report Config is not applicable, the gNB should provide another periodic CSI-Report Config in the next RRC message.</w:t>
      </w:r>
      <w:r w:rsidR="002B6EDA">
        <w:t xml:space="preserve"> This procedure could iterate until applicable configuration is found and</w:t>
      </w:r>
      <w:r w:rsidR="00A455D5">
        <w:t xml:space="preserve"> will cause additional delay in enable inference.</w:t>
      </w:r>
    </w:p>
    <w:p w14:paraId="6DAC8D81" w14:textId="77777777" w:rsidR="008A2CE1" w:rsidRDefault="008A2CE1" w:rsidP="003B10E9">
      <w:pPr>
        <w:jc w:val="both"/>
      </w:pPr>
      <w:r>
        <w:t xml:space="preserve">With option B, gNB can provide preferred multiple number of sets of inference related parameters regardless of UE capability. Even if UE indicates the multiple functionalities as applicable, gNB could just decide one of them based on UE capability. </w:t>
      </w:r>
    </w:p>
    <w:p w14:paraId="0039E418" w14:textId="77777777" w:rsidR="008A2CE1" w:rsidRDefault="008A2CE1" w:rsidP="003B10E9">
      <w:pPr>
        <w:jc w:val="both"/>
      </w:pPr>
      <w:r>
        <w:t xml:space="preserve">This would provide more flexibility in gNB to select or switch functionality based on performance or internal algorithm. </w:t>
      </w:r>
    </w:p>
    <w:p w14:paraId="112EE33F" w14:textId="300AAD52" w:rsidR="008A2CE1" w:rsidRPr="008A2CE1" w:rsidRDefault="008A2CE1" w:rsidP="003B10E9">
      <w:pPr>
        <w:jc w:val="both"/>
        <w:rPr>
          <w:b/>
        </w:rPr>
      </w:pPr>
      <w:bookmarkStart w:id="0" w:name="ob1"/>
      <w:r w:rsidRPr="008A2CE1">
        <w:rPr>
          <w:b/>
        </w:rPr>
        <w:t xml:space="preserve">Observation </w:t>
      </w:r>
      <w:r w:rsidRPr="008A2CE1">
        <w:rPr>
          <w:rFonts w:cs="Calibri"/>
          <w:b/>
          <w:bCs/>
        </w:rPr>
        <w:fldChar w:fldCharType="begin"/>
      </w:r>
      <w:r w:rsidRPr="008A2CE1">
        <w:rPr>
          <w:rFonts w:cs="Calibri"/>
          <w:b/>
          <w:bCs/>
        </w:rPr>
        <w:instrText xml:space="preserve"> SEQ obj \* MERGEFORMAT </w:instrText>
      </w:r>
      <w:r w:rsidRPr="008A2CE1">
        <w:rPr>
          <w:rFonts w:cs="Calibri"/>
          <w:b/>
          <w:bCs/>
        </w:rPr>
        <w:fldChar w:fldCharType="separate"/>
      </w:r>
      <w:r w:rsidR="003B10E9">
        <w:rPr>
          <w:rFonts w:cs="Calibri"/>
          <w:b/>
          <w:bCs/>
          <w:noProof/>
        </w:rPr>
        <w:t>1</w:t>
      </w:r>
      <w:r w:rsidRPr="008A2CE1">
        <w:rPr>
          <w:rFonts w:cs="Calibri"/>
          <w:b/>
          <w:bCs/>
        </w:rPr>
        <w:fldChar w:fldCharType="end"/>
      </w:r>
      <w:r w:rsidRPr="008A2CE1">
        <w:rPr>
          <w:b/>
        </w:rPr>
        <w:t xml:space="preserve">: </w:t>
      </w:r>
      <w:r w:rsidR="00E027D0">
        <w:rPr>
          <w:b/>
        </w:rPr>
        <w:t>advantage of option B is</w:t>
      </w:r>
      <w:r>
        <w:rPr>
          <w:b/>
        </w:rPr>
        <w:t xml:space="preserve"> that </w:t>
      </w:r>
      <w:r w:rsidRPr="008A2CE1">
        <w:rPr>
          <w:b/>
        </w:rPr>
        <w:t xml:space="preserve">gNB can </w:t>
      </w:r>
      <w:r w:rsidR="00C15C08">
        <w:rPr>
          <w:b/>
        </w:rPr>
        <w:t>request</w:t>
      </w:r>
      <w:r w:rsidR="002B6EDA">
        <w:rPr>
          <w:b/>
        </w:rPr>
        <w:t>/check</w:t>
      </w:r>
      <w:r w:rsidRPr="008A2CE1">
        <w:rPr>
          <w:b/>
        </w:rPr>
        <w:t xml:space="preserve"> applicability of multiple functionalities </w:t>
      </w:r>
      <w:r w:rsidR="00C15C08">
        <w:rPr>
          <w:b/>
        </w:rPr>
        <w:t xml:space="preserve">regardless of </w:t>
      </w:r>
      <w:r w:rsidRPr="008A2CE1">
        <w:rPr>
          <w:b/>
        </w:rPr>
        <w:t>UE capability</w:t>
      </w:r>
      <w:r w:rsidR="00C15C08">
        <w:rPr>
          <w:b/>
        </w:rPr>
        <w:t xml:space="preserve"> for CSI report. </w:t>
      </w:r>
    </w:p>
    <w:bookmarkEnd w:id="0"/>
    <w:p w14:paraId="536BCCED" w14:textId="00BE0EEE" w:rsidR="00F273FF" w:rsidRDefault="00C9278E" w:rsidP="00DD13A7">
      <w:pPr>
        <w:pStyle w:val="Heading1"/>
        <w:numPr>
          <w:ilvl w:val="1"/>
          <w:numId w:val="1"/>
        </w:numPr>
        <w:jc w:val="both"/>
      </w:pPr>
      <w:r>
        <w:t>Procedure/signaling for</w:t>
      </w:r>
      <w:r w:rsidR="00F273FF">
        <w:t xml:space="preserve"> option B</w:t>
      </w:r>
    </w:p>
    <w:p w14:paraId="44BF7F9C" w14:textId="60883888" w:rsidR="00C9278E" w:rsidRDefault="00C9278E" w:rsidP="003B10E9">
      <w:pPr>
        <w:jc w:val="both"/>
      </w:pPr>
      <w:r>
        <w:t xml:space="preserve">In this section, we provide potential procedure/signaling for option B to demonstrate how it works. </w:t>
      </w:r>
    </w:p>
    <w:p w14:paraId="64EDB4D0" w14:textId="1DA8BD45" w:rsidR="00C9278E" w:rsidRDefault="00C9278E" w:rsidP="003B10E9">
      <w:pPr>
        <w:jc w:val="both"/>
      </w:pPr>
      <w:r>
        <w:t>In step 3, as agreed previously, gNB provides set(s) of inference related parameters for applicability report only. The exact location of set(s) of inference related parameters would not be so critical. That is, it can be located in the same location with CSI-</w:t>
      </w:r>
      <w:proofErr w:type="spellStart"/>
      <w:r>
        <w:t>ReportConfig</w:t>
      </w:r>
      <w:proofErr w:type="spellEnd"/>
      <w:r>
        <w:t xml:space="preserve"> (i.e. </w:t>
      </w:r>
      <w:r w:rsidR="007C1C12">
        <w:t>under CSI-</w:t>
      </w:r>
      <w:proofErr w:type="spellStart"/>
      <w:r w:rsidR="007C1C12">
        <w:t>MeasConfig</w:t>
      </w:r>
      <w:proofErr w:type="spellEnd"/>
      <w:r w:rsidR="007C1C12">
        <w:t xml:space="preserve"> in </w:t>
      </w:r>
      <w:proofErr w:type="spellStart"/>
      <w:r w:rsidR="007C1C12">
        <w:t>ServingCellConfig</w:t>
      </w:r>
      <w:proofErr w:type="spellEnd"/>
      <w:r w:rsidR="007C1C12">
        <w:t xml:space="preserve">) or can be located in </w:t>
      </w:r>
      <w:proofErr w:type="spellStart"/>
      <w:r w:rsidR="007C1C12">
        <w:t>OtherConfig</w:t>
      </w:r>
      <w:proofErr w:type="spellEnd"/>
      <w:r w:rsidR="007C1C12">
        <w:t xml:space="preserve"> as it requires to trigger UAI eventually. Given that there was majority support on using </w:t>
      </w:r>
      <w:proofErr w:type="spellStart"/>
      <w:r w:rsidR="007C1C12">
        <w:t>OtherConfig</w:t>
      </w:r>
      <w:proofErr w:type="spellEnd"/>
      <w:r w:rsidR="007C1C12">
        <w:t xml:space="preserve">, RAN2 can proceed to introduce set(s) of inference related parameters in </w:t>
      </w:r>
      <w:proofErr w:type="spellStart"/>
      <w:r w:rsidR="007C1C12">
        <w:t>OtherConfig</w:t>
      </w:r>
      <w:proofErr w:type="spellEnd"/>
      <w:r w:rsidR="007C1C12">
        <w:t xml:space="preserve">. </w:t>
      </w:r>
    </w:p>
    <w:p w14:paraId="216A2809" w14:textId="5BAD5CFF" w:rsidR="007C1C12" w:rsidRPr="008A2CE1" w:rsidRDefault="007C1C12" w:rsidP="003B10E9">
      <w:pPr>
        <w:jc w:val="both"/>
        <w:rPr>
          <w:b/>
        </w:rPr>
      </w:pPr>
      <w:bookmarkStart w:id="1" w:name="pro1"/>
      <w:r w:rsidRPr="008A2CE1">
        <w:rPr>
          <w:b/>
        </w:rPr>
        <w:t xml:space="preserve">Proposal </w:t>
      </w:r>
      <w:r w:rsidR="001840BE" w:rsidRPr="008A2CE1">
        <w:rPr>
          <w:rFonts w:cs="Calibri"/>
          <w:b/>
          <w:bCs/>
        </w:rPr>
        <w:fldChar w:fldCharType="begin"/>
      </w:r>
      <w:r w:rsidR="001840BE" w:rsidRPr="008A2CE1">
        <w:rPr>
          <w:rFonts w:cs="Calibri"/>
          <w:b/>
          <w:bCs/>
        </w:rPr>
        <w:instrText xml:space="preserve"> SEQ pro \* MERGEFORMAT  \* MERGEFORMAT </w:instrText>
      </w:r>
      <w:r w:rsidR="001840BE" w:rsidRPr="008A2CE1">
        <w:rPr>
          <w:rFonts w:cs="Calibri"/>
          <w:b/>
          <w:bCs/>
        </w:rPr>
        <w:fldChar w:fldCharType="separate"/>
      </w:r>
      <w:r w:rsidR="003B10E9">
        <w:rPr>
          <w:rFonts w:cs="Calibri"/>
          <w:b/>
          <w:bCs/>
          <w:noProof/>
        </w:rPr>
        <w:t>1</w:t>
      </w:r>
      <w:r w:rsidR="001840BE" w:rsidRPr="008A2CE1">
        <w:rPr>
          <w:rFonts w:cs="Calibri"/>
          <w:b/>
          <w:bCs/>
        </w:rPr>
        <w:fldChar w:fldCharType="end"/>
      </w:r>
      <w:r w:rsidRPr="008A2CE1">
        <w:rPr>
          <w:b/>
        </w:rPr>
        <w:t xml:space="preserve">: gNB provides set(s) of inference related parameters in </w:t>
      </w:r>
      <w:proofErr w:type="spellStart"/>
      <w:r w:rsidRPr="008A2CE1">
        <w:rPr>
          <w:b/>
        </w:rPr>
        <w:t>OtherConfig</w:t>
      </w:r>
      <w:proofErr w:type="spellEnd"/>
      <w:r w:rsidRPr="008A2CE1">
        <w:rPr>
          <w:b/>
        </w:rPr>
        <w:t xml:space="preserve"> for option B. </w:t>
      </w:r>
    </w:p>
    <w:bookmarkEnd w:id="1"/>
    <w:p w14:paraId="622D7604" w14:textId="6CEA522A" w:rsidR="007C1C12" w:rsidRDefault="007C1C12" w:rsidP="003B10E9">
      <w:pPr>
        <w:jc w:val="both"/>
      </w:pPr>
      <w:r>
        <w:t xml:space="preserve">In Step 4, </w:t>
      </w:r>
      <w:r w:rsidR="001840BE">
        <w:t>if</w:t>
      </w:r>
      <w:r>
        <w:t xml:space="preserve"> there is at least one set of inference related parameters, UE </w:t>
      </w:r>
      <w:r w:rsidR="001840BE">
        <w:t xml:space="preserve">need to report applicability. In order to have common design, we prefer that UE indicates applicability of set of inference related parameters in </w:t>
      </w:r>
      <w:proofErr w:type="spellStart"/>
      <w:r w:rsidR="001840BE">
        <w:t>RRCReconfigurationComplete</w:t>
      </w:r>
      <w:proofErr w:type="spellEnd"/>
      <w:r w:rsidR="001840BE">
        <w:t xml:space="preserve"> message upon reception Step 3. </w:t>
      </w:r>
      <w:r w:rsidR="002847D6">
        <w:t xml:space="preserve">This is aligned with the previous agreement RAN2 made and it is applied to both option A and option B.  </w:t>
      </w:r>
    </w:p>
    <w:tbl>
      <w:tblPr>
        <w:tblStyle w:val="TableGrid"/>
        <w:tblW w:w="0" w:type="auto"/>
        <w:tblLook w:val="04A0" w:firstRow="1" w:lastRow="0" w:firstColumn="1" w:lastColumn="0" w:noHBand="0" w:noVBand="1"/>
      </w:tblPr>
      <w:tblGrid>
        <w:gridCol w:w="9350"/>
      </w:tblGrid>
      <w:tr w:rsidR="002847D6" w14:paraId="0DD22432" w14:textId="77777777" w:rsidTr="002847D6">
        <w:tc>
          <w:tcPr>
            <w:tcW w:w="9350" w:type="dxa"/>
          </w:tcPr>
          <w:p w14:paraId="50E8CB75" w14:textId="5316E9AE" w:rsidR="002847D6" w:rsidRDefault="002847D6" w:rsidP="00C9278E">
            <w:r w:rsidRPr="00720693">
              <w:rPr>
                <w:iCs/>
                <w:noProof/>
              </w:rPr>
              <w:t>Support the explicit reporting of applicability/inapplicability in initial report and subsequent reporting it reports only applicability it changed.   FFS if we report explicit cause</w:t>
            </w:r>
          </w:p>
        </w:tc>
      </w:tr>
    </w:tbl>
    <w:p w14:paraId="3B809AA4" w14:textId="4929E63D" w:rsidR="002847D6" w:rsidRDefault="002847D6" w:rsidP="00C9278E"/>
    <w:p w14:paraId="3DF1B2E2" w14:textId="4C34DBAC" w:rsidR="001840BE" w:rsidRPr="008A2CE1" w:rsidRDefault="001840BE" w:rsidP="003B10E9">
      <w:pPr>
        <w:jc w:val="both"/>
        <w:rPr>
          <w:b/>
        </w:rPr>
      </w:pPr>
      <w:bookmarkStart w:id="2" w:name="pro2"/>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3B10E9">
        <w:rPr>
          <w:rFonts w:cs="Calibri"/>
          <w:b/>
          <w:bCs/>
          <w:noProof/>
        </w:rPr>
        <w:t>2</w:t>
      </w:r>
      <w:r w:rsidRPr="008A2CE1">
        <w:rPr>
          <w:rFonts w:cs="Calibri"/>
          <w:b/>
          <w:bCs/>
        </w:rPr>
        <w:fldChar w:fldCharType="end"/>
      </w:r>
      <w:r w:rsidRPr="008A2CE1">
        <w:rPr>
          <w:b/>
        </w:rPr>
        <w:t xml:space="preserve">: UE reports applicability of each set of inference related parameters in </w:t>
      </w:r>
      <w:proofErr w:type="spellStart"/>
      <w:r w:rsidRPr="008A2CE1">
        <w:rPr>
          <w:b/>
        </w:rPr>
        <w:t>RRCReconfigurationComplete</w:t>
      </w:r>
      <w:proofErr w:type="spellEnd"/>
      <w:r w:rsidR="00F47EA7">
        <w:rPr>
          <w:b/>
        </w:rPr>
        <w:t xml:space="preserve"> in Step 4</w:t>
      </w:r>
      <w:r w:rsidR="007E68EC">
        <w:rPr>
          <w:b/>
        </w:rPr>
        <w:t xml:space="preserve"> for option B</w:t>
      </w:r>
      <w:r w:rsidRPr="008A2CE1">
        <w:rPr>
          <w:b/>
        </w:rPr>
        <w:t>.</w:t>
      </w:r>
    </w:p>
    <w:bookmarkEnd w:id="2"/>
    <w:p w14:paraId="39AB1861" w14:textId="3DEEA983" w:rsidR="001840BE" w:rsidRDefault="001840BE" w:rsidP="003B10E9">
      <w:pPr>
        <w:jc w:val="both"/>
      </w:pPr>
      <w:r>
        <w:t xml:space="preserve">In addition, same as option A, </w:t>
      </w:r>
      <w:r>
        <w:rPr>
          <w:rFonts w:hint="eastAsia"/>
        </w:rPr>
        <w:t>t</w:t>
      </w:r>
      <w:r>
        <w:t>he UE can also send the change of applicability status in UAI</w:t>
      </w:r>
      <w:r w:rsidR="002847D6">
        <w:t xml:space="preserve"> when the applicability status has changed after UE provides report of applicability status in Step 4</w:t>
      </w:r>
      <w:r>
        <w:t xml:space="preserve">. </w:t>
      </w:r>
    </w:p>
    <w:p w14:paraId="7A157BB9" w14:textId="2D32D877" w:rsidR="008A2CE1" w:rsidRPr="008A2CE1" w:rsidRDefault="008A2CE1" w:rsidP="003B10E9">
      <w:pPr>
        <w:jc w:val="both"/>
        <w:rPr>
          <w:b/>
        </w:rPr>
      </w:pPr>
      <w:bookmarkStart w:id="3" w:name="pro3"/>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3B10E9">
        <w:rPr>
          <w:rFonts w:cs="Calibri"/>
          <w:b/>
          <w:bCs/>
          <w:noProof/>
        </w:rPr>
        <w:t>3</w:t>
      </w:r>
      <w:r w:rsidRPr="008A2CE1">
        <w:rPr>
          <w:rFonts w:cs="Calibri"/>
          <w:b/>
          <w:bCs/>
        </w:rPr>
        <w:fldChar w:fldCharType="end"/>
      </w:r>
      <w:r w:rsidRPr="008A2CE1">
        <w:rPr>
          <w:b/>
        </w:rPr>
        <w:t xml:space="preserve">: UE reports applicability of each set of inference related parameters in </w:t>
      </w:r>
      <w:r w:rsidR="002847D6">
        <w:rPr>
          <w:b/>
        </w:rPr>
        <w:t>UAI when the applicability status has changed</w:t>
      </w:r>
      <w:r w:rsidR="007E68EC">
        <w:rPr>
          <w:b/>
        </w:rPr>
        <w:t xml:space="preserve"> in Step 5 for option B</w:t>
      </w:r>
      <w:r w:rsidRPr="008A2CE1">
        <w:rPr>
          <w:b/>
        </w:rPr>
        <w:t>.</w:t>
      </w:r>
    </w:p>
    <w:bookmarkEnd w:id="3"/>
    <w:p w14:paraId="132D3207" w14:textId="18D3ACBE" w:rsidR="00F273FF" w:rsidRDefault="00F273FF" w:rsidP="00F273FF"/>
    <w:p w14:paraId="06AAC90F" w14:textId="2161DBA8" w:rsidR="005D0283" w:rsidRDefault="0033695F" w:rsidP="00DD13A7">
      <w:pPr>
        <w:pStyle w:val="Heading1"/>
        <w:numPr>
          <w:ilvl w:val="1"/>
          <w:numId w:val="1"/>
        </w:numPr>
        <w:jc w:val="both"/>
      </w:pPr>
      <w:r>
        <w:lastRenderedPageBreak/>
        <w:t>Operation of option A and option B</w:t>
      </w:r>
    </w:p>
    <w:p w14:paraId="21F3F2B6" w14:textId="61F915FC" w:rsidR="0033695F" w:rsidRDefault="008A2CE1" w:rsidP="003B10E9">
      <w:pPr>
        <w:jc w:val="both"/>
      </w:pPr>
      <w:r>
        <w:t xml:space="preserve">In order to merge or combine option A and option B, it is necessary to decide whether </w:t>
      </w:r>
      <w:r w:rsidR="00FD1FBF">
        <w:t>option A and option B</w:t>
      </w:r>
      <w:r>
        <w:t xml:space="preserve"> can be simultaneously configured. </w:t>
      </w:r>
    </w:p>
    <w:p w14:paraId="2BCD50BF" w14:textId="721C2D26" w:rsidR="008A2CE1" w:rsidRDefault="008A2CE1" w:rsidP="003B10E9">
      <w:pPr>
        <w:jc w:val="both"/>
      </w:pPr>
      <w:r>
        <w:t>Technically, option A and option B can be used concurrently from signaling perspective. However, given that option A and option B would be decided considering the different network strategy</w:t>
      </w:r>
      <w:r w:rsidR="00193F9C">
        <w:t xml:space="preserve">/operation scenario e.g. multiple functionalities are supported or limited number of functionates is supported.  </w:t>
      </w:r>
    </w:p>
    <w:p w14:paraId="3DFD0AB5" w14:textId="6C6170B2" w:rsidR="00193F9C" w:rsidRDefault="00193F9C" w:rsidP="003B10E9">
      <w:pPr>
        <w:jc w:val="both"/>
      </w:pPr>
      <w:r>
        <w:t>Therefore, there is not much motivation to configure option A and option B simultaneously.</w:t>
      </w:r>
      <w:r w:rsidR="003F44C2">
        <w:t xml:space="preserve"> </w:t>
      </w:r>
      <w:proofErr w:type="spellStart"/>
      <w:r w:rsidR="003F44C2">
        <w:t>gNB</w:t>
      </w:r>
      <w:proofErr w:type="spellEnd"/>
      <w:r w:rsidR="003F44C2">
        <w:t xml:space="preserve"> configures CSI-</w:t>
      </w:r>
      <w:proofErr w:type="spellStart"/>
      <w:r w:rsidR="003F44C2">
        <w:t>ReportConfig</w:t>
      </w:r>
      <w:proofErr w:type="spellEnd"/>
      <w:r w:rsidR="003F44C2">
        <w:t xml:space="preserve"> to request applicability reporting </w:t>
      </w:r>
      <w:r w:rsidR="007E68EC">
        <w:t xml:space="preserve">(i.e. using option A) </w:t>
      </w:r>
      <w:r w:rsidR="003F44C2">
        <w:t xml:space="preserve">or </w:t>
      </w:r>
      <w:proofErr w:type="spellStart"/>
      <w:r w:rsidR="003F44C2">
        <w:t>gNB</w:t>
      </w:r>
      <w:proofErr w:type="spellEnd"/>
      <w:r w:rsidR="007E68EC">
        <w:t xml:space="preserve"> </w:t>
      </w:r>
      <w:r w:rsidR="003F44C2">
        <w:t>configures set(s) of inference related parameters to reques</w:t>
      </w:r>
      <w:bookmarkStart w:id="4" w:name="_GoBack"/>
      <w:bookmarkEnd w:id="4"/>
      <w:r w:rsidR="003F44C2">
        <w:t>t applicability reporting</w:t>
      </w:r>
      <w:r w:rsidR="007E68EC">
        <w:t xml:space="preserve"> (i.e. using option B)</w:t>
      </w:r>
      <w:r w:rsidR="003F44C2">
        <w:t xml:space="preserve">. Mixed configuration should not be allowed e.g. </w:t>
      </w:r>
      <w:proofErr w:type="spellStart"/>
      <w:r w:rsidR="003F44C2">
        <w:t>gNB</w:t>
      </w:r>
      <w:proofErr w:type="spellEnd"/>
      <w:r w:rsidR="003F44C2">
        <w:t xml:space="preserve"> should not request some CSI-</w:t>
      </w:r>
      <w:proofErr w:type="spellStart"/>
      <w:r w:rsidR="003F44C2">
        <w:t>ReportConfigs</w:t>
      </w:r>
      <w:proofErr w:type="spellEnd"/>
      <w:r w:rsidR="003F44C2">
        <w:t xml:space="preserve"> and some sets of inference related parameters simultaneously for the same UE. </w:t>
      </w:r>
    </w:p>
    <w:p w14:paraId="271F608D" w14:textId="6FBAA9EB" w:rsidR="00193F9C" w:rsidRPr="008A2CE1" w:rsidRDefault="00193F9C" w:rsidP="003B10E9">
      <w:pPr>
        <w:jc w:val="both"/>
        <w:rPr>
          <w:b/>
        </w:rPr>
      </w:pPr>
      <w:bookmarkStart w:id="5" w:name="pro4"/>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3B10E9">
        <w:rPr>
          <w:rFonts w:cs="Calibri"/>
          <w:b/>
          <w:bCs/>
          <w:noProof/>
        </w:rPr>
        <w:t>4</w:t>
      </w:r>
      <w:r w:rsidRPr="008A2CE1">
        <w:rPr>
          <w:rFonts w:cs="Calibri"/>
          <w:b/>
          <w:bCs/>
        </w:rPr>
        <w:fldChar w:fldCharType="end"/>
      </w:r>
      <w:r w:rsidRPr="008A2CE1">
        <w:rPr>
          <w:b/>
        </w:rPr>
        <w:t xml:space="preserve">: </w:t>
      </w:r>
      <w:r>
        <w:rPr>
          <w:b/>
        </w:rPr>
        <w:t>either option A or option B is configured for one UE</w:t>
      </w:r>
      <w:r w:rsidR="003F44C2">
        <w:rPr>
          <w:b/>
        </w:rPr>
        <w:t xml:space="preserve"> </w:t>
      </w:r>
      <w:proofErr w:type="spellStart"/>
      <w:r w:rsidR="003F44C2">
        <w:rPr>
          <w:b/>
        </w:rPr>
        <w:t>i.e</w:t>
      </w:r>
      <w:proofErr w:type="spellEnd"/>
      <w:r w:rsidR="003F44C2">
        <w:rPr>
          <w:b/>
        </w:rPr>
        <w:t xml:space="preserve"> either option for all configured functionalities</w:t>
      </w:r>
      <w:r>
        <w:rPr>
          <w:b/>
        </w:rPr>
        <w:t xml:space="preserve">. </w:t>
      </w:r>
    </w:p>
    <w:bookmarkEnd w:id="5"/>
    <w:p w14:paraId="26FA69FD" w14:textId="1F957512" w:rsidR="001840BE" w:rsidRDefault="00193F9C" w:rsidP="003B10E9">
      <w:pPr>
        <w:jc w:val="both"/>
      </w:pPr>
      <w:r>
        <w:t>I</w:t>
      </w:r>
      <w:r w:rsidR="005F01C9">
        <w:t xml:space="preserve">f we assume that set(s) of inference related parameters is configured in </w:t>
      </w:r>
      <w:proofErr w:type="spellStart"/>
      <w:r w:rsidR="005F01C9">
        <w:t>otherConfig</w:t>
      </w:r>
      <w:proofErr w:type="spellEnd"/>
      <w:r w:rsidR="005F01C9">
        <w:t xml:space="preserve">. UE can assume that if set(s) of inference related parameters is configured, option B is used. Otherwise, option A is used. </w:t>
      </w:r>
    </w:p>
    <w:p w14:paraId="27275A44" w14:textId="41897791" w:rsidR="00193F9C" w:rsidRPr="008A2CE1" w:rsidRDefault="00193F9C" w:rsidP="003B10E9">
      <w:pPr>
        <w:jc w:val="both"/>
        <w:rPr>
          <w:b/>
        </w:rPr>
      </w:pPr>
      <w:bookmarkStart w:id="6" w:name="pro5"/>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3B10E9">
        <w:rPr>
          <w:rFonts w:cs="Calibri"/>
          <w:b/>
          <w:bCs/>
          <w:noProof/>
        </w:rPr>
        <w:t>5</w:t>
      </w:r>
      <w:r w:rsidRPr="008A2CE1">
        <w:rPr>
          <w:rFonts w:cs="Calibri"/>
          <w:b/>
          <w:bCs/>
        </w:rPr>
        <w:fldChar w:fldCharType="end"/>
      </w:r>
      <w:r w:rsidRPr="008A2CE1">
        <w:rPr>
          <w:b/>
        </w:rPr>
        <w:t xml:space="preserve">: </w:t>
      </w:r>
      <w:r>
        <w:rPr>
          <w:b/>
        </w:rPr>
        <w:t xml:space="preserve">option A or option B is implicitly indicated with the presence of a set of inference related parameters in </w:t>
      </w:r>
      <w:proofErr w:type="spellStart"/>
      <w:r>
        <w:rPr>
          <w:b/>
        </w:rPr>
        <w:t>otherConfig</w:t>
      </w:r>
      <w:proofErr w:type="spellEnd"/>
      <w:r>
        <w:rPr>
          <w:b/>
        </w:rPr>
        <w:t xml:space="preserve">. </w:t>
      </w:r>
    </w:p>
    <w:bookmarkEnd w:id="6"/>
    <w:p w14:paraId="554FFC21" w14:textId="1A01C270" w:rsidR="0033695F" w:rsidRDefault="00193F9C" w:rsidP="003B10E9">
      <w:pPr>
        <w:jc w:val="both"/>
      </w:pPr>
      <w:r>
        <w:t>A remaining question is whether UE can also indicate applicability status for CSI-</w:t>
      </w:r>
      <w:proofErr w:type="spellStart"/>
      <w:r>
        <w:t>ReportConfig</w:t>
      </w:r>
      <w:proofErr w:type="spellEnd"/>
      <w:r w:rsidR="00E027D0">
        <w:t xml:space="preserve"> in option B</w:t>
      </w:r>
      <w:r w:rsidR="00886044">
        <w:t xml:space="preserve"> in Step 5</w:t>
      </w:r>
      <w:r w:rsidR="00E027D0">
        <w:t xml:space="preserve">. One </w:t>
      </w:r>
      <w:r w:rsidR="00E027D0">
        <w:rPr>
          <w:rFonts w:hint="eastAsia"/>
        </w:rPr>
        <w:t>c</w:t>
      </w:r>
      <w:r w:rsidR="00E027D0">
        <w:t>an consider that it is necessary for UE to indicate when a configured CSI-</w:t>
      </w:r>
      <w:proofErr w:type="spellStart"/>
      <w:r w:rsidR="00E027D0">
        <w:t>ReportConfig</w:t>
      </w:r>
      <w:proofErr w:type="spellEnd"/>
      <w:r w:rsidR="00E027D0">
        <w:t xml:space="preserve"> is non-applicable similar to option A. However, as long as the associated a set of inference related parameter is configured, the UE can still indicate the change of applicability status</w:t>
      </w:r>
      <w:r w:rsidR="003F44C2">
        <w:t xml:space="preserve"> in UAI</w:t>
      </w:r>
      <w:r w:rsidR="00E027D0">
        <w:t xml:space="preserve"> and </w:t>
      </w:r>
      <w:proofErr w:type="spellStart"/>
      <w:r w:rsidR="00E027D0">
        <w:t>gNB</w:t>
      </w:r>
      <w:proofErr w:type="spellEnd"/>
      <w:r w:rsidR="00E027D0">
        <w:t xml:space="preserve"> can be aware of changing of applicability status</w:t>
      </w:r>
      <w:r w:rsidR="00886044">
        <w:t xml:space="preserve"> of the configured CSI-</w:t>
      </w:r>
      <w:proofErr w:type="spellStart"/>
      <w:r w:rsidR="00886044">
        <w:t>ReportConfig</w:t>
      </w:r>
      <w:proofErr w:type="spellEnd"/>
      <w:r w:rsidR="00E027D0">
        <w:t xml:space="preserve">. </w:t>
      </w:r>
    </w:p>
    <w:p w14:paraId="6F85A966" w14:textId="5574557A" w:rsidR="00E027D0" w:rsidRPr="008A2CE1" w:rsidRDefault="00E027D0" w:rsidP="003B10E9">
      <w:pPr>
        <w:jc w:val="both"/>
        <w:rPr>
          <w:b/>
        </w:rPr>
      </w:pPr>
      <w:bookmarkStart w:id="7" w:name="pro6"/>
      <w:r w:rsidRPr="008A2CE1">
        <w:rPr>
          <w:b/>
        </w:rPr>
        <w:t xml:space="preserve">Proposal </w:t>
      </w:r>
      <w:r w:rsidRPr="008A2CE1">
        <w:rPr>
          <w:rFonts w:cs="Calibri"/>
          <w:b/>
          <w:bCs/>
        </w:rPr>
        <w:fldChar w:fldCharType="begin"/>
      </w:r>
      <w:r w:rsidRPr="008A2CE1">
        <w:rPr>
          <w:rFonts w:cs="Calibri"/>
          <w:b/>
          <w:bCs/>
        </w:rPr>
        <w:instrText xml:space="preserve"> SEQ pro \* MERGEFORMAT  \* MERGEFORMAT </w:instrText>
      </w:r>
      <w:r w:rsidRPr="008A2CE1">
        <w:rPr>
          <w:rFonts w:cs="Calibri"/>
          <w:b/>
          <w:bCs/>
        </w:rPr>
        <w:fldChar w:fldCharType="separate"/>
      </w:r>
      <w:r w:rsidR="003B10E9">
        <w:rPr>
          <w:rFonts w:cs="Calibri"/>
          <w:b/>
          <w:bCs/>
          <w:noProof/>
        </w:rPr>
        <w:t>6</w:t>
      </w:r>
      <w:r w:rsidRPr="008A2CE1">
        <w:rPr>
          <w:rFonts w:cs="Calibri"/>
          <w:b/>
          <w:bCs/>
        </w:rPr>
        <w:fldChar w:fldCharType="end"/>
      </w:r>
      <w:r w:rsidRPr="008A2CE1">
        <w:rPr>
          <w:b/>
        </w:rPr>
        <w:t xml:space="preserve">: </w:t>
      </w:r>
      <w:r>
        <w:rPr>
          <w:b/>
        </w:rPr>
        <w:t xml:space="preserve">in option B, the UE doesn’t send applicability indication for </w:t>
      </w:r>
      <w:r w:rsidR="00886044">
        <w:rPr>
          <w:b/>
        </w:rPr>
        <w:t xml:space="preserve">a configured </w:t>
      </w:r>
      <w:r>
        <w:rPr>
          <w:b/>
        </w:rPr>
        <w:t>CSI-</w:t>
      </w:r>
      <w:proofErr w:type="spellStart"/>
      <w:r>
        <w:rPr>
          <w:b/>
        </w:rPr>
        <w:t>ReportConfig</w:t>
      </w:r>
      <w:proofErr w:type="spellEnd"/>
      <w:r w:rsidR="00676A3E">
        <w:rPr>
          <w:b/>
        </w:rPr>
        <w:t xml:space="preserve">. </w:t>
      </w:r>
    </w:p>
    <w:bookmarkEnd w:id="7"/>
    <w:p w14:paraId="559F2F4D" w14:textId="2C712748" w:rsidR="00676A3E" w:rsidRDefault="00676A3E" w:rsidP="003B10E9">
      <w:pPr>
        <w:jc w:val="both"/>
      </w:pPr>
      <w:r>
        <w:t xml:space="preserve">The following shows an example of how option B is included </w:t>
      </w:r>
      <w:r w:rsidR="00886044">
        <w:t xml:space="preserve">based on </w:t>
      </w:r>
      <w:r>
        <w:t xml:space="preserve">the current </w:t>
      </w:r>
      <w:proofErr w:type="spellStart"/>
      <w:r>
        <w:t>applicabilityReportList</w:t>
      </w:r>
      <w:proofErr w:type="spellEnd"/>
      <w:r>
        <w:t xml:space="preserve"> provided by the CR rapporteur. </w:t>
      </w:r>
    </w:p>
    <w:p w14:paraId="6D02B0C3" w14:textId="77777777" w:rsidR="00E027D0" w:rsidRPr="000C3103" w:rsidRDefault="00E027D0" w:rsidP="00E027D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C3103">
        <w:rPr>
          <w:rFonts w:ascii="Arial" w:hAnsi="Arial"/>
          <w:sz w:val="24"/>
          <w:lang w:eastAsia="ja-JP"/>
        </w:rPr>
        <w:t>–</w:t>
      </w:r>
      <w:r w:rsidRPr="000C3103">
        <w:rPr>
          <w:rFonts w:ascii="Arial" w:hAnsi="Arial"/>
          <w:sz w:val="24"/>
          <w:lang w:eastAsia="ja-JP"/>
        </w:rPr>
        <w:tab/>
      </w:r>
      <w:proofErr w:type="spellStart"/>
      <w:r w:rsidRPr="000C3103">
        <w:rPr>
          <w:rFonts w:ascii="Arial" w:hAnsi="Arial"/>
          <w:i/>
          <w:sz w:val="24"/>
          <w:lang w:eastAsia="ja-JP"/>
        </w:rPr>
        <w:t>ApplicabilityReportList</w:t>
      </w:r>
      <w:proofErr w:type="spellEnd"/>
    </w:p>
    <w:p w14:paraId="1B44278C" w14:textId="77777777" w:rsidR="00E027D0" w:rsidRPr="000C3103" w:rsidRDefault="00E027D0" w:rsidP="00E027D0">
      <w:pPr>
        <w:overflowPunct w:val="0"/>
        <w:autoSpaceDE w:val="0"/>
        <w:autoSpaceDN w:val="0"/>
        <w:adjustRightInd w:val="0"/>
        <w:textAlignment w:val="baseline"/>
        <w:rPr>
          <w:lang w:eastAsia="zh-CN"/>
        </w:rPr>
      </w:pPr>
      <w:r w:rsidRPr="000C3103">
        <w:rPr>
          <w:lang w:eastAsia="ja-JP"/>
        </w:rPr>
        <w:t xml:space="preserve">The IE </w:t>
      </w:r>
      <w:proofErr w:type="spellStart"/>
      <w:r w:rsidRPr="000C3103">
        <w:rPr>
          <w:i/>
          <w:lang w:eastAsia="ja-JP"/>
        </w:rPr>
        <w:t>ApplicabilityReportList</w:t>
      </w:r>
      <w:proofErr w:type="spellEnd"/>
      <w:r w:rsidRPr="000C3103">
        <w:rPr>
          <w:i/>
          <w:lang w:eastAsia="ja-JP"/>
        </w:rPr>
        <w:t xml:space="preserve"> </w:t>
      </w:r>
      <w:r w:rsidRPr="000C3103">
        <w:rPr>
          <w:lang w:eastAsia="ja-JP"/>
        </w:rPr>
        <w:t>comprises information that the UE reports to gNB related to the applicability of the radio measurement prediction</w:t>
      </w:r>
      <w:r>
        <w:rPr>
          <w:lang w:eastAsia="ja-JP"/>
        </w:rPr>
        <w:t xml:space="preserve"> configurations</w:t>
      </w:r>
      <w:r w:rsidRPr="000C3103">
        <w:rPr>
          <w:lang w:eastAsia="ja-JP"/>
        </w:rPr>
        <w:t xml:space="preserve"> at UE.</w:t>
      </w:r>
    </w:p>
    <w:p w14:paraId="20ADDF55" w14:textId="77777777" w:rsidR="00E027D0" w:rsidRPr="000C3103" w:rsidRDefault="00E027D0" w:rsidP="00E027D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C3103">
        <w:rPr>
          <w:rFonts w:ascii="Arial" w:hAnsi="Arial"/>
          <w:b/>
          <w:i/>
          <w:lang w:eastAsia="ja-JP"/>
        </w:rPr>
        <w:t>ApplicabilityReportList</w:t>
      </w:r>
      <w:proofErr w:type="spellEnd"/>
      <w:r w:rsidRPr="000C3103">
        <w:rPr>
          <w:rFonts w:ascii="Arial" w:hAnsi="Arial"/>
          <w:b/>
          <w:i/>
          <w:lang w:eastAsia="ja-JP"/>
        </w:rPr>
        <w:t xml:space="preserve"> </w:t>
      </w:r>
      <w:r w:rsidRPr="000C3103">
        <w:rPr>
          <w:rFonts w:ascii="Arial" w:hAnsi="Arial"/>
          <w:b/>
          <w:lang w:eastAsia="ja-JP"/>
        </w:rPr>
        <w:t>information element</w:t>
      </w:r>
    </w:p>
    <w:p w14:paraId="495D7F91"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lang w:eastAsia="en-GB"/>
        </w:rPr>
      </w:pPr>
      <w:r w:rsidRPr="003E4191">
        <w:rPr>
          <w:rFonts w:ascii="Courier New" w:hAnsi="Courier New"/>
          <w:color w:val="808080"/>
          <w:sz w:val="14"/>
          <w:lang w:eastAsia="en-GB"/>
        </w:rPr>
        <w:t>-- ASN1START</w:t>
      </w:r>
    </w:p>
    <w:p w14:paraId="22F3C6A7"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lang w:eastAsia="en-GB"/>
        </w:rPr>
      </w:pPr>
      <w:r w:rsidRPr="003E4191">
        <w:rPr>
          <w:rFonts w:ascii="Courier New" w:hAnsi="Courier New"/>
          <w:color w:val="808080"/>
          <w:sz w:val="14"/>
          <w:lang w:eastAsia="en-GB"/>
        </w:rPr>
        <w:t>-- TAG-APPLICABILITYREPORTLIST-START</w:t>
      </w:r>
    </w:p>
    <w:p w14:paraId="7D18BA7F"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38B7A56E"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ApplicabilityReportList-r</w:t>
      </w:r>
      <w:proofErr w:type="gramStart"/>
      <w:r w:rsidRPr="003E4191">
        <w:rPr>
          <w:rFonts w:ascii="Courier New" w:hAnsi="Courier New"/>
          <w:sz w:val="14"/>
          <w:lang w:eastAsia="en-GB"/>
        </w:rPr>
        <w:t>19 ::=</w:t>
      </w:r>
      <w:proofErr w:type="gramEnd"/>
      <w:r w:rsidRPr="003E4191">
        <w:rPr>
          <w:rFonts w:ascii="Courier New" w:hAnsi="Courier New"/>
          <w:sz w:val="14"/>
          <w:lang w:eastAsia="en-GB"/>
        </w:rPr>
        <w:t xml:space="preserve">   </w:t>
      </w:r>
      <w:r w:rsidRPr="003E4191">
        <w:rPr>
          <w:rFonts w:ascii="Courier New" w:hAnsi="Courier New"/>
          <w:color w:val="993366"/>
          <w:sz w:val="14"/>
          <w:lang w:eastAsia="en-GB"/>
        </w:rPr>
        <w:t>SEQUENCE</w:t>
      </w:r>
      <w:r w:rsidRPr="003E4191">
        <w:rPr>
          <w:rFonts w:ascii="Courier New" w:hAnsi="Courier New"/>
          <w:sz w:val="14"/>
          <w:lang w:eastAsia="en-GB"/>
        </w:rPr>
        <w:t xml:space="preserve"> (</w:t>
      </w:r>
      <w:r w:rsidRPr="003E4191">
        <w:rPr>
          <w:rFonts w:ascii="Courier New" w:hAnsi="Courier New"/>
          <w:color w:val="993366"/>
          <w:sz w:val="14"/>
          <w:lang w:eastAsia="en-GB"/>
        </w:rPr>
        <w:t>SIZE</w:t>
      </w:r>
      <w:r w:rsidRPr="003E4191">
        <w:rPr>
          <w:rFonts w:ascii="Courier New" w:hAnsi="Courier New"/>
          <w:sz w:val="14"/>
          <w:lang w:eastAsia="en-GB"/>
        </w:rPr>
        <w:t xml:space="preserve"> (1..</w:t>
      </w:r>
      <w:r w:rsidRPr="003E4191">
        <w:rPr>
          <w:rFonts w:ascii="Courier New" w:hAnsi="Courier New"/>
          <w:color w:val="FF0000"/>
          <w:sz w:val="14"/>
          <w:lang w:eastAsia="en-GB"/>
        </w:rPr>
        <w:t>FFS</w:t>
      </w:r>
      <w:r w:rsidRPr="003E4191">
        <w:rPr>
          <w:rFonts w:ascii="Courier New" w:hAnsi="Courier New"/>
          <w:sz w:val="14"/>
          <w:lang w:eastAsia="en-GB"/>
        </w:rPr>
        <w:t>))</w:t>
      </w:r>
      <w:r w:rsidRPr="003E4191">
        <w:rPr>
          <w:rFonts w:ascii="Courier New" w:hAnsi="Courier New"/>
          <w:color w:val="993366"/>
          <w:sz w:val="14"/>
          <w:lang w:eastAsia="en-GB"/>
        </w:rPr>
        <w:t xml:space="preserve"> OF</w:t>
      </w:r>
      <w:r w:rsidRPr="003E4191">
        <w:rPr>
          <w:rFonts w:ascii="Courier New" w:hAnsi="Courier New"/>
          <w:sz w:val="14"/>
          <w:lang w:eastAsia="en-GB"/>
        </w:rPr>
        <w:t xml:space="preserve"> ApplicabilityReport-r19</w:t>
      </w:r>
    </w:p>
    <w:p w14:paraId="78523A35"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05900DE0"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ApplicabilityReport-r</w:t>
      </w:r>
      <w:proofErr w:type="gramStart"/>
      <w:r w:rsidRPr="003E4191">
        <w:rPr>
          <w:rFonts w:ascii="Courier New" w:hAnsi="Courier New"/>
          <w:sz w:val="14"/>
          <w:lang w:eastAsia="en-GB"/>
        </w:rPr>
        <w:t>19 ::=</w:t>
      </w:r>
      <w:proofErr w:type="gramEnd"/>
      <w:r w:rsidRPr="003E4191">
        <w:rPr>
          <w:rFonts w:ascii="Courier New" w:hAnsi="Courier New"/>
          <w:sz w:val="14"/>
          <w:lang w:eastAsia="en-GB"/>
        </w:rPr>
        <w:t xml:space="preserve">       </w:t>
      </w:r>
      <w:r w:rsidRPr="003E4191">
        <w:rPr>
          <w:rFonts w:ascii="Courier New" w:hAnsi="Courier New"/>
          <w:color w:val="993366"/>
          <w:sz w:val="14"/>
          <w:lang w:eastAsia="en-GB"/>
        </w:rPr>
        <w:t>SEQUENCE</w:t>
      </w:r>
      <w:r w:rsidRPr="003E4191">
        <w:rPr>
          <w:rFonts w:ascii="Courier New" w:hAnsi="Courier New"/>
          <w:sz w:val="14"/>
          <w:lang w:eastAsia="en-GB"/>
        </w:rPr>
        <w:t xml:space="preserve"> {</w:t>
      </w:r>
    </w:p>
    <w:p w14:paraId="0270FF5A"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applicabilityCellId-r19               </w:t>
      </w:r>
      <w:proofErr w:type="spellStart"/>
      <w:r w:rsidRPr="003E4191">
        <w:rPr>
          <w:rFonts w:ascii="Courier New" w:hAnsi="Courier New"/>
          <w:sz w:val="14"/>
          <w:lang w:eastAsia="en-GB"/>
        </w:rPr>
        <w:t>ServCellIndex</w:t>
      </w:r>
      <w:proofErr w:type="spellEnd"/>
      <w:r w:rsidRPr="003E4191">
        <w:rPr>
          <w:rFonts w:ascii="Courier New" w:hAnsi="Courier New"/>
          <w:sz w:val="14"/>
          <w:lang w:eastAsia="en-GB"/>
        </w:rPr>
        <w:t>,</w:t>
      </w:r>
    </w:p>
    <w:p w14:paraId="5F9F2C4D" w14:textId="2BB5D548"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w:t>
      </w:r>
      <w:r w:rsidRPr="003E4191">
        <w:rPr>
          <w:rFonts w:ascii="Courier New" w:hAnsi="Courier New"/>
          <w:color w:val="FF0000"/>
          <w:sz w:val="14"/>
          <w:u w:val="single"/>
          <w:lang w:eastAsia="en-GB"/>
        </w:rPr>
        <w:t xml:space="preserve"> </w:t>
      </w:r>
      <w:proofErr w:type="spellStart"/>
      <w:proofErr w:type="gramStart"/>
      <w:r w:rsidRPr="003E4191">
        <w:rPr>
          <w:rFonts w:ascii="Courier New" w:hAnsi="Courier New"/>
          <w:color w:val="FF0000"/>
          <w:sz w:val="14"/>
          <w:lang w:eastAsia="en-GB"/>
        </w:rPr>
        <w:t>applicabilityReportType</w:t>
      </w:r>
      <w:proofErr w:type="spellEnd"/>
      <w:r w:rsidRPr="003E4191">
        <w:rPr>
          <w:rFonts w:ascii="Courier New" w:hAnsi="Courier New"/>
          <w:color w:val="FF0000"/>
          <w:sz w:val="14"/>
          <w:lang w:eastAsia="en-GB"/>
        </w:rPr>
        <w:t xml:space="preserve">  CHOIC</w:t>
      </w:r>
      <w:r w:rsidR="00676A3E" w:rsidRPr="003E4191">
        <w:rPr>
          <w:rFonts w:ascii="Courier New" w:hAnsi="Courier New"/>
          <w:color w:val="FF0000"/>
          <w:sz w:val="14"/>
          <w:lang w:eastAsia="en-GB"/>
        </w:rPr>
        <w:t>E</w:t>
      </w:r>
      <w:proofErr w:type="gramEnd"/>
      <w:r w:rsidRPr="003E4191">
        <w:rPr>
          <w:rFonts w:ascii="Courier New" w:hAnsi="Courier New"/>
          <w:color w:val="FF0000"/>
          <w:sz w:val="14"/>
          <w:lang w:eastAsia="en-GB"/>
        </w:rPr>
        <w:t xml:space="preserve"> {</w:t>
      </w:r>
    </w:p>
    <w:p w14:paraId="4400E348" w14:textId="0BC34850"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applicabilityReportConfigIdList-r19      </w:t>
      </w:r>
      <w:r w:rsidRPr="003E4191">
        <w:rPr>
          <w:rFonts w:ascii="Courier New" w:hAnsi="Courier New"/>
          <w:color w:val="993366"/>
          <w:sz w:val="14"/>
          <w:lang w:eastAsia="en-GB"/>
        </w:rPr>
        <w:t>SEQUENCE</w:t>
      </w:r>
      <w:r w:rsidRPr="003E4191">
        <w:rPr>
          <w:rFonts w:ascii="Courier New" w:hAnsi="Courier New"/>
          <w:sz w:val="14"/>
          <w:lang w:eastAsia="en-GB"/>
        </w:rPr>
        <w:t xml:space="preserve"> (</w:t>
      </w:r>
      <w:r w:rsidRPr="003E4191">
        <w:rPr>
          <w:rFonts w:ascii="Courier New" w:hAnsi="Courier New"/>
          <w:color w:val="993366"/>
          <w:sz w:val="14"/>
          <w:lang w:eastAsia="en-GB"/>
        </w:rPr>
        <w:t>SIZE</w:t>
      </w:r>
      <w:r w:rsidRPr="003E4191">
        <w:rPr>
          <w:rFonts w:ascii="Courier New" w:hAnsi="Courier New"/>
          <w:sz w:val="14"/>
          <w:lang w:eastAsia="en-GB"/>
        </w:rPr>
        <w:t xml:space="preserve"> (</w:t>
      </w:r>
      <w:proofErr w:type="gramStart"/>
      <w:r w:rsidRPr="003E4191">
        <w:rPr>
          <w:rFonts w:ascii="Courier New" w:hAnsi="Courier New"/>
          <w:sz w:val="14"/>
          <w:lang w:eastAsia="en-GB"/>
        </w:rPr>
        <w:t>1..</w:t>
      </w:r>
      <w:proofErr w:type="gramEnd"/>
      <w:r w:rsidRPr="003E4191">
        <w:rPr>
          <w:rFonts w:ascii="Courier New" w:hAnsi="Courier New"/>
          <w:sz w:val="14"/>
          <w:lang w:eastAsia="en-GB"/>
        </w:rPr>
        <w:t>maxNrofApplicabilityReports))</w:t>
      </w:r>
      <w:r w:rsidRPr="003E4191">
        <w:rPr>
          <w:rFonts w:ascii="Courier New" w:hAnsi="Courier New"/>
          <w:color w:val="993366"/>
          <w:sz w:val="14"/>
          <w:lang w:eastAsia="en-GB"/>
        </w:rPr>
        <w:t xml:space="preserve"> OF</w:t>
      </w:r>
      <w:r w:rsidRPr="003E4191">
        <w:rPr>
          <w:rFonts w:ascii="Courier New" w:hAnsi="Courier New"/>
          <w:sz w:val="14"/>
          <w:lang w:eastAsia="en-GB"/>
        </w:rPr>
        <w:t xml:space="preserve"> ApplicabilityReportConfigIdList-r19,</w:t>
      </w:r>
    </w:p>
    <w:p w14:paraId="7E2386BA" w14:textId="489D75B8"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u w:val="single"/>
          <w:lang w:eastAsia="en-GB"/>
        </w:rPr>
      </w:pPr>
      <w:r w:rsidRPr="003E4191">
        <w:rPr>
          <w:rFonts w:ascii="Courier New" w:hAnsi="Courier New"/>
          <w:sz w:val="14"/>
          <w:lang w:eastAsia="en-GB"/>
        </w:rPr>
        <w:t xml:space="preserve">        </w:t>
      </w:r>
      <w:r w:rsidRPr="003E4191">
        <w:rPr>
          <w:rFonts w:ascii="Courier New" w:hAnsi="Courier New"/>
          <w:color w:val="FF0000"/>
          <w:sz w:val="14"/>
          <w:u w:val="single"/>
          <w:lang w:eastAsia="en-GB"/>
        </w:rPr>
        <w:t xml:space="preserve"> applicabilityReportConfigId</w:t>
      </w:r>
      <w:r w:rsidR="00676A3E" w:rsidRPr="003E4191">
        <w:rPr>
          <w:rFonts w:ascii="Courier New" w:hAnsi="Courier New"/>
          <w:color w:val="FF0000"/>
          <w:sz w:val="14"/>
          <w:u w:val="single"/>
          <w:lang w:eastAsia="en-GB"/>
        </w:rPr>
        <w:t>OptionB</w:t>
      </w:r>
      <w:r w:rsidRPr="003E4191">
        <w:rPr>
          <w:rFonts w:ascii="Courier New" w:hAnsi="Courier New"/>
          <w:color w:val="FF0000"/>
          <w:sz w:val="14"/>
          <w:u w:val="single"/>
          <w:lang w:eastAsia="en-GB"/>
        </w:rPr>
        <w:t>List-r19      SEQUENCE (SIZE (</w:t>
      </w:r>
      <w:proofErr w:type="gramStart"/>
      <w:r w:rsidRPr="003E4191">
        <w:rPr>
          <w:rFonts w:ascii="Courier New" w:hAnsi="Courier New"/>
          <w:color w:val="FF0000"/>
          <w:sz w:val="14"/>
          <w:u w:val="single"/>
          <w:lang w:eastAsia="en-GB"/>
        </w:rPr>
        <w:t>1..</w:t>
      </w:r>
      <w:proofErr w:type="gramEnd"/>
      <w:r w:rsidRPr="003E4191">
        <w:rPr>
          <w:rFonts w:ascii="Courier New" w:hAnsi="Courier New"/>
          <w:color w:val="FF0000"/>
          <w:sz w:val="14"/>
          <w:u w:val="single"/>
          <w:lang w:eastAsia="en-GB"/>
        </w:rPr>
        <w:t>maxNrofApplicabilityReports)) OF ApplicabilityReportConfigId</w:t>
      </w:r>
      <w:r w:rsidR="00676A3E" w:rsidRPr="003E4191">
        <w:rPr>
          <w:rFonts w:ascii="Courier New" w:hAnsi="Courier New"/>
          <w:color w:val="FF0000"/>
          <w:sz w:val="14"/>
          <w:u w:val="single"/>
          <w:lang w:eastAsia="en-GB"/>
        </w:rPr>
        <w:t>B</w:t>
      </w:r>
      <w:r w:rsidRPr="003E4191">
        <w:rPr>
          <w:rFonts w:ascii="Courier New" w:hAnsi="Courier New"/>
          <w:color w:val="FF0000"/>
          <w:sz w:val="14"/>
          <w:u w:val="single"/>
          <w:lang w:eastAsia="en-GB"/>
        </w:rPr>
        <w:t>List-r19,</w:t>
      </w:r>
    </w:p>
    <w:p w14:paraId="17F776A2" w14:textId="741A626D"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w:t>
      </w:r>
    </w:p>
    <w:p w14:paraId="711C14DA"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w:t>
      </w:r>
    </w:p>
    <w:p w14:paraId="5D58DBEA"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lastRenderedPageBreak/>
        <w:t>}</w:t>
      </w:r>
    </w:p>
    <w:p w14:paraId="34F98F6D"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65002642"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ApplicabilityReportConfigIdList-r</w:t>
      </w:r>
      <w:proofErr w:type="gramStart"/>
      <w:r w:rsidRPr="003E4191">
        <w:rPr>
          <w:rFonts w:ascii="Courier New" w:hAnsi="Courier New"/>
          <w:sz w:val="14"/>
          <w:lang w:eastAsia="en-GB"/>
        </w:rPr>
        <w:t>19 ::=</w:t>
      </w:r>
      <w:proofErr w:type="gramEnd"/>
      <w:r w:rsidRPr="003E4191">
        <w:rPr>
          <w:rFonts w:ascii="Courier New" w:hAnsi="Courier New"/>
          <w:sz w:val="14"/>
          <w:lang w:eastAsia="en-GB"/>
        </w:rPr>
        <w:t xml:space="preserve">    </w:t>
      </w:r>
      <w:r w:rsidRPr="003E4191">
        <w:rPr>
          <w:rFonts w:ascii="Courier New" w:hAnsi="Courier New"/>
          <w:color w:val="993366"/>
          <w:sz w:val="14"/>
          <w:lang w:eastAsia="en-GB"/>
        </w:rPr>
        <w:t>SEQUENCE</w:t>
      </w:r>
      <w:r w:rsidRPr="003E4191">
        <w:rPr>
          <w:rFonts w:ascii="Courier New" w:hAnsi="Courier New"/>
          <w:sz w:val="14"/>
          <w:lang w:eastAsia="en-GB"/>
        </w:rPr>
        <w:t xml:space="preserve"> {</w:t>
      </w:r>
    </w:p>
    <w:p w14:paraId="51C88DC3"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applicabilityReportConfigId-r19                CSI-</w:t>
      </w:r>
      <w:proofErr w:type="spellStart"/>
      <w:r w:rsidRPr="003E4191">
        <w:rPr>
          <w:rFonts w:ascii="Courier New" w:hAnsi="Courier New"/>
          <w:sz w:val="14"/>
          <w:lang w:eastAsia="en-GB"/>
        </w:rPr>
        <w:t>ReportConfigId</w:t>
      </w:r>
      <w:proofErr w:type="spellEnd"/>
      <w:r w:rsidRPr="003E4191">
        <w:rPr>
          <w:rFonts w:ascii="Courier New" w:hAnsi="Courier New"/>
          <w:sz w:val="14"/>
          <w:lang w:eastAsia="en-GB"/>
        </w:rPr>
        <w:t>,</w:t>
      </w:r>
    </w:p>
    <w:p w14:paraId="15F35F3D"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applicabilityStatus-r19                        </w:t>
      </w:r>
      <w:r w:rsidRPr="003E4191">
        <w:rPr>
          <w:rFonts w:ascii="Courier New" w:hAnsi="Courier New"/>
          <w:color w:val="993366"/>
          <w:sz w:val="14"/>
          <w:lang w:eastAsia="en-GB"/>
        </w:rPr>
        <w:t>ENUMERATED</w:t>
      </w:r>
      <w:r w:rsidRPr="003E4191">
        <w:rPr>
          <w:rFonts w:ascii="Courier New" w:hAnsi="Courier New"/>
          <w:sz w:val="14"/>
          <w:lang w:eastAsia="en-GB"/>
        </w:rPr>
        <w:t xml:space="preserve"> {true},</w:t>
      </w:r>
    </w:p>
    <w:p w14:paraId="34996221"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 xml:space="preserve">    ...</w:t>
      </w:r>
    </w:p>
    <w:p w14:paraId="7B5663F3"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r w:rsidRPr="003E4191">
        <w:rPr>
          <w:rFonts w:ascii="Courier New" w:hAnsi="Courier New"/>
          <w:sz w:val="14"/>
          <w:lang w:eastAsia="en-GB"/>
        </w:rPr>
        <w:t>}</w:t>
      </w:r>
    </w:p>
    <w:p w14:paraId="3C456AEC" w14:textId="3CE8B7C2"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5B513590" w14:textId="49428483"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ApplicabilityReportConfigIdOptionBList-r</w:t>
      </w:r>
      <w:proofErr w:type="gramStart"/>
      <w:r w:rsidRPr="003E4191">
        <w:rPr>
          <w:rFonts w:ascii="Courier New" w:hAnsi="Courier New"/>
          <w:color w:val="FF0000"/>
          <w:sz w:val="14"/>
          <w:u w:val="single"/>
          <w:lang w:eastAsia="en-GB"/>
        </w:rPr>
        <w:t>19 ::=</w:t>
      </w:r>
      <w:proofErr w:type="gramEnd"/>
      <w:r w:rsidRPr="003E4191">
        <w:rPr>
          <w:rFonts w:ascii="Courier New" w:hAnsi="Courier New"/>
          <w:color w:val="FF0000"/>
          <w:sz w:val="14"/>
          <w:u w:val="single"/>
          <w:lang w:eastAsia="en-GB"/>
        </w:rPr>
        <w:t xml:space="preserve">    SEQUENCE {</w:t>
      </w:r>
    </w:p>
    <w:p w14:paraId="5580CE9F" w14:textId="4785AEAA"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 xml:space="preserve">    applicabilityReportConfigId-r19                </w:t>
      </w:r>
      <w:proofErr w:type="spellStart"/>
      <w:r w:rsidRPr="003E4191">
        <w:rPr>
          <w:rFonts w:ascii="Courier New" w:hAnsi="Courier New"/>
          <w:color w:val="FF0000"/>
          <w:sz w:val="14"/>
          <w:u w:val="single"/>
          <w:lang w:eastAsia="en-GB"/>
        </w:rPr>
        <w:t>inferenceParameterId</w:t>
      </w:r>
      <w:proofErr w:type="spellEnd"/>
      <w:r w:rsidRPr="003E4191">
        <w:rPr>
          <w:rFonts w:ascii="Courier New" w:hAnsi="Courier New"/>
          <w:color w:val="FF0000"/>
          <w:sz w:val="14"/>
          <w:u w:val="single"/>
          <w:lang w:eastAsia="en-GB"/>
        </w:rPr>
        <w:t>,</w:t>
      </w:r>
    </w:p>
    <w:p w14:paraId="49838686" w14:textId="77777777"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 xml:space="preserve">    applicabilityStatus-r19                        ENUMERATED {true},</w:t>
      </w:r>
    </w:p>
    <w:p w14:paraId="55CC9793" w14:textId="77777777"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 xml:space="preserve">    ...</w:t>
      </w:r>
    </w:p>
    <w:p w14:paraId="24DFB487" w14:textId="77777777" w:rsidR="00676A3E" w:rsidRPr="003E4191" w:rsidRDefault="00676A3E" w:rsidP="00676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4"/>
          <w:u w:val="single"/>
          <w:lang w:eastAsia="en-GB"/>
        </w:rPr>
      </w:pPr>
      <w:r w:rsidRPr="003E4191">
        <w:rPr>
          <w:rFonts w:ascii="Courier New" w:hAnsi="Courier New"/>
          <w:color w:val="FF0000"/>
          <w:sz w:val="14"/>
          <w:u w:val="single"/>
          <w:lang w:eastAsia="en-GB"/>
        </w:rPr>
        <w:t>}</w:t>
      </w:r>
    </w:p>
    <w:p w14:paraId="46DE5AE1" w14:textId="77777777" w:rsidR="00676A3E" w:rsidRPr="003E4191" w:rsidRDefault="00676A3E"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lang w:eastAsia="en-GB"/>
        </w:rPr>
      </w:pPr>
    </w:p>
    <w:p w14:paraId="4E23AD22"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lang w:eastAsia="en-GB"/>
        </w:rPr>
      </w:pPr>
      <w:r w:rsidRPr="003E4191">
        <w:rPr>
          <w:rFonts w:ascii="Courier New" w:hAnsi="Courier New"/>
          <w:color w:val="808080"/>
          <w:sz w:val="14"/>
          <w:lang w:eastAsia="en-GB"/>
        </w:rPr>
        <w:t>-- TAG-APPLICABILITYREPORTLIST-STOP</w:t>
      </w:r>
    </w:p>
    <w:p w14:paraId="49B5E38B" w14:textId="77777777" w:rsidR="00E027D0" w:rsidRPr="003E4191" w:rsidRDefault="00E027D0" w:rsidP="00E02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lang w:eastAsia="en-GB"/>
        </w:rPr>
      </w:pPr>
      <w:r w:rsidRPr="003E4191">
        <w:rPr>
          <w:rFonts w:ascii="Courier New" w:hAnsi="Courier New"/>
          <w:color w:val="808080"/>
          <w:sz w:val="14"/>
          <w:lang w:eastAsia="en-GB"/>
        </w:rPr>
        <w:t>-- ASN1STOP</w:t>
      </w:r>
    </w:p>
    <w:p w14:paraId="2A307948" w14:textId="77777777" w:rsidR="00193F9C" w:rsidRPr="0033695F" w:rsidRDefault="00193F9C" w:rsidP="0033695F"/>
    <w:p w14:paraId="348110EF" w14:textId="11BB8159" w:rsidR="00187292" w:rsidRDefault="00187292" w:rsidP="00343F48">
      <w:pPr>
        <w:pStyle w:val="Heading1"/>
        <w:numPr>
          <w:ilvl w:val="0"/>
          <w:numId w:val="1"/>
        </w:numPr>
        <w:jc w:val="both"/>
      </w:pPr>
      <w:r>
        <w:t>Associated ID</w:t>
      </w:r>
    </w:p>
    <w:p w14:paraId="567709AE" w14:textId="5C435786" w:rsidR="00D12D0E" w:rsidRDefault="00A455D5" w:rsidP="00A455D5">
      <w:pPr>
        <w:jc w:val="both"/>
      </w:pPr>
      <w:r>
        <w:t>RAN1 i</w:t>
      </w:r>
      <w:r w:rsidR="00D12D0E">
        <w:t xml:space="preserve">ntroduced </w:t>
      </w:r>
      <w:r>
        <w:t xml:space="preserve">associated ID </w:t>
      </w:r>
      <w:r w:rsidR="00D12D0E">
        <w:t xml:space="preserve">to ensure consistence between inference and training. </w:t>
      </w:r>
      <w:r w:rsidR="00382127">
        <w:t xml:space="preserve">RAN1 agreed about the need of associated ID and how to provide associate IDs </w:t>
      </w:r>
      <w:r w:rsidR="002F6F1D">
        <w:t xml:space="preserve">as follows. </w:t>
      </w:r>
    </w:p>
    <w:tbl>
      <w:tblPr>
        <w:tblStyle w:val="TableGrid"/>
        <w:tblW w:w="0" w:type="auto"/>
        <w:tblLook w:val="04A0" w:firstRow="1" w:lastRow="0" w:firstColumn="1" w:lastColumn="0" w:noHBand="0" w:noVBand="1"/>
      </w:tblPr>
      <w:tblGrid>
        <w:gridCol w:w="9350"/>
      </w:tblGrid>
      <w:tr w:rsidR="002F6F1D" w:rsidRPr="005363E6" w14:paraId="76D2EF6F" w14:textId="77777777" w:rsidTr="002F6F1D">
        <w:tc>
          <w:tcPr>
            <w:tcW w:w="9350" w:type="dxa"/>
          </w:tcPr>
          <w:p w14:paraId="153877DA" w14:textId="77777777" w:rsidR="002F6F1D" w:rsidRPr="005363E6" w:rsidRDefault="002F6F1D" w:rsidP="002F6F1D">
            <w:pPr>
              <w:rPr>
                <w:rFonts w:ascii="Times New Roman" w:eastAsia="SimSun" w:hAnsi="Times New Roman" w:cs="Times New Roman"/>
                <w:color w:val="493118"/>
                <w:sz w:val="20"/>
                <w:szCs w:val="20"/>
                <w:lang w:eastAsia="zh-CN"/>
              </w:rPr>
            </w:pPr>
            <w:r w:rsidRPr="005363E6">
              <w:rPr>
                <w:rFonts w:ascii="Times New Roman" w:eastAsia="SimSun" w:hAnsi="Times New Roman" w:cs="Times New Roman"/>
                <w:color w:val="493118"/>
                <w:sz w:val="20"/>
                <w:szCs w:val="20"/>
                <w:lang w:eastAsia="zh-CN"/>
              </w:rPr>
              <w:t xml:space="preserve">For UE-sided model, in </w:t>
            </w:r>
            <w:r w:rsidRPr="005363E6">
              <w:rPr>
                <w:rFonts w:ascii="Times New Roman" w:eastAsia="SimSun" w:hAnsi="Times New Roman" w:cs="Times New Roman"/>
                <w:i/>
                <w:iCs/>
                <w:color w:val="493118"/>
                <w:sz w:val="20"/>
                <w:szCs w:val="20"/>
                <w:lang w:eastAsia="zh-CN"/>
              </w:rPr>
              <w:t>CSI-</w:t>
            </w:r>
            <w:proofErr w:type="spellStart"/>
            <w:r w:rsidRPr="005363E6">
              <w:rPr>
                <w:rFonts w:ascii="Times New Roman" w:eastAsia="SimSun" w:hAnsi="Times New Roman" w:cs="Times New Roman"/>
                <w:i/>
                <w:iCs/>
                <w:color w:val="493118"/>
                <w:sz w:val="20"/>
                <w:szCs w:val="20"/>
                <w:lang w:eastAsia="zh-CN"/>
              </w:rPr>
              <w:t>ReportConfig</w:t>
            </w:r>
            <w:proofErr w:type="spellEnd"/>
            <w:r w:rsidRPr="005363E6">
              <w:rPr>
                <w:rFonts w:ascii="Times New Roman" w:eastAsia="SimSun" w:hAnsi="Times New Roman" w:cs="Times New Roman"/>
                <w:color w:val="493118"/>
                <w:sz w:val="20"/>
                <w:szCs w:val="20"/>
                <w:lang w:eastAsia="zh-CN"/>
              </w:rPr>
              <w:t xml:space="preserve"> for inference</w:t>
            </w:r>
          </w:p>
          <w:p w14:paraId="325AA9DB" w14:textId="77777777" w:rsidR="002F6F1D" w:rsidRPr="005363E6" w:rsidRDefault="002F6F1D" w:rsidP="002F6F1D">
            <w:pPr>
              <w:numPr>
                <w:ilvl w:val="0"/>
                <w:numId w:val="19"/>
              </w:numPr>
              <w:spacing w:line="278" w:lineRule="auto"/>
              <w:rPr>
                <w:rFonts w:ascii="Times New Roman" w:eastAsia="SimSun" w:hAnsi="Times New Roman" w:cs="Times New Roman"/>
                <w:color w:val="493118"/>
                <w:sz w:val="20"/>
                <w:szCs w:val="20"/>
                <w:lang w:eastAsia="zh-CN"/>
              </w:rPr>
            </w:pPr>
            <w:r w:rsidRPr="005363E6">
              <w:rPr>
                <w:rFonts w:ascii="Times New Roman" w:eastAsia="SimSun" w:hAnsi="Times New Roman" w:cs="Times New Roman"/>
                <w:color w:val="493118"/>
                <w:sz w:val="20"/>
                <w:szCs w:val="20"/>
                <w:lang w:eastAsia="zh-CN"/>
              </w:rPr>
              <w:t xml:space="preserve">One or </w:t>
            </w:r>
            <w:r w:rsidRPr="005363E6">
              <w:rPr>
                <w:rFonts w:ascii="Times New Roman" w:eastAsia="SimSun" w:hAnsi="Times New Roman" w:cs="Times New Roman" w:hint="eastAsia"/>
                <w:color w:val="493118"/>
                <w:sz w:val="20"/>
                <w:szCs w:val="20"/>
                <w:lang w:eastAsia="zh-CN"/>
              </w:rPr>
              <w:t>two</w:t>
            </w:r>
            <w:r w:rsidRPr="005363E6">
              <w:rPr>
                <w:rFonts w:ascii="Times New Roman" w:eastAsia="SimSun" w:hAnsi="Times New Roman" w:cs="Times New Roman"/>
                <w:color w:val="493118"/>
                <w:sz w:val="20"/>
                <w:szCs w:val="20"/>
                <w:lang w:eastAsia="zh-CN"/>
              </w:rPr>
              <w:t xml:space="preserve"> associated IDs can be configured in </w:t>
            </w:r>
            <w:r w:rsidRPr="005363E6">
              <w:rPr>
                <w:rFonts w:ascii="Times New Roman" w:eastAsia="SimSun" w:hAnsi="Times New Roman" w:cs="Times New Roman"/>
                <w:i/>
                <w:iCs/>
                <w:color w:val="493118"/>
                <w:sz w:val="20"/>
                <w:szCs w:val="20"/>
                <w:lang w:eastAsia="zh-CN"/>
              </w:rPr>
              <w:t>CSI-</w:t>
            </w:r>
            <w:proofErr w:type="spellStart"/>
            <w:r w:rsidRPr="005363E6">
              <w:rPr>
                <w:rFonts w:ascii="Times New Roman" w:eastAsia="SimSun" w:hAnsi="Times New Roman" w:cs="Times New Roman"/>
                <w:i/>
                <w:iCs/>
                <w:color w:val="493118"/>
                <w:sz w:val="20"/>
                <w:szCs w:val="20"/>
                <w:lang w:eastAsia="zh-CN"/>
              </w:rPr>
              <w:t>ReportConfig</w:t>
            </w:r>
            <w:proofErr w:type="spellEnd"/>
          </w:p>
          <w:p w14:paraId="5B331138" w14:textId="77777777" w:rsidR="002F6F1D" w:rsidRPr="005363E6" w:rsidRDefault="002F6F1D" w:rsidP="002F6F1D">
            <w:pPr>
              <w:numPr>
                <w:ilvl w:val="1"/>
                <w:numId w:val="19"/>
              </w:numPr>
              <w:tabs>
                <w:tab w:val="left" w:pos="720"/>
                <w:tab w:val="left" w:pos="2160"/>
              </w:tabs>
              <w:textAlignment w:val="center"/>
              <w:rPr>
                <w:rFonts w:ascii="Times" w:eastAsia="Batang" w:hAnsi="Times" w:cs="Times New Roman"/>
                <w:sz w:val="20"/>
                <w:lang w:val="en-GB" w:eastAsia="en-US"/>
              </w:rPr>
            </w:pPr>
            <w:r w:rsidRPr="005363E6">
              <w:rPr>
                <w:rFonts w:ascii="Times" w:eastAsia="Batang" w:hAnsi="Times" w:cs="Times New Roman"/>
                <w:sz w:val="20"/>
                <w:szCs w:val="24"/>
                <w:lang w:val="en-GB" w:eastAsia="en-US"/>
              </w:rPr>
              <w:t xml:space="preserve">When Set B is equal or a subset of set A (i.e., </w:t>
            </w:r>
            <w:r w:rsidRPr="005363E6">
              <w:rPr>
                <w:rFonts w:ascii="Times" w:eastAsia="Batang" w:hAnsi="Times" w:cs="Times New Roman"/>
                <w:i/>
                <w:iCs/>
                <w:sz w:val="20"/>
                <w:szCs w:val="24"/>
                <w:lang w:val="en-GB" w:eastAsia="en-US"/>
              </w:rPr>
              <w:t>NZP-CSI-RS-</w:t>
            </w:r>
            <w:proofErr w:type="spellStart"/>
            <w:r w:rsidRPr="005363E6">
              <w:rPr>
                <w:rFonts w:ascii="Times" w:eastAsia="Batang" w:hAnsi="Times" w:cs="Times New Roman"/>
                <w:i/>
                <w:iCs/>
                <w:sz w:val="20"/>
                <w:szCs w:val="24"/>
                <w:lang w:val="en-GB" w:eastAsia="en-US"/>
              </w:rPr>
              <w:t>ResourceId</w:t>
            </w:r>
            <w:proofErr w:type="spellEnd"/>
            <w:r w:rsidRPr="005363E6">
              <w:rPr>
                <w:rFonts w:ascii="Times" w:eastAsia="Batang" w:hAnsi="Times" w:cs="Times New Roman"/>
                <w:sz w:val="20"/>
                <w:szCs w:val="24"/>
                <w:lang w:val="en-GB" w:eastAsia="en-US"/>
              </w:rPr>
              <w:t>/</w:t>
            </w:r>
            <w:r w:rsidRPr="005363E6">
              <w:rPr>
                <w:rFonts w:ascii="Times" w:eastAsia="Batang" w:hAnsi="Times" w:cs="Times New Roman"/>
                <w:i/>
                <w:iCs/>
                <w:sz w:val="20"/>
                <w:szCs w:val="24"/>
                <w:lang w:val="en-GB" w:eastAsia="en-US"/>
              </w:rPr>
              <w:t xml:space="preserve">SSB-Index </w:t>
            </w:r>
            <w:r w:rsidRPr="005363E6">
              <w:rPr>
                <w:rFonts w:ascii="Times" w:eastAsia="Batang" w:hAnsi="Times" w:cs="Times New Roman"/>
                <w:sz w:val="20"/>
                <w:szCs w:val="24"/>
                <w:lang w:val="en-GB" w:eastAsia="en-US"/>
              </w:rPr>
              <w:t>in the resource set</w:t>
            </w:r>
            <w:r w:rsidRPr="005363E6">
              <w:rPr>
                <w:rFonts w:ascii="Times" w:eastAsia="Batang" w:hAnsi="Times" w:cs="Times New Roman"/>
                <w:i/>
                <w:iCs/>
                <w:sz w:val="20"/>
                <w:szCs w:val="24"/>
                <w:lang w:val="en-GB" w:eastAsia="en-US"/>
              </w:rPr>
              <w:t xml:space="preserve"> </w:t>
            </w:r>
            <w:r w:rsidRPr="005363E6">
              <w:rPr>
                <w:rFonts w:ascii="Times" w:eastAsia="Batang" w:hAnsi="Times" w:cs="Times New Roman"/>
                <w:sz w:val="20"/>
                <w:szCs w:val="24"/>
                <w:lang w:val="en-GB" w:eastAsia="en-US"/>
              </w:rPr>
              <w:t xml:space="preserve">for Set B is within the </w:t>
            </w:r>
            <w:r w:rsidRPr="005363E6">
              <w:rPr>
                <w:rFonts w:ascii="Times" w:eastAsia="Batang" w:hAnsi="Times" w:cs="Times New Roman"/>
                <w:i/>
                <w:iCs/>
                <w:sz w:val="20"/>
                <w:szCs w:val="24"/>
                <w:lang w:val="en-GB" w:eastAsia="en-US"/>
              </w:rPr>
              <w:t>NZP-CSI-RS-</w:t>
            </w:r>
            <w:proofErr w:type="spellStart"/>
            <w:r w:rsidRPr="005363E6">
              <w:rPr>
                <w:rFonts w:ascii="Times" w:eastAsia="Batang" w:hAnsi="Times" w:cs="Times New Roman"/>
                <w:i/>
                <w:iCs/>
                <w:sz w:val="20"/>
                <w:szCs w:val="24"/>
                <w:lang w:val="en-GB" w:eastAsia="en-US"/>
              </w:rPr>
              <w:t>ResourceId</w:t>
            </w:r>
            <w:proofErr w:type="spellEnd"/>
            <w:r w:rsidRPr="005363E6">
              <w:rPr>
                <w:rFonts w:ascii="Times" w:eastAsia="Batang" w:hAnsi="Times" w:cs="Times New Roman"/>
                <w:sz w:val="20"/>
                <w:szCs w:val="24"/>
                <w:lang w:val="en-GB" w:eastAsia="en-US"/>
              </w:rPr>
              <w:t>/</w:t>
            </w:r>
            <w:r w:rsidRPr="005363E6">
              <w:rPr>
                <w:rFonts w:ascii="Times" w:eastAsia="Batang" w:hAnsi="Times" w:cs="Times New Roman"/>
                <w:i/>
                <w:iCs/>
                <w:sz w:val="20"/>
                <w:szCs w:val="24"/>
                <w:lang w:val="en-GB" w:eastAsia="en-US"/>
              </w:rPr>
              <w:t xml:space="preserve">SSB-Index </w:t>
            </w:r>
            <w:r w:rsidRPr="005363E6">
              <w:rPr>
                <w:rFonts w:ascii="Times" w:eastAsia="Batang" w:hAnsi="Times" w:cs="Times New Roman"/>
                <w:sz w:val="20"/>
                <w:szCs w:val="24"/>
                <w:lang w:val="en-GB" w:eastAsia="en-US"/>
              </w:rPr>
              <w:t>in the resource set</w:t>
            </w:r>
            <w:r w:rsidRPr="005363E6">
              <w:rPr>
                <w:rFonts w:ascii="Times" w:eastAsia="Batang" w:hAnsi="Times" w:cs="Times New Roman"/>
                <w:i/>
                <w:iCs/>
                <w:sz w:val="20"/>
                <w:szCs w:val="24"/>
                <w:lang w:val="en-GB" w:eastAsia="en-US"/>
              </w:rPr>
              <w:t xml:space="preserve"> </w:t>
            </w:r>
            <w:r w:rsidRPr="005363E6">
              <w:rPr>
                <w:rFonts w:ascii="Times" w:eastAsia="Batang" w:hAnsi="Times" w:cs="Times New Roman"/>
                <w:sz w:val="20"/>
                <w:szCs w:val="24"/>
                <w:lang w:val="en-GB" w:eastAsia="en-US"/>
              </w:rPr>
              <w:t>for Set A), one associated ID is configured,</w:t>
            </w:r>
          </w:p>
          <w:p w14:paraId="5128894E" w14:textId="77777777" w:rsidR="002F6F1D" w:rsidRPr="005363E6" w:rsidRDefault="002F6F1D" w:rsidP="002F6F1D">
            <w:pPr>
              <w:numPr>
                <w:ilvl w:val="1"/>
                <w:numId w:val="19"/>
              </w:numPr>
              <w:tabs>
                <w:tab w:val="left" w:pos="720"/>
                <w:tab w:val="left" w:pos="2160"/>
              </w:tabs>
              <w:textAlignment w:val="center"/>
              <w:rPr>
                <w:rFonts w:ascii="Times" w:eastAsia="Batang" w:hAnsi="Times" w:cs="Times New Roman"/>
                <w:sz w:val="20"/>
                <w:szCs w:val="24"/>
                <w:lang w:val="en-GB" w:eastAsia="en-US"/>
              </w:rPr>
            </w:pPr>
            <w:r w:rsidRPr="005363E6">
              <w:rPr>
                <w:rFonts w:ascii="Times" w:eastAsia="Batang" w:hAnsi="Times" w:cs="Times New Roman"/>
                <w:sz w:val="20"/>
                <w:szCs w:val="24"/>
                <w:lang w:val="en-GB" w:eastAsia="en-US"/>
              </w:rPr>
              <w:t>Otherwise, one associated ID is configured for Set A and another one associated ID is configured for Set B</w:t>
            </w:r>
          </w:p>
          <w:p w14:paraId="26A0831E" w14:textId="7F10647E" w:rsidR="002F6F1D" w:rsidRPr="005363E6" w:rsidRDefault="002F6F1D" w:rsidP="002F6F1D">
            <w:pPr>
              <w:numPr>
                <w:ilvl w:val="0"/>
                <w:numId w:val="19"/>
              </w:numPr>
              <w:rPr>
                <w:rFonts w:ascii="Times" w:eastAsia="Batang" w:hAnsi="Times" w:cs="Times New Roman"/>
                <w:sz w:val="20"/>
                <w:szCs w:val="24"/>
                <w:lang w:val="en-GB" w:eastAsia="x-none"/>
              </w:rPr>
            </w:pPr>
            <w:r w:rsidRPr="005363E6">
              <w:rPr>
                <w:rFonts w:ascii="Times" w:eastAsia="Batang" w:hAnsi="Times" w:cs="Times New Roman"/>
                <w:sz w:val="20"/>
                <w:szCs w:val="24"/>
                <w:lang w:val="en-GB" w:eastAsia="x-none"/>
              </w:rPr>
              <w:t>FFS: At least BM-Case 1, the applicability for 'aperiodic' CSI RS</w:t>
            </w:r>
          </w:p>
        </w:tc>
      </w:tr>
    </w:tbl>
    <w:p w14:paraId="1E818939" w14:textId="32EC323B" w:rsidR="002F6F1D" w:rsidRDefault="002F6F1D" w:rsidP="00A455D5">
      <w:pPr>
        <w:jc w:val="both"/>
      </w:pPr>
    </w:p>
    <w:p w14:paraId="2A4FD009" w14:textId="4BC8E69B" w:rsidR="002F6F1D" w:rsidRDefault="002F6F1D" w:rsidP="00A455D5">
      <w:pPr>
        <w:jc w:val="both"/>
      </w:pPr>
      <w:r>
        <w:t>One remaining issue is how NW determines associated IDs.</w:t>
      </w:r>
      <w:r w:rsidR="00886044">
        <w:t xml:space="preserve"> I</w:t>
      </w:r>
      <w:r>
        <w:t xml:space="preserve">t is our understanding that it should be discussed in RAN2 because it requires overall system operation in NW to decide the characteristics of associated ID.  </w:t>
      </w:r>
    </w:p>
    <w:p w14:paraId="25C6CBD0" w14:textId="63BA8E52" w:rsidR="004B7906" w:rsidRDefault="002F6F1D" w:rsidP="00A455D5">
      <w:pPr>
        <w:jc w:val="both"/>
      </w:pPr>
      <w:r>
        <w:t xml:space="preserve">First characteristic to decide regarding associated ID would be whether it is </w:t>
      </w:r>
      <w:r w:rsidR="00A455D5">
        <w:t xml:space="preserve">cell specific or multiple-cell specific. Main consideration would be the granularity of categorizing </w:t>
      </w:r>
      <w:r w:rsidR="00886044">
        <w:t>dataset for model training</w:t>
      </w:r>
      <w:r w:rsidR="00A455D5">
        <w:t xml:space="preserve">. </w:t>
      </w:r>
      <w:r>
        <w:t>If it is c</w:t>
      </w:r>
      <w:r w:rsidR="00A455D5">
        <w:t xml:space="preserve">ell </w:t>
      </w:r>
      <w:r>
        <w:t xml:space="preserve">specific, it would </w:t>
      </w:r>
      <w:r w:rsidR="00A455D5">
        <w:t xml:space="preserve">mean that UE </w:t>
      </w:r>
      <w:r>
        <w:t xml:space="preserve">should </w:t>
      </w:r>
      <w:r w:rsidR="00A455D5">
        <w:t>categorize data</w:t>
      </w:r>
      <w:r w:rsidR="00886044">
        <w:t>set</w:t>
      </w:r>
      <w:r w:rsidR="00A455D5">
        <w:t xml:space="preserve"> per cell and per associated ID, which require</w:t>
      </w:r>
      <w:r>
        <w:t>s</w:t>
      </w:r>
      <w:r w:rsidR="00A455D5">
        <w:t xml:space="preserve"> </w:t>
      </w:r>
      <w:r>
        <w:t xml:space="preserve">UE to accommodate a lot of models and consequently </w:t>
      </w:r>
      <w:r w:rsidR="00A455D5">
        <w:t>more complexity/burden in model training at UE side.</w:t>
      </w:r>
    </w:p>
    <w:p w14:paraId="60E4B3F8" w14:textId="79247D78" w:rsidR="004B7906" w:rsidRPr="004B7906" w:rsidRDefault="004B7906" w:rsidP="00A455D5">
      <w:pPr>
        <w:jc w:val="both"/>
        <w:rPr>
          <w:b/>
        </w:rPr>
      </w:pPr>
      <w:bookmarkStart w:id="8" w:name="ob2"/>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3B10E9">
        <w:rPr>
          <w:rFonts w:cs="Calibri"/>
          <w:b/>
          <w:bCs/>
          <w:noProof/>
        </w:rPr>
        <w:t>2</w:t>
      </w:r>
      <w:r w:rsidRPr="004B7906">
        <w:rPr>
          <w:rFonts w:cs="Calibri"/>
          <w:b/>
          <w:bCs/>
        </w:rPr>
        <w:fldChar w:fldCharType="end"/>
      </w:r>
      <w:r w:rsidRPr="004B7906">
        <w:rPr>
          <w:b/>
        </w:rPr>
        <w:t xml:space="preserve">: </w:t>
      </w:r>
      <w:r>
        <w:rPr>
          <w:b/>
        </w:rPr>
        <w:t xml:space="preserve">cell specific associated ID will require UE to train a huge number of models and </w:t>
      </w:r>
      <w:r w:rsidRPr="004B7906">
        <w:rPr>
          <w:b/>
        </w:rPr>
        <w:t>consequently more complexity/burden in model training at UE side</w:t>
      </w:r>
      <w:r>
        <w:rPr>
          <w:b/>
        </w:rPr>
        <w:t>.</w:t>
      </w:r>
    </w:p>
    <w:bookmarkEnd w:id="8"/>
    <w:p w14:paraId="4DD056C7" w14:textId="67AA4582" w:rsidR="004B7906" w:rsidRDefault="002F6F1D" w:rsidP="00A455D5">
      <w:pPr>
        <w:jc w:val="both"/>
      </w:pPr>
      <w:r>
        <w:t xml:space="preserve">In addition, NW side additional conditions may not be different in each cell because it is more related to network deployment and antenna configuration. One model trained for a certain network deployment can be reused to multiple cells. </w:t>
      </w:r>
    </w:p>
    <w:p w14:paraId="59CACC4A" w14:textId="60C8AA68" w:rsidR="004B7906" w:rsidRPr="004B7906" w:rsidRDefault="004B7906" w:rsidP="004B7906">
      <w:pPr>
        <w:jc w:val="both"/>
        <w:rPr>
          <w:b/>
        </w:rPr>
      </w:pPr>
      <w:bookmarkStart w:id="9" w:name="ob3"/>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3B10E9">
        <w:rPr>
          <w:rFonts w:cs="Calibri"/>
          <w:b/>
          <w:bCs/>
          <w:noProof/>
        </w:rPr>
        <w:t>3</w:t>
      </w:r>
      <w:r w:rsidRPr="004B7906">
        <w:rPr>
          <w:rFonts w:cs="Calibri"/>
          <w:b/>
          <w:bCs/>
        </w:rPr>
        <w:fldChar w:fldCharType="end"/>
      </w:r>
      <w:r w:rsidRPr="004B7906">
        <w:rPr>
          <w:b/>
        </w:rPr>
        <w:t xml:space="preserve">: </w:t>
      </w:r>
      <w:r>
        <w:rPr>
          <w:b/>
        </w:rPr>
        <w:t xml:space="preserve">NW side addition condition is likely to be the same for multiple cells with the same NW configuration. </w:t>
      </w:r>
    </w:p>
    <w:bookmarkEnd w:id="9"/>
    <w:p w14:paraId="59DE40EC" w14:textId="77777777" w:rsidR="003A6348" w:rsidRPr="003B10E9" w:rsidRDefault="003A6348" w:rsidP="003A6348">
      <w:pPr>
        <w:jc w:val="both"/>
      </w:pPr>
      <w:r w:rsidRPr="003B10E9">
        <w:t xml:space="preserve">On the other hand, from NW point of view, cell specific ID may be more preferred if it is concerned that the limited number of associated IDs might reveal the network deployment configuration. </w:t>
      </w:r>
    </w:p>
    <w:p w14:paraId="78C5AE6E" w14:textId="45924169" w:rsidR="003E4191" w:rsidRDefault="003E4191" w:rsidP="00A455D5">
      <w:pPr>
        <w:jc w:val="both"/>
        <w:rPr>
          <w:b/>
        </w:rPr>
      </w:pPr>
      <w:bookmarkStart w:id="10" w:name="ob4"/>
      <w:r w:rsidRPr="004B7906">
        <w:rPr>
          <w:b/>
        </w:rPr>
        <w:lastRenderedPageBreak/>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Pr>
          <w:rFonts w:cs="Calibri"/>
          <w:b/>
          <w:bCs/>
          <w:noProof/>
        </w:rPr>
        <w:t>4</w:t>
      </w:r>
      <w:r w:rsidRPr="004B7906">
        <w:rPr>
          <w:rFonts w:cs="Calibri"/>
          <w:b/>
          <w:bCs/>
        </w:rPr>
        <w:fldChar w:fldCharType="end"/>
      </w:r>
      <w:r w:rsidRPr="004B7906">
        <w:rPr>
          <w:b/>
        </w:rPr>
        <w:t>:</w:t>
      </w:r>
      <w:r>
        <w:rPr>
          <w:b/>
        </w:rPr>
        <w:t xml:space="preserve"> cell specific associated ID may be preferred if </w:t>
      </w:r>
      <w:r w:rsidRPr="003E4191">
        <w:rPr>
          <w:b/>
        </w:rPr>
        <w:t>it is concerned that the limited number of associated IDs might reveal the network deployment configuration</w:t>
      </w:r>
      <w:r>
        <w:rPr>
          <w:b/>
        </w:rPr>
        <w:t>.</w:t>
      </w:r>
    </w:p>
    <w:bookmarkEnd w:id="10"/>
    <w:p w14:paraId="1612EEB9" w14:textId="1321B5A5" w:rsidR="004B7906" w:rsidRDefault="003E4191" w:rsidP="00A455D5">
      <w:pPr>
        <w:jc w:val="both"/>
      </w:pPr>
      <w:r>
        <w:t xml:space="preserve">Considering pros and cons for each option, it would be desirable to provide </w:t>
      </w:r>
      <w:r w:rsidR="003A6348">
        <w:t>flexibility to UE/NW implementation</w:t>
      </w:r>
      <w:r>
        <w:t>. That is</w:t>
      </w:r>
      <w:r w:rsidR="003A6348">
        <w:t>, the signaling of associated ID should be defined to support both approaches i.e. cell specific ID and multiple cell-specific IDs</w:t>
      </w:r>
      <w:r w:rsidR="004B7906">
        <w:t xml:space="preserve">. </w:t>
      </w:r>
    </w:p>
    <w:p w14:paraId="5B1A921B" w14:textId="25FF9291" w:rsidR="004B7906" w:rsidRDefault="004B7906" w:rsidP="004B7906">
      <w:pPr>
        <w:jc w:val="both"/>
        <w:rPr>
          <w:b/>
        </w:rPr>
      </w:pPr>
      <w:bookmarkStart w:id="11" w:name="_Hlk193702708"/>
      <w:bookmarkStart w:id="12" w:name="pro7"/>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3B10E9">
        <w:rPr>
          <w:rFonts w:cs="Calibri"/>
          <w:b/>
          <w:bCs/>
          <w:noProof/>
        </w:rPr>
        <w:t>7</w:t>
      </w:r>
      <w:r w:rsidRPr="00762AF2">
        <w:rPr>
          <w:rFonts w:cs="Calibri"/>
          <w:b/>
          <w:bCs/>
        </w:rPr>
        <w:fldChar w:fldCharType="end"/>
      </w:r>
      <w:r w:rsidRPr="00D22697">
        <w:rPr>
          <w:b/>
        </w:rPr>
        <w:t xml:space="preserve">: </w:t>
      </w:r>
      <w:r>
        <w:rPr>
          <w:b/>
        </w:rPr>
        <w:t xml:space="preserve">RAN2 agree </w:t>
      </w:r>
      <w:r w:rsidR="009A2C8E">
        <w:rPr>
          <w:b/>
        </w:rPr>
        <w:t>to support both cell specific ID and multiple cell-specific IDs for associated ID</w:t>
      </w:r>
    </w:p>
    <w:bookmarkEnd w:id="11"/>
    <w:bookmarkEnd w:id="12"/>
    <w:p w14:paraId="26DBD8A5" w14:textId="77777777" w:rsidR="00A455D5" w:rsidRDefault="00A455D5" w:rsidP="00A455D5">
      <w:pPr>
        <w:jc w:val="both"/>
      </w:pPr>
      <w:r>
        <w:t>From signaling point of view, there could be two options to define associate ID to be applied for multiple cells.</w:t>
      </w:r>
    </w:p>
    <w:p w14:paraId="5B12F035" w14:textId="77777777" w:rsidR="00A455D5" w:rsidRDefault="00A455D5" w:rsidP="00A455D5">
      <w:pPr>
        <w:pStyle w:val="ListParagraph"/>
        <w:numPr>
          <w:ilvl w:val="0"/>
          <w:numId w:val="15"/>
        </w:numPr>
        <w:spacing w:after="160" w:line="259" w:lineRule="auto"/>
        <w:contextualSpacing/>
        <w:jc w:val="both"/>
      </w:pPr>
      <w:r>
        <w:t xml:space="preserve">Area specific associated ID: associated ID(s) is provided with a certain area ID similar to system information area ID in NR. Different area ID can be used to differentiate the same associated ID. Therefore, the actual associated ID is the combination of associated ID and area ID. With this approach, the same associated ID can be applied across multiple cells with the same area ID. Allocation and mapping of area IDs to specific areas/cells should be left to implementation. At least, we can assume that area ID should be unique within a PLMN. </w:t>
      </w:r>
    </w:p>
    <w:tbl>
      <w:tblPr>
        <w:tblStyle w:val="TableGrid"/>
        <w:tblW w:w="0" w:type="auto"/>
        <w:tblLook w:val="04A0" w:firstRow="1" w:lastRow="0" w:firstColumn="1" w:lastColumn="0" w:noHBand="0" w:noVBand="1"/>
      </w:tblPr>
      <w:tblGrid>
        <w:gridCol w:w="9350"/>
      </w:tblGrid>
      <w:tr w:rsidR="00A455D5" w14:paraId="56E56BE3" w14:textId="77777777" w:rsidTr="009826C7">
        <w:tc>
          <w:tcPr>
            <w:tcW w:w="9350" w:type="dxa"/>
          </w:tcPr>
          <w:p w14:paraId="0095F8ED" w14:textId="77777777" w:rsidR="00A455D5" w:rsidRPr="007227D9" w:rsidRDefault="00A455D5" w:rsidP="009826C7">
            <w:pPr>
              <w:jc w:val="both"/>
              <w:rPr>
                <w:color w:val="000000"/>
              </w:rPr>
            </w:pPr>
            <w:proofErr w:type="spellStart"/>
            <w:r w:rsidRPr="007227D9">
              <w:rPr>
                <w:rFonts w:ascii="Arial" w:hAnsi="Arial" w:cs="Arial"/>
                <w:b/>
                <w:bCs/>
                <w:i/>
                <w:iCs/>
                <w:color w:val="000000"/>
                <w:sz w:val="14"/>
                <w:szCs w:val="14"/>
              </w:rPr>
              <w:t>systemInformationAreaID</w:t>
            </w:r>
            <w:proofErr w:type="spellEnd"/>
          </w:p>
          <w:p w14:paraId="147B3D25" w14:textId="77777777" w:rsidR="00A455D5" w:rsidRPr="007227D9" w:rsidRDefault="00A455D5" w:rsidP="009826C7">
            <w:pPr>
              <w:jc w:val="both"/>
              <w:rPr>
                <w:color w:val="000000"/>
              </w:rPr>
            </w:pPr>
            <w:r w:rsidRPr="007227D9">
              <w:rPr>
                <w:rFonts w:ascii="Arial" w:hAnsi="Arial" w:cs="Arial"/>
                <w:color w:val="000000"/>
                <w:sz w:val="14"/>
                <w:szCs w:val="14"/>
              </w:rPr>
              <w:t>Indicates the system information area that the cell belongs to, if any. Any SIB with </w:t>
            </w:r>
            <w:proofErr w:type="spellStart"/>
            <w:r w:rsidRPr="007227D9">
              <w:rPr>
                <w:rFonts w:ascii="Arial" w:hAnsi="Arial" w:cs="Arial"/>
                <w:i/>
                <w:iCs/>
                <w:color w:val="000000"/>
                <w:sz w:val="14"/>
                <w:szCs w:val="14"/>
              </w:rPr>
              <w:t>areaScope</w:t>
            </w:r>
            <w:proofErr w:type="spellEnd"/>
            <w:r w:rsidRPr="007227D9">
              <w:rPr>
                <w:rFonts w:ascii="Arial" w:hAnsi="Arial" w:cs="Arial"/>
                <w:i/>
                <w:iCs/>
                <w:color w:val="000000"/>
                <w:sz w:val="14"/>
                <w:szCs w:val="14"/>
              </w:rPr>
              <w:t> </w:t>
            </w:r>
            <w:r w:rsidRPr="007227D9">
              <w:rPr>
                <w:rFonts w:ascii="Arial" w:hAnsi="Arial" w:cs="Arial"/>
                <w:color w:val="000000"/>
                <w:sz w:val="14"/>
                <w:szCs w:val="14"/>
              </w:rPr>
              <w:t>within the SI is considered to belong to this </w:t>
            </w:r>
            <w:proofErr w:type="spellStart"/>
            <w:r w:rsidRPr="007227D9">
              <w:rPr>
                <w:rFonts w:ascii="Arial" w:hAnsi="Arial" w:cs="Arial"/>
                <w:i/>
                <w:iCs/>
                <w:color w:val="000000"/>
                <w:sz w:val="14"/>
                <w:szCs w:val="14"/>
              </w:rPr>
              <w:t>systemInformationAreaID</w:t>
            </w:r>
            <w:proofErr w:type="spellEnd"/>
            <w:r w:rsidRPr="007227D9">
              <w:rPr>
                <w:rFonts w:ascii="Arial" w:hAnsi="Arial" w:cs="Arial"/>
                <w:color w:val="000000"/>
                <w:sz w:val="14"/>
                <w:szCs w:val="14"/>
              </w:rPr>
              <w:t xml:space="preserve">. The </w:t>
            </w:r>
            <w:proofErr w:type="spellStart"/>
            <w:r w:rsidRPr="007227D9">
              <w:rPr>
                <w:rFonts w:ascii="Arial" w:hAnsi="Arial" w:cs="Arial"/>
                <w:color w:val="000000"/>
                <w:sz w:val="14"/>
                <w:szCs w:val="14"/>
              </w:rPr>
              <w:t>systemInformationAreaID</w:t>
            </w:r>
            <w:proofErr w:type="spellEnd"/>
            <w:r w:rsidRPr="007227D9">
              <w:rPr>
                <w:rFonts w:ascii="Arial" w:hAnsi="Arial" w:cs="Arial"/>
                <w:color w:val="000000"/>
                <w:sz w:val="14"/>
                <w:szCs w:val="14"/>
              </w:rPr>
              <w:t xml:space="preserve"> is unique within a PLMN/SNPN.</w:t>
            </w:r>
            <w:r w:rsidRPr="007227D9">
              <w:rPr>
                <w:color w:val="000000"/>
              </w:rPr>
              <w:t> </w:t>
            </w:r>
          </w:p>
        </w:tc>
      </w:tr>
    </w:tbl>
    <w:p w14:paraId="3A68D8B1" w14:textId="77777777" w:rsidR="00A455D5" w:rsidRDefault="00A455D5" w:rsidP="00A455D5">
      <w:pPr>
        <w:jc w:val="both"/>
      </w:pPr>
    </w:p>
    <w:p w14:paraId="634DCBC6" w14:textId="77777777" w:rsidR="00A455D5" w:rsidRDefault="00A455D5" w:rsidP="00A455D5">
      <w:pPr>
        <w:pStyle w:val="ListParagraph"/>
        <w:numPr>
          <w:ilvl w:val="0"/>
          <w:numId w:val="15"/>
        </w:numPr>
        <w:spacing w:after="160" w:line="259" w:lineRule="auto"/>
        <w:contextualSpacing/>
        <w:jc w:val="both"/>
      </w:pPr>
      <w:r>
        <w:t xml:space="preserve">Globally unique associated IDs within PLMN: associated IDs are consistently unique as long as the cell belongs to the same PLMN. Allocation and mapping of associate IDs to specific NW sided additional conditions should be left to implementation. </w:t>
      </w:r>
    </w:p>
    <w:p w14:paraId="3A8F6417" w14:textId="6E0BB532" w:rsidR="00A455D5" w:rsidRDefault="00A455D5" w:rsidP="00A455D5">
      <w:pPr>
        <w:jc w:val="both"/>
      </w:pPr>
      <w:r>
        <w:t xml:space="preserve">The two options are quite similar from operation point of view i.e. requiring pre-allocation by operators to make it unique in PLMN. Area specific associated ID would require more specification efforts to update associated IDs with the received area ID. Nevertheless, both options are feasible from signaling point of view. </w:t>
      </w:r>
    </w:p>
    <w:p w14:paraId="29FF952F" w14:textId="1D0C664D" w:rsidR="00A455D5" w:rsidRDefault="00A455D5" w:rsidP="00A455D5">
      <w:pPr>
        <w:jc w:val="both"/>
        <w:rPr>
          <w:b/>
        </w:rPr>
      </w:pPr>
      <w:bookmarkStart w:id="13" w:name="_Hlk193702727"/>
      <w:bookmarkStart w:id="14" w:name="pro8"/>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3B10E9">
        <w:rPr>
          <w:rFonts w:cs="Calibri"/>
          <w:b/>
          <w:bCs/>
          <w:noProof/>
        </w:rPr>
        <w:t>8</w:t>
      </w:r>
      <w:r w:rsidRPr="00762AF2">
        <w:rPr>
          <w:rFonts w:cs="Calibri"/>
          <w:b/>
          <w:bCs/>
        </w:rPr>
        <w:fldChar w:fldCharType="end"/>
      </w:r>
      <w:r w:rsidRPr="00D22697">
        <w:rPr>
          <w:b/>
        </w:rPr>
        <w:t xml:space="preserve">: </w:t>
      </w:r>
      <w:r>
        <w:rPr>
          <w:b/>
        </w:rPr>
        <w:t xml:space="preserve">RAN2 </w:t>
      </w:r>
      <w:r w:rsidR="004B7906">
        <w:rPr>
          <w:b/>
        </w:rPr>
        <w:t xml:space="preserve">discuss two options (area specific associated ID and globally unique associated IDs within PLMN) for associated IDs. </w:t>
      </w:r>
      <w:r>
        <w:rPr>
          <w:b/>
        </w:rPr>
        <w:t xml:space="preserve"> </w:t>
      </w:r>
    </w:p>
    <w:bookmarkEnd w:id="13"/>
    <w:bookmarkEnd w:id="14"/>
    <w:p w14:paraId="1CA4FD4B" w14:textId="77777777" w:rsidR="005D0283" w:rsidRDefault="005D0283" w:rsidP="001669B4">
      <w:pPr>
        <w:jc w:val="both"/>
      </w:pPr>
    </w:p>
    <w:p w14:paraId="56A33B3B" w14:textId="77777777" w:rsidR="008E3952" w:rsidRDefault="008E3952" w:rsidP="00343F48">
      <w:pPr>
        <w:pStyle w:val="Heading1"/>
        <w:numPr>
          <w:ilvl w:val="0"/>
          <w:numId w:val="1"/>
        </w:numPr>
        <w:jc w:val="both"/>
      </w:pPr>
      <w:r>
        <w:t>Conclusion</w:t>
      </w:r>
    </w:p>
    <w:p w14:paraId="679D1061" w14:textId="29714C0C" w:rsidR="00187292" w:rsidRDefault="003B10E9" w:rsidP="001669B4">
      <w:pPr>
        <w:jc w:val="both"/>
      </w:pPr>
      <w:r>
        <w:t xml:space="preserve">In this document, we discussed details of option B and remaining issues for LCM for BM use case. Based on the discussion, we propose the following points. </w:t>
      </w:r>
    </w:p>
    <w:p w14:paraId="7A7F40B2" w14:textId="77777777" w:rsidR="003B10E9" w:rsidRDefault="003B10E9" w:rsidP="001669B4">
      <w:pPr>
        <w:jc w:val="both"/>
      </w:pPr>
    </w:p>
    <w:p w14:paraId="6D2848CE" w14:textId="3D7E004C" w:rsidR="003B10E9" w:rsidRPr="008A2CE1" w:rsidRDefault="003B10E9" w:rsidP="003B10E9">
      <w:pPr>
        <w:jc w:val="both"/>
        <w:rPr>
          <w:b/>
        </w:rPr>
      </w:pPr>
      <w:r>
        <w:fldChar w:fldCharType="begin"/>
      </w:r>
      <w:r>
        <w:instrText xml:space="preserve"> REF ob1 \h </w:instrText>
      </w:r>
      <w:r>
        <w:fldChar w:fldCharType="separate"/>
      </w:r>
      <w:r w:rsidRPr="008A2CE1">
        <w:rPr>
          <w:b/>
        </w:rPr>
        <w:t xml:space="preserve">Observation </w:t>
      </w:r>
      <w:r>
        <w:rPr>
          <w:rFonts w:cs="Calibri"/>
          <w:b/>
          <w:bCs/>
          <w:noProof/>
        </w:rPr>
        <w:t>1</w:t>
      </w:r>
      <w:r w:rsidRPr="008A2CE1">
        <w:rPr>
          <w:b/>
        </w:rPr>
        <w:t xml:space="preserve">: </w:t>
      </w:r>
      <w:r>
        <w:rPr>
          <w:b/>
        </w:rPr>
        <w:t xml:space="preserve">advantage of option B is that </w:t>
      </w:r>
      <w:proofErr w:type="spellStart"/>
      <w:r w:rsidRPr="008A2CE1">
        <w:rPr>
          <w:b/>
        </w:rPr>
        <w:t>gNB</w:t>
      </w:r>
      <w:proofErr w:type="spellEnd"/>
      <w:r w:rsidRPr="008A2CE1">
        <w:rPr>
          <w:b/>
        </w:rPr>
        <w:t xml:space="preserve"> can </w:t>
      </w:r>
      <w:r>
        <w:rPr>
          <w:b/>
        </w:rPr>
        <w:t>request/check</w:t>
      </w:r>
      <w:r w:rsidRPr="008A2CE1">
        <w:rPr>
          <w:b/>
        </w:rPr>
        <w:t xml:space="preserve"> applicability of multiple functionalities </w:t>
      </w:r>
      <w:r>
        <w:rPr>
          <w:b/>
        </w:rPr>
        <w:t xml:space="preserve">regardless of </w:t>
      </w:r>
      <w:r w:rsidRPr="008A2CE1">
        <w:rPr>
          <w:b/>
        </w:rPr>
        <w:t>UE capability</w:t>
      </w:r>
      <w:r>
        <w:rPr>
          <w:b/>
        </w:rPr>
        <w:t xml:space="preserve"> for CSI report. </w:t>
      </w:r>
    </w:p>
    <w:p w14:paraId="3CE6FFFD" w14:textId="77777777" w:rsidR="003B10E9" w:rsidRDefault="003B10E9" w:rsidP="003B10E9">
      <w:pPr>
        <w:jc w:val="both"/>
      </w:pPr>
      <w:r>
        <w:fldChar w:fldCharType="end"/>
      </w:r>
      <w:r>
        <w:t>&lt;option B&gt;</w:t>
      </w:r>
    </w:p>
    <w:p w14:paraId="65C13BB8" w14:textId="29E12220" w:rsidR="003B10E9" w:rsidRPr="008A2CE1" w:rsidRDefault="003B10E9" w:rsidP="003B10E9">
      <w:pPr>
        <w:jc w:val="both"/>
        <w:rPr>
          <w:b/>
        </w:rPr>
      </w:pPr>
      <w:r>
        <w:fldChar w:fldCharType="begin"/>
      </w:r>
      <w:r>
        <w:instrText xml:space="preserve"> REF pro1 \h </w:instrText>
      </w:r>
      <w:r>
        <w:fldChar w:fldCharType="separate"/>
      </w:r>
      <w:r w:rsidRPr="008A2CE1">
        <w:rPr>
          <w:b/>
        </w:rPr>
        <w:t xml:space="preserve">Proposal </w:t>
      </w:r>
      <w:r>
        <w:rPr>
          <w:rFonts w:cs="Calibri"/>
          <w:b/>
          <w:bCs/>
          <w:noProof/>
        </w:rPr>
        <w:t>1</w:t>
      </w:r>
      <w:r w:rsidRPr="008A2CE1">
        <w:rPr>
          <w:b/>
        </w:rPr>
        <w:t xml:space="preserve">: </w:t>
      </w:r>
      <w:proofErr w:type="spellStart"/>
      <w:r w:rsidRPr="008A2CE1">
        <w:rPr>
          <w:b/>
        </w:rPr>
        <w:t>gNB</w:t>
      </w:r>
      <w:proofErr w:type="spellEnd"/>
      <w:r w:rsidRPr="008A2CE1">
        <w:rPr>
          <w:b/>
        </w:rPr>
        <w:t xml:space="preserve"> provides set(s) of inference related parameters in </w:t>
      </w:r>
      <w:proofErr w:type="spellStart"/>
      <w:r w:rsidRPr="008A2CE1">
        <w:rPr>
          <w:b/>
        </w:rPr>
        <w:t>OtherConfig</w:t>
      </w:r>
      <w:proofErr w:type="spellEnd"/>
      <w:r w:rsidRPr="008A2CE1">
        <w:rPr>
          <w:b/>
        </w:rPr>
        <w:t xml:space="preserve"> for option B. </w:t>
      </w:r>
    </w:p>
    <w:p w14:paraId="5FFD869E" w14:textId="1C2234CA" w:rsidR="003B10E9" w:rsidRPr="008A2CE1" w:rsidRDefault="003B10E9" w:rsidP="003B10E9">
      <w:pPr>
        <w:jc w:val="both"/>
        <w:rPr>
          <w:b/>
        </w:rPr>
      </w:pPr>
      <w:r>
        <w:lastRenderedPageBreak/>
        <w:fldChar w:fldCharType="end"/>
      </w:r>
      <w:r>
        <w:fldChar w:fldCharType="begin"/>
      </w:r>
      <w:r>
        <w:instrText xml:space="preserve"> REF pro2 \h </w:instrText>
      </w:r>
      <w:r>
        <w:fldChar w:fldCharType="separate"/>
      </w:r>
      <w:r w:rsidRPr="008A2CE1">
        <w:rPr>
          <w:b/>
        </w:rPr>
        <w:t xml:space="preserve">Proposal </w:t>
      </w:r>
      <w:r>
        <w:rPr>
          <w:rFonts w:cs="Calibri"/>
          <w:b/>
          <w:bCs/>
          <w:noProof/>
        </w:rPr>
        <w:t>2</w:t>
      </w:r>
      <w:r w:rsidRPr="008A2CE1">
        <w:rPr>
          <w:b/>
        </w:rPr>
        <w:t xml:space="preserve">: UE reports applicability of each set of inference related parameters in </w:t>
      </w:r>
      <w:proofErr w:type="spellStart"/>
      <w:r w:rsidRPr="008A2CE1">
        <w:rPr>
          <w:b/>
        </w:rPr>
        <w:t>RRCReconfigurationComplete</w:t>
      </w:r>
      <w:proofErr w:type="spellEnd"/>
      <w:r>
        <w:rPr>
          <w:b/>
        </w:rPr>
        <w:t xml:space="preserve"> in Step 4</w:t>
      </w:r>
      <w:r w:rsidRPr="008A2CE1">
        <w:rPr>
          <w:b/>
        </w:rPr>
        <w:t>.</w:t>
      </w:r>
    </w:p>
    <w:p w14:paraId="3C4B2A88" w14:textId="2AAB71EF" w:rsidR="003B10E9" w:rsidRPr="008A2CE1" w:rsidRDefault="003B10E9" w:rsidP="003B10E9">
      <w:pPr>
        <w:jc w:val="both"/>
        <w:rPr>
          <w:b/>
        </w:rPr>
      </w:pPr>
      <w:r>
        <w:fldChar w:fldCharType="end"/>
      </w:r>
      <w:r>
        <w:fldChar w:fldCharType="begin"/>
      </w:r>
      <w:r>
        <w:instrText xml:space="preserve"> REF pro3 \h </w:instrText>
      </w:r>
      <w:r>
        <w:fldChar w:fldCharType="separate"/>
      </w:r>
      <w:r w:rsidRPr="008A2CE1">
        <w:rPr>
          <w:b/>
        </w:rPr>
        <w:t xml:space="preserve">Proposal </w:t>
      </w:r>
      <w:r>
        <w:rPr>
          <w:rFonts w:cs="Calibri"/>
          <w:b/>
          <w:bCs/>
          <w:noProof/>
        </w:rPr>
        <w:t>3</w:t>
      </w:r>
      <w:r w:rsidRPr="008A2CE1">
        <w:rPr>
          <w:b/>
        </w:rPr>
        <w:t xml:space="preserve">: UE reports applicability of each set of inference related parameters in </w:t>
      </w:r>
      <w:r>
        <w:rPr>
          <w:b/>
        </w:rPr>
        <w:t>UAI when the applicability status has changed</w:t>
      </w:r>
      <w:r w:rsidRPr="008A2CE1">
        <w:rPr>
          <w:b/>
        </w:rPr>
        <w:t>.</w:t>
      </w:r>
    </w:p>
    <w:p w14:paraId="1773C619" w14:textId="77777777" w:rsidR="003B10E9" w:rsidRDefault="003B10E9" w:rsidP="003B10E9">
      <w:pPr>
        <w:jc w:val="both"/>
      </w:pPr>
      <w:r>
        <w:fldChar w:fldCharType="end"/>
      </w:r>
    </w:p>
    <w:p w14:paraId="22DCA1D3" w14:textId="7F8EEEEF" w:rsidR="003B10E9" w:rsidRDefault="003B10E9" w:rsidP="003B10E9">
      <w:pPr>
        <w:jc w:val="both"/>
      </w:pPr>
      <w:r>
        <w:t>&lt;Operation of option A and option B&gt;</w:t>
      </w:r>
    </w:p>
    <w:p w14:paraId="6BFAF6BF" w14:textId="1FB94D71" w:rsidR="003B10E9" w:rsidRPr="008A2CE1" w:rsidRDefault="003B10E9" w:rsidP="003B10E9">
      <w:pPr>
        <w:jc w:val="both"/>
        <w:rPr>
          <w:b/>
        </w:rPr>
      </w:pPr>
      <w:r>
        <w:fldChar w:fldCharType="begin"/>
      </w:r>
      <w:r>
        <w:instrText xml:space="preserve"> REF pro4 \h </w:instrText>
      </w:r>
      <w:r>
        <w:fldChar w:fldCharType="separate"/>
      </w:r>
      <w:r w:rsidRPr="008A2CE1">
        <w:rPr>
          <w:b/>
        </w:rPr>
        <w:t xml:space="preserve">Proposal </w:t>
      </w:r>
      <w:r>
        <w:rPr>
          <w:rFonts w:cs="Calibri"/>
          <w:b/>
          <w:bCs/>
          <w:noProof/>
        </w:rPr>
        <w:t>4</w:t>
      </w:r>
      <w:r w:rsidRPr="008A2CE1">
        <w:rPr>
          <w:b/>
        </w:rPr>
        <w:t xml:space="preserve">: </w:t>
      </w:r>
      <w:r>
        <w:rPr>
          <w:b/>
        </w:rPr>
        <w:t xml:space="preserve">either option A or option B is configured for one UE </w:t>
      </w:r>
      <w:proofErr w:type="spellStart"/>
      <w:r>
        <w:rPr>
          <w:b/>
        </w:rPr>
        <w:t>i.e</w:t>
      </w:r>
      <w:proofErr w:type="spellEnd"/>
      <w:r>
        <w:rPr>
          <w:b/>
        </w:rPr>
        <w:t xml:space="preserve"> either option for all configured functionalities. </w:t>
      </w:r>
    </w:p>
    <w:p w14:paraId="61A61626" w14:textId="77777777" w:rsidR="003B10E9" w:rsidRPr="008A2CE1" w:rsidRDefault="003B10E9" w:rsidP="003B10E9">
      <w:pPr>
        <w:jc w:val="both"/>
        <w:rPr>
          <w:b/>
        </w:rPr>
      </w:pPr>
      <w:r>
        <w:fldChar w:fldCharType="end"/>
      </w:r>
      <w:r>
        <w:fldChar w:fldCharType="begin"/>
      </w:r>
      <w:r>
        <w:instrText xml:space="preserve"> REF pro5 \h </w:instrText>
      </w:r>
      <w:r>
        <w:fldChar w:fldCharType="separate"/>
      </w:r>
      <w:r w:rsidRPr="008A2CE1">
        <w:rPr>
          <w:b/>
        </w:rPr>
        <w:t xml:space="preserve">Proposal </w:t>
      </w:r>
      <w:r>
        <w:rPr>
          <w:rFonts w:cs="Calibri"/>
          <w:b/>
          <w:bCs/>
          <w:noProof/>
        </w:rPr>
        <w:t>5</w:t>
      </w:r>
      <w:r w:rsidRPr="008A2CE1">
        <w:rPr>
          <w:b/>
        </w:rPr>
        <w:t xml:space="preserve">: </w:t>
      </w:r>
      <w:r>
        <w:rPr>
          <w:b/>
        </w:rPr>
        <w:t xml:space="preserve">option A or option B is implicitly indicated with the presence of a set of inference related parameters in </w:t>
      </w:r>
      <w:proofErr w:type="spellStart"/>
      <w:r>
        <w:rPr>
          <w:b/>
        </w:rPr>
        <w:t>otherConfig</w:t>
      </w:r>
      <w:proofErr w:type="spellEnd"/>
      <w:r>
        <w:rPr>
          <w:b/>
        </w:rPr>
        <w:t xml:space="preserve">. </w:t>
      </w:r>
    </w:p>
    <w:p w14:paraId="3BAC8BAB" w14:textId="77777777" w:rsidR="003B10E9" w:rsidRPr="008A2CE1" w:rsidRDefault="003B10E9" w:rsidP="003B10E9">
      <w:pPr>
        <w:jc w:val="both"/>
        <w:rPr>
          <w:b/>
        </w:rPr>
      </w:pPr>
      <w:r>
        <w:fldChar w:fldCharType="end"/>
      </w:r>
      <w:r>
        <w:fldChar w:fldCharType="begin"/>
      </w:r>
      <w:r>
        <w:instrText xml:space="preserve"> REF pro6 \h </w:instrText>
      </w:r>
      <w:r>
        <w:fldChar w:fldCharType="separate"/>
      </w:r>
      <w:r w:rsidRPr="008A2CE1">
        <w:rPr>
          <w:b/>
        </w:rPr>
        <w:t xml:space="preserve">Proposal </w:t>
      </w:r>
      <w:r>
        <w:rPr>
          <w:rFonts w:cs="Calibri"/>
          <w:b/>
          <w:bCs/>
          <w:noProof/>
        </w:rPr>
        <w:t>6</w:t>
      </w:r>
      <w:r w:rsidRPr="008A2CE1">
        <w:rPr>
          <w:b/>
        </w:rPr>
        <w:t xml:space="preserve">: </w:t>
      </w:r>
      <w:r>
        <w:rPr>
          <w:b/>
        </w:rPr>
        <w:t>in option B, the UE doesn’t send applicability indication for a configured CSI-</w:t>
      </w:r>
      <w:proofErr w:type="spellStart"/>
      <w:r>
        <w:rPr>
          <w:b/>
        </w:rPr>
        <w:t>ReportConfig</w:t>
      </w:r>
      <w:proofErr w:type="spellEnd"/>
      <w:r>
        <w:rPr>
          <w:b/>
        </w:rPr>
        <w:t xml:space="preserve">. </w:t>
      </w:r>
    </w:p>
    <w:p w14:paraId="5420494C" w14:textId="75A8C85D" w:rsidR="003B10E9" w:rsidRDefault="003B10E9" w:rsidP="003B10E9">
      <w:pPr>
        <w:jc w:val="both"/>
      </w:pPr>
      <w:r>
        <w:fldChar w:fldCharType="end"/>
      </w:r>
    </w:p>
    <w:p w14:paraId="671B9D3B" w14:textId="1234D573" w:rsidR="003B10E9" w:rsidRDefault="003B10E9" w:rsidP="003B10E9">
      <w:pPr>
        <w:jc w:val="both"/>
      </w:pPr>
      <w:r>
        <w:t>&lt;Associated ID&gt;</w:t>
      </w:r>
    </w:p>
    <w:p w14:paraId="739DAFCA" w14:textId="1E739B7A" w:rsidR="003B10E9" w:rsidRPr="004B7906" w:rsidRDefault="003B10E9" w:rsidP="003B10E9">
      <w:pPr>
        <w:jc w:val="both"/>
        <w:rPr>
          <w:b/>
        </w:rPr>
      </w:pPr>
      <w:r>
        <w:fldChar w:fldCharType="begin"/>
      </w:r>
      <w:r>
        <w:instrText xml:space="preserve"> REF ob2 \h </w:instrText>
      </w:r>
      <w:r>
        <w:fldChar w:fldCharType="separate"/>
      </w:r>
      <w:r w:rsidRPr="004B7906">
        <w:rPr>
          <w:b/>
        </w:rPr>
        <w:t xml:space="preserve">Observation </w:t>
      </w:r>
      <w:r>
        <w:rPr>
          <w:rFonts w:cs="Calibri"/>
          <w:b/>
          <w:bCs/>
          <w:noProof/>
        </w:rPr>
        <w:t>2</w:t>
      </w:r>
      <w:r w:rsidRPr="004B7906">
        <w:rPr>
          <w:b/>
        </w:rPr>
        <w:t xml:space="preserve">: </w:t>
      </w:r>
      <w:r>
        <w:rPr>
          <w:b/>
        </w:rPr>
        <w:t xml:space="preserve">cell specific associated ID will require UE to train a huge number of models and </w:t>
      </w:r>
      <w:r w:rsidRPr="004B7906">
        <w:rPr>
          <w:b/>
        </w:rPr>
        <w:t>consequently more complexity/burden in model training at UE side</w:t>
      </w:r>
      <w:r>
        <w:rPr>
          <w:b/>
        </w:rPr>
        <w:t>.</w:t>
      </w:r>
    </w:p>
    <w:p w14:paraId="39D57E4A" w14:textId="4E5A9C92" w:rsidR="003B10E9" w:rsidRPr="004B7906" w:rsidRDefault="003B10E9" w:rsidP="004B7906">
      <w:pPr>
        <w:jc w:val="both"/>
        <w:rPr>
          <w:b/>
        </w:rPr>
      </w:pPr>
      <w:r>
        <w:fldChar w:fldCharType="end"/>
      </w:r>
      <w:r>
        <w:fldChar w:fldCharType="begin"/>
      </w:r>
      <w:r>
        <w:instrText xml:space="preserve"> REF ob3 \h </w:instrText>
      </w:r>
      <w:r>
        <w:fldChar w:fldCharType="separate"/>
      </w:r>
      <w:r w:rsidRPr="004B7906">
        <w:rPr>
          <w:b/>
        </w:rPr>
        <w:t xml:space="preserve">Observation </w:t>
      </w:r>
      <w:r>
        <w:rPr>
          <w:rFonts w:cs="Calibri"/>
          <w:b/>
          <w:bCs/>
          <w:noProof/>
        </w:rPr>
        <w:t>3</w:t>
      </w:r>
      <w:r w:rsidRPr="004B7906">
        <w:rPr>
          <w:b/>
        </w:rPr>
        <w:t xml:space="preserve">: </w:t>
      </w:r>
      <w:r>
        <w:rPr>
          <w:b/>
        </w:rPr>
        <w:t xml:space="preserve">NW side addition condition is likely to be the same for multiple cells with the same NW configuration. </w:t>
      </w:r>
    </w:p>
    <w:p w14:paraId="2546DED9" w14:textId="2ADFEAD3" w:rsidR="003E4191" w:rsidRDefault="003B10E9" w:rsidP="00A455D5">
      <w:pPr>
        <w:jc w:val="both"/>
        <w:rPr>
          <w:b/>
        </w:rPr>
      </w:pPr>
      <w:r>
        <w:fldChar w:fldCharType="end"/>
      </w:r>
      <w:r w:rsidR="003E4191">
        <w:fldChar w:fldCharType="begin"/>
      </w:r>
      <w:r w:rsidR="003E4191">
        <w:instrText xml:space="preserve"> REF ob4 \h </w:instrText>
      </w:r>
      <w:r w:rsidR="003E4191">
        <w:fldChar w:fldCharType="separate"/>
      </w:r>
      <w:r w:rsidR="003E4191" w:rsidRPr="004B7906">
        <w:rPr>
          <w:b/>
        </w:rPr>
        <w:t xml:space="preserve">Observation </w:t>
      </w:r>
      <w:r w:rsidR="003E4191">
        <w:rPr>
          <w:rFonts w:cs="Calibri"/>
          <w:b/>
          <w:bCs/>
          <w:noProof/>
        </w:rPr>
        <w:t>4</w:t>
      </w:r>
      <w:r w:rsidR="003E4191" w:rsidRPr="004B7906">
        <w:rPr>
          <w:b/>
        </w:rPr>
        <w:t>:</w:t>
      </w:r>
      <w:r w:rsidR="003E4191">
        <w:rPr>
          <w:b/>
        </w:rPr>
        <w:t xml:space="preserve"> cell specific associated ID may be preferred if </w:t>
      </w:r>
      <w:r w:rsidR="003E4191" w:rsidRPr="003E4191">
        <w:rPr>
          <w:b/>
        </w:rPr>
        <w:t>it is concerned that the limited number of associated IDs might reveal the network deployment configuration</w:t>
      </w:r>
      <w:r w:rsidR="003E4191">
        <w:rPr>
          <w:b/>
        </w:rPr>
        <w:t>.</w:t>
      </w:r>
    </w:p>
    <w:p w14:paraId="25F101C0" w14:textId="382A93E7" w:rsidR="003B10E9" w:rsidRDefault="003E4191" w:rsidP="004B7906">
      <w:pPr>
        <w:jc w:val="both"/>
        <w:rPr>
          <w:b/>
        </w:rPr>
      </w:pPr>
      <w:r>
        <w:fldChar w:fldCharType="end"/>
      </w:r>
      <w:r w:rsidR="003B10E9">
        <w:fldChar w:fldCharType="begin"/>
      </w:r>
      <w:r w:rsidR="003B10E9">
        <w:instrText xml:space="preserve"> REF pro7 \h </w:instrText>
      </w:r>
      <w:r w:rsidR="003B10E9">
        <w:fldChar w:fldCharType="separate"/>
      </w:r>
      <w:r w:rsidR="003B10E9">
        <w:rPr>
          <w:b/>
        </w:rPr>
        <w:t xml:space="preserve">Proposal </w:t>
      </w:r>
      <w:r w:rsidR="003B10E9">
        <w:rPr>
          <w:rFonts w:cs="Calibri"/>
          <w:b/>
          <w:bCs/>
          <w:noProof/>
        </w:rPr>
        <w:t>7</w:t>
      </w:r>
      <w:r w:rsidR="003B10E9" w:rsidRPr="00D22697">
        <w:rPr>
          <w:b/>
        </w:rPr>
        <w:t xml:space="preserve">: </w:t>
      </w:r>
      <w:r w:rsidR="003B10E9">
        <w:rPr>
          <w:b/>
        </w:rPr>
        <w:t>RAN2 agree to support both cell specific ID and multiple cell-specific IDs for associated ID</w:t>
      </w:r>
    </w:p>
    <w:p w14:paraId="079594A7" w14:textId="10746CFD" w:rsidR="003B10E9" w:rsidRDefault="003B10E9" w:rsidP="00A455D5">
      <w:pPr>
        <w:jc w:val="both"/>
        <w:rPr>
          <w:b/>
        </w:rPr>
      </w:pPr>
      <w:r>
        <w:fldChar w:fldCharType="end"/>
      </w:r>
      <w:r>
        <w:fldChar w:fldCharType="begin"/>
      </w:r>
      <w:r>
        <w:instrText xml:space="preserve"> REF pro8 \h </w:instrText>
      </w:r>
      <w:r>
        <w:fldChar w:fldCharType="separate"/>
      </w:r>
      <w:r>
        <w:rPr>
          <w:b/>
        </w:rPr>
        <w:t xml:space="preserve">Proposal </w:t>
      </w:r>
      <w:r>
        <w:rPr>
          <w:rFonts w:cs="Calibri"/>
          <w:b/>
          <w:bCs/>
          <w:noProof/>
        </w:rPr>
        <w:t>8</w:t>
      </w:r>
      <w:r w:rsidRPr="00D22697">
        <w:rPr>
          <w:b/>
        </w:rPr>
        <w:t xml:space="preserve">: </w:t>
      </w:r>
      <w:r>
        <w:rPr>
          <w:b/>
        </w:rPr>
        <w:t xml:space="preserve">RAN2 discuss two options (area specific associated ID and globally unique associated IDs within PLMN) for associated IDs.  </w:t>
      </w:r>
    </w:p>
    <w:p w14:paraId="550441D9" w14:textId="04F76900" w:rsidR="003B10E9" w:rsidRDefault="003B10E9" w:rsidP="001669B4">
      <w:pPr>
        <w:jc w:val="both"/>
      </w:pPr>
      <w:r>
        <w:fldChar w:fldCharType="end"/>
      </w:r>
    </w:p>
    <w:p w14:paraId="174EC042" w14:textId="2C34A288" w:rsidR="00751490" w:rsidRDefault="00751490" w:rsidP="00343F48">
      <w:pPr>
        <w:pStyle w:val="Heading1"/>
        <w:numPr>
          <w:ilvl w:val="0"/>
          <w:numId w:val="1"/>
        </w:numPr>
        <w:jc w:val="both"/>
      </w:pPr>
      <w:r>
        <w:t>Reference</w:t>
      </w:r>
    </w:p>
    <w:p w14:paraId="5C5A853A" w14:textId="255C6B68" w:rsidR="00751490" w:rsidRPr="008E3952" w:rsidRDefault="00751490" w:rsidP="001669B4">
      <w:pPr>
        <w:jc w:val="both"/>
      </w:pPr>
      <w:r>
        <w:t>[1]</w:t>
      </w:r>
      <w:r w:rsidRPr="00751490">
        <w:t xml:space="preserve"> R2-2500011</w:t>
      </w:r>
      <w:r>
        <w:t xml:space="preserve">, </w:t>
      </w:r>
      <w:r w:rsidRPr="00751490">
        <w:t>Reply LS on applicable functionality reporting for beam management UE-sided model</w:t>
      </w:r>
      <w:r>
        <w:t>, RAN1</w:t>
      </w:r>
      <w:r w:rsidRPr="00751490">
        <w:t xml:space="preserve"> </w:t>
      </w:r>
    </w:p>
    <w:p w14:paraId="3B18EB05" w14:textId="1F9B8803" w:rsidR="0020371D" w:rsidRDefault="0020371D" w:rsidP="001669B4">
      <w:pPr>
        <w:jc w:val="both"/>
      </w:pPr>
    </w:p>
    <w:p w14:paraId="15F5EF38" w14:textId="77777777" w:rsidR="001840BE" w:rsidRDefault="001840BE" w:rsidP="001669B4">
      <w:pPr>
        <w:jc w:val="both"/>
      </w:pPr>
    </w:p>
    <w:sectPr w:rsidR="001840BE">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FC282" w16cex:dateUtc="2025-03-27T03:26:00Z"/>
  <w16cex:commentExtensible w16cex:durableId="2B8FE9F1" w16cex:dateUtc="2025-03-27T06:14:00Z"/>
  <w16cex:commentExtensible w16cex:durableId="2B8FEBA8" w16cex:dateUtc="2025-03-27T06:22:00Z"/>
  <w16cex:commentExtensible w16cex:durableId="2B8FEBD5" w16cex:dateUtc="2025-03-27T06:23:00Z"/>
  <w16cex:commentExtensible w16cex:durableId="2B8FEDCC" w16cex:dateUtc="2025-03-27T06:31:00Z"/>
  <w16cex:commentExtensible w16cex:durableId="2B8FEFBD" w16cex:dateUtc="2025-03-27T06:39:00Z"/>
  <w16cex:commentExtensible w16cex:durableId="2B8FF088" w16cex:dateUtc="2025-03-27T06:43:00Z"/>
  <w16cex:commentExtensible w16cex:durableId="2B8FF0A9" w16cex:dateUtc="2025-03-27T06:43:00Z"/>
  <w16cex:commentExtensible w16cex:durableId="2B8FF5D9" w16cex:dateUtc="2025-03-27T0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290C2" w14:textId="77777777" w:rsidR="00DF6FD7" w:rsidRDefault="00DF6FD7" w:rsidP="00B56AD6">
      <w:pPr>
        <w:spacing w:after="0" w:line="240" w:lineRule="auto"/>
      </w:pPr>
      <w:r>
        <w:separator/>
      </w:r>
    </w:p>
  </w:endnote>
  <w:endnote w:type="continuationSeparator" w:id="0">
    <w:p w14:paraId="59E30773" w14:textId="77777777" w:rsidR="00DF6FD7" w:rsidRDefault="00DF6FD7" w:rsidP="00B56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89071" w14:textId="77777777" w:rsidR="00DF6FD7" w:rsidRDefault="00DF6FD7" w:rsidP="00B56AD6">
      <w:pPr>
        <w:spacing w:after="0" w:line="240" w:lineRule="auto"/>
      </w:pPr>
      <w:r>
        <w:separator/>
      </w:r>
    </w:p>
  </w:footnote>
  <w:footnote w:type="continuationSeparator" w:id="0">
    <w:p w14:paraId="65523927" w14:textId="77777777" w:rsidR="00DF6FD7" w:rsidRDefault="00DF6FD7" w:rsidP="00B56A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6646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DD60E6"/>
    <w:multiLevelType w:val="multilevel"/>
    <w:tmpl w:val="21E00896"/>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E26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112C98"/>
    <w:multiLevelType w:val="hybridMultilevel"/>
    <w:tmpl w:val="9D94B30A"/>
    <w:lvl w:ilvl="0" w:tplc="CF78E5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4603CA"/>
    <w:multiLevelType w:val="hybridMultilevel"/>
    <w:tmpl w:val="4F40CE84"/>
    <w:lvl w:ilvl="0" w:tplc="0B562F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2340C6"/>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8729F7"/>
    <w:multiLevelType w:val="hybridMultilevel"/>
    <w:tmpl w:val="12F8FA3A"/>
    <w:lvl w:ilvl="0" w:tplc="4F7842B8">
      <w:start w:val="1"/>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FF0181"/>
    <w:multiLevelType w:val="hybridMultilevel"/>
    <w:tmpl w:val="1D68917E"/>
    <w:lvl w:ilvl="0" w:tplc="992003F4">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FC63E45"/>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6458DE"/>
    <w:multiLevelType w:val="hybridMultilevel"/>
    <w:tmpl w:val="4F40CE84"/>
    <w:lvl w:ilvl="0" w:tplc="0B562F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DBE2AC8"/>
    <w:multiLevelType w:val="hybridMultilevel"/>
    <w:tmpl w:val="B8B0D470"/>
    <w:lvl w:ilvl="0" w:tplc="C46636E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B542CC"/>
    <w:multiLevelType w:val="multilevel"/>
    <w:tmpl w:val="AB02DC1E"/>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2DC02D8"/>
    <w:multiLevelType w:val="hybridMultilevel"/>
    <w:tmpl w:val="33687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E363FE"/>
    <w:multiLevelType w:val="hybridMultilevel"/>
    <w:tmpl w:val="9E663900"/>
    <w:lvl w:ilvl="0" w:tplc="C46636E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34117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4820BF"/>
    <w:multiLevelType w:val="hybridMultilevel"/>
    <w:tmpl w:val="16F89A44"/>
    <w:lvl w:ilvl="0" w:tplc="9BD494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1622556"/>
    <w:multiLevelType w:val="hybridMultilevel"/>
    <w:tmpl w:val="743EE762"/>
    <w:lvl w:ilvl="0" w:tplc="CE5AEBA4">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353D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816263"/>
    <w:multiLevelType w:val="hybridMultilevel"/>
    <w:tmpl w:val="E19E0630"/>
    <w:lvl w:ilvl="0" w:tplc="B7560922">
      <w:start w:val="1"/>
      <w:numFmt w:val="bullet"/>
      <w:lvlText w:val="-"/>
      <w:lvlJc w:val="left"/>
      <w:pPr>
        <w:ind w:left="413" w:hanging="360"/>
      </w:pPr>
      <w:rPr>
        <w:rFonts w:ascii="Calibri" w:eastAsiaTheme="minorEastAsia" w:hAnsi="Calibri" w:cs="Calibri"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num w:numId="1">
    <w:abstractNumId w:val="3"/>
  </w:num>
  <w:num w:numId="2">
    <w:abstractNumId w:val="13"/>
  </w:num>
  <w:num w:numId="3">
    <w:abstractNumId w:val="2"/>
  </w:num>
  <w:num w:numId="4">
    <w:abstractNumId w:val="10"/>
  </w:num>
  <w:num w:numId="5">
    <w:abstractNumId w:val="6"/>
  </w:num>
  <w:num w:numId="6">
    <w:abstractNumId w:val="21"/>
  </w:num>
  <w:num w:numId="7">
    <w:abstractNumId w:val="16"/>
  </w:num>
  <w:num w:numId="8">
    <w:abstractNumId w:val="18"/>
  </w:num>
  <w:num w:numId="9">
    <w:abstractNumId w:val="1"/>
  </w:num>
  <w:num w:numId="10">
    <w:abstractNumId w:val="14"/>
  </w:num>
  <w:num w:numId="11">
    <w:abstractNumId w:val="9"/>
  </w:num>
  <w:num w:numId="12">
    <w:abstractNumId w:val="19"/>
  </w:num>
  <w:num w:numId="13">
    <w:abstractNumId w:val="22"/>
  </w:num>
  <w:num w:numId="14">
    <w:abstractNumId w:val="17"/>
  </w:num>
  <w:num w:numId="15">
    <w:abstractNumId w:val="23"/>
  </w:num>
  <w:num w:numId="16">
    <w:abstractNumId w:val="8"/>
  </w:num>
  <w:num w:numId="17">
    <w:abstractNumId w:val="12"/>
  </w:num>
  <w:num w:numId="18">
    <w:abstractNumId w:val="15"/>
  </w:num>
  <w:num w:numId="19">
    <w:abstractNumId w:val="0"/>
  </w:num>
  <w:num w:numId="20">
    <w:abstractNumId w:val="20"/>
  </w:num>
  <w:num w:numId="21">
    <w:abstractNumId w:val="7"/>
  </w:num>
  <w:num w:numId="22">
    <w:abstractNumId w:val="5"/>
  </w:num>
  <w:num w:numId="23">
    <w:abstractNumId w:val="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FEE"/>
    <w:rsid w:val="00034ACE"/>
    <w:rsid w:val="00055798"/>
    <w:rsid w:val="000B5CEA"/>
    <w:rsid w:val="000C68BE"/>
    <w:rsid w:val="00130D35"/>
    <w:rsid w:val="001669B4"/>
    <w:rsid w:val="001840BE"/>
    <w:rsid w:val="00187292"/>
    <w:rsid w:val="00193F9C"/>
    <w:rsid w:val="00196B65"/>
    <w:rsid w:val="001A7543"/>
    <w:rsid w:val="001B12E4"/>
    <w:rsid w:val="001B6D3D"/>
    <w:rsid w:val="001C0FD3"/>
    <w:rsid w:val="001D48E7"/>
    <w:rsid w:val="001D662A"/>
    <w:rsid w:val="0020371D"/>
    <w:rsid w:val="002627C9"/>
    <w:rsid w:val="0026526B"/>
    <w:rsid w:val="002817FE"/>
    <w:rsid w:val="002847D6"/>
    <w:rsid w:val="002B6EDA"/>
    <w:rsid w:val="002F00F1"/>
    <w:rsid w:val="002F6F1D"/>
    <w:rsid w:val="0032285A"/>
    <w:rsid w:val="0033695F"/>
    <w:rsid w:val="00343F48"/>
    <w:rsid w:val="003748EF"/>
    <w:rsid w:val="00382127"/>
    <w:rsid w:val="003822A2"/>
    <w:rsid w:val="003932BD"/>
    <w:rsid w:val="003A6348"/>
    <w:rsid w:val="003B10E9"/>
    <w:rsid w:val="003D2315"/>
    <w:rsid w:val="003D7871"/>
    <w:rsid w:val="003E4191"/>
    <w:rsid w:val="003F44C2"/>
    <w:rsid w:val="0044199B"/>
    <w:rsid w:val="004522EC"/>
    <w:rsid w:val="004523F3"/>
    <w:rsid w:val="00486C09"/>
    <w:rsid w:val="00493206"/>
    <w:rsid w:val="00497D4F"/>
    <w:rsid w:val="004B5994"/>
    <w:rsid w:val="004B7906"/>
    <w:rsid w:val="004C5437"/>
    <w:rsid w:val="00504E01"/>
    <w:rsid w:val="00511B8F"/>
    <w:rsid w:val="00512829"/>
    <w:rsid w:val="005230C8"/>
    <w:rsid w:val="005363E6"/>
    <w:rsid w:val="005A28F0"/>
    <w:rsid w:val="005B626D"/>
    <w:rsid w:val="005D0283"/>
    <w:rsid w:val="005E3F52"/>
    <w:rsid w:val="005F01C9"/>
    <w:rsid w:val="005F5E85"/>
    <w:rsid w:val="00602800"/>
    <w:rsid w:val="0065390F"/>
    <w:rsid w:val="00676A3E"/>
    <w:rsid w:val="006841D3"/>
    <w:rsid w:val="006D1F0B"/>
    <w:rsid w:val="00706833"/>
    <w:rsid w:val="007166E2"/>
    <w:rsid w:val="00751490"/>
    <w:rsid w:val="00757F7B"/>
    <w:rsid w:val="00773821"/>
    <w:rsid w:val="00774476"/>
    <w:rsid w:val="00785BC9"/>
    <w:rsid w:val="007B5068"/>
    <w:rsid w:val="007C1C12"/>
    <w:rsid w:val="007C58B8"/>
    <w:rsid w:val="007E101E"/>
    <w:rsid w:val="007E68EC"/>
    <w:rsid w:val="007E6EC6"/>
    <w:rsid w:val="0082461E"/>
    <w:rsid w:val="00844735"/>
    <w:rsid w:val="00847D67"/>
    <w:rsid w:val="00883023"/>
    <w:rsid w:val="00886044"/>
    <w:rsid w:val="008A2CE1"/>
    <w:rsid w:val="008C4710"/>
    <w:rsid w:val="008E3952"/>
    <w:rsid w:val="008F1402"/>
    <w:rsid w:val="00945D0C"/>
    <w:rsid w:val="009464F0"/>
    <w:rsid w:val="009569C2"/>
    <w:rsid w:val="0096005A"/>
    <w:rsid w:val="009602EA"/>
    <w:rsid w:val="009739F3"/>
    <w:rsid w:val="0098553B"/>
    <w:rsid w:val="00992643"/>
    <w:rsid w:val="009A2C8E"/>
    <w:rsid w:val="009B4502"/>
    <w:rsid w:val="009D0259"/>
    <w:rsid w:val="009E35E7"/>
    <w:rsid w:val="00A164A2"/>
    <w:rsid w:val="00A30492"/>
    <w:rsid w:val="00A4457E"/>
    <w:rsid w:val="00A455D5"/>
    <w:rsid w:val="00A7787A"/>
    <w:rsid w:val="00AA0FC4"/>
    <w:rsid w:val="00AA2587"/>
    <w:rsid w:val="00B03C55"/>
    <w:rsid w:val="00B56AD6"/>
    <w:rsid w:val="00B86F56"/>
    <w:rsid w:val="00B968A2"/>
    <w:rsid w:val="00B97A51"/>
    <w:rsid w:val="00BA7EFA"/>
    <w:rsid w:val="00BB13D4"/>
    <w:rsid w:val="00C15C08"/>
    <w:rsid w:val="00C9278E"/>
    <w:rsid w:val="00CB604B"/>
    <w:rsid w:val="00CC4217"/>
    <w:rsid w:val="00D12D0E"/>
    <w:rsid w:val="00D470B2"/>
    <w:rsid w:val="00D4768B"/>
    <w:rsid w:val="00D704C0"/>
    <w:rsid w:val="00DD13A7"/>
    <w:rsid w:val="00DE4F4B"/>
    <w:rsid w:val="00DE65A5"/>
    <w:rsid w:val="00DF6FD7"/>
    <w:rsid w:val="00E027D0"/>
    <w:rsid w:val="00E07997"/>
    <w:rsid w:val="00E23572"/>
    <w:rsid w:val="00E248B3"/>
    <w:rsid w:val="00E72988"/>
    <w:rsid w:val="00E77BFC"/>
    <w:rsid w:val="00EA5B4E"/>
    <w:rsid w:val="00EB69D6"/>
    <w:rsid w:val="00EC60B1"/>
    <w:rsid w:val="00EE3036"/>
    <w:rsid w:val="00EE64D8"/>
    <w:rsid w:val="00EF3456"/>
    <w:rsid w:val="00EF3FEE"/>
    <w:rsid w:val="00F1259F"/>
    <w:rsid w:val="00F273FF"/>
    <w:rsid w:val="00F35BDD"/>
    <w:rsid w:val="00F47EA7"/>
    <w:rsid w:val="00F54F8F"/>
    <w:rsid w:val="00F922D2"/>
    <w:rsid w:val="00F96679"/>
    <w:rsid w:val="00FD1FBF"/>
    <w:rsid w:val="00FE3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88C19"/>
  <w15:chartTrackingRefBased/>
  <w15:docId w15:val="{24B2D8DA-0B2A-4F89-8C96-D703FE07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F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FE3FBB"/>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FEE"/>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F3FEE"/>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774476"/>
    <w:pPr>
      <w:spacing w:after="0" w:line="240" w:lineRule="auto"/>
      <w:ind w:left="720"/>
    </w:pPr>
    <w:rPr>
      <w:rFonts w:ascii="Calibri" w:eastAsia="Calibri" w:hAnsi="Calibri" w:cs="Calibri"/>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74476"/>
    <w:rPr>
      <w:rFonts w:ascii="Calibri" w:eastAsia="Calibri" w:hAnsi="Calibri" w:cs="Calibri"/>
      <w:lang w:eastAsia="en-US"/>
    </w:rPr>
  </w:style>
  <w:style w:type="table" w:styleId="TableGrid">
    <w:name w:val="Table Grid"/>
    <w:basedOn w:val="TableNormal"/>
    <w:uiPriority w:val="39"/>
    <w:rsid w:val="00EE64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F5E8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5F5E85"/>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B56AD6"/>
    <w:pPr>
      <w:tabs>
        <w:tab w:val="center" w:pos="4513"/>
        <w:tab w:val="right" w:pos="9026"/>
      </w:tabs>
      <w:snapToGrid w:val="0"/>
    </w:pPr>
  </w:style>
  <w:style w:type="character" w:customStyle="1" w:styleId="HeaderChar">
    <w:name w:val="Header Char"/>
    <w:basedOn w:val="DefaultParagraphFont"/>
    <w:link w:val="Header"/>
    <w:uiPriority w:val="99"/>
    <w:rsid w:val="00B56AD6"/>
  </w:style>
  <w:style w:type="paragraph" w:styleId="Footer">
    <w:name w:val="footer"/>
    <w:basedOn w:val="Normal"/>
    <w:link w:val="FooterChar"/>
    <w:uiPriority w:val="99"/>
    <w:unhideWhenUsed/>
    <w:rsid w:val="00B56AD6"/>
    <w:pPr>
      <w:tabs>
        <w:tab w:val="center" w:pos="4513"/>
        <w:tab w:val="right" w:pos="9026"/>
      </w:tabs>
      <w:snapToGrid w:val="0"/>
    </w:pPr>
  </w:style>
  <w:style w:type="character" w:customStyle="1" w:styleId="FooterChar">
    <w:name w:val="Footer Char"/>
    <w:basedOn w:val="DefaultParagraphFont"/>
    <w:link w:val="Footer"/>
    <w:uiPriority w:val="99"/>
    <w:rsid w:val="00B56AD6"/>
  </w:style>
  <w:style w:type="character" w:styleId="CommentReference">
    <w:name w:val="annotation reference"/>
    <w:basedOn w:val="DefaultParagraphFont"/>
    <w:unhideWhenUsed/>
    <w:qFormat/>
    <w:rsid w:val="001D48E7"/>
    <w:rPr>
      <w:sz w:val="18"/>
      <w:szCs w:val="18"/>
    </w:rPr>
  </w:style>
  <w:style w:type="paragraph" w:styleId="CommentText">
    <w:name w:val="annotation text"/>
    <w:basedOn w:val="Normal"/>
    <w:link w:val="CommentTextChar"/>
    <w:uiPriority w:val="99"/>
    <w:unhideWhenUsed/>
    <w:qFormat/>
    <w:rsid w:val="001D48E7"/>
  </w:style>
  <w:style w:type="character" w:customStyle="1" w:styleId="CommentTextChar">
    <w:name w:val="Comment Text Char"/>
    <w:basedOn w:val="DefaultParagraphFont"/>
    <w:link w:val="CommentText"/>
    <w:uiPriority w:val="99"/>
    <w:qFormat/>
    <w:rsid w:val="001D48E7"/>
  </w:style>
  <w:style w:type="paragraph" w:styleId="CommentSubject">
    <w:name w:val="annotation subject"/>
    <w:basedOn w:val="CommentText"/>
    <w:next w:val="CommentText"/>
    <w:link w:val="CommentSubjectChar"/>
    <w:uiPriority w:val="99"/>
    <w:semiHidden/>
    <w:unhideWhenUsed/>
    <w:rsid w:val="001D48E7"/>
    <w:rPr>
      <w:b/>
      <w:bCs/>
    </w:rPr>
  </w:style>
  <w:style w:type="character" w:customStyle="1" w:styleId="CommentSubjectChar">
    <w:name w:val="Comment Subject Char"/>
    <w:basedOn w:val="CommentTextChar"/>
    <w:link w:val="CommentSubject"/>
    <w:uiPriority w:val="99"/>
    <w:semiHidden/>
    <w:rsid w:val="001D48E7"/>
    <w:rPr>
      <w:b/>
      <w:bCs/>
    </w:rPr>
  </w:style>
  <w:style w:type="paragraph" w:styleId="BalloonText">
    <w:name w:val="Balloon Text"/>
    <w:basedOn w:val="Normal"/>
    <w:link w:val="BalloonTextChar"/>
    <w:uiPriority w:val="99"/>
    <w:semiHidden/>
    <w:unhideWhenUsed/>
    <w:rsid w:val="00B968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A2"/>
    <w:rPr>
      <w:rFonts w:ascii="Segoe UI" w:hAnsi="Segoe UI" w:cs="Segoe UI"/>
      <w:sz w:val="18"/>
      <w:szCs w:val="18"/>
    </w:rPr>
  </w:style>
  <w:style w:type="paragraph" w:customStyle="1" w:styleId="B1">
    <w:name w:val="B1"/>
    <w:basedOn w:val="List"/>
    <w:link w:val="B1Char1"/>
    <w:qFormat/>
    <w:rsid w:val="007C1C12"/>
    <w:pPr>
      <w:spacing w:after="180" w:line="240" w:lineRule="auto"/>
      <w:ind w:left="568" w:hanging="284"/>
      <w:contextualSpacing w:val="0"/>
    </w:pPr>
    <w:rPr>
      <w:rFonts w:ascii="Times New Roman" w:eastAsia="SimSun" w:hAnsi="Times New Roman" w:cs="Times New Roman"/>
      <w:sz w:val="20"/>
      <w:szCs w:val="20"/>
      <w:lang w:val="en-GB" w:eastAsia="en-US"/>
    </w:rPr>
  </w:style>
  <w:style w:type="paragraph" w:customStyle="1" w:styleId="B2">
    <w:name w:val="B2"/>
    <w:basedOn w:val="List2"/>
    <w:link w:val="B2Char"/>
    <w:qFormat/>
    <w:rsid w:val="007C1C12"/>
    <w:pPr>
      <w:spacing w:after="180" w:line="240" w:lineRule="auto"/>
      <w:ind w:left="851" w:hanging="284"/>
      <w:contextualSpacing w:val="0"/>
    </w:pPr>
    <w:rPr>
      <w:rFonts w:ascii="Times New Roman" w:eastAsia="SimSun" w:hAnsi="Times New Roman" w:cs="Times New Roman"/>
      <w:sz w:val="20"/>
      <w:szCs w:val="20"/>
      <w:lang w:val="en-GB" w:eastAsia="en-US"/>
    </w:rPr>
  </w:style>
  <w:style w:type="paragraph" w:customStyle="1" w:styleId="B3">
    <w:name w:val="B3"/>
    <w:basedOn w:val="List3"/>
    <w:link w:val="B3Char2"/>
    <w:qFormat/>
    <w:rsid w:val="007C1C12"/>
    <w:pPr>
      <w:spacing w:after="180" w:line="240" w:lineRule="auto"/>
      <w:ind w:left="1135" w:hanging="284"/>
      <w:contextualSpacing w:val="0"/>
    </w:pPr>
    <w:rPr>
      <w:rFonts w:ascii="Times New Roman" w:eastAsia="SimSun" w:hAnsi="Times New Roman" w:cs="Times New Roman"/>
      <w:sz w:val="20"/>
      <w:szCs w:val="20"/>
      <w:lang w:val="en-GB" w:eastAsia="en-US"/>
    </w:rPr>
  </w:style>
  <w:style w:type="paragraph" w:customStyle="1" w:styleId="B4">
    <w:name w:val="B4"/>
    <w:basedOn w:val="List4"/>
    <w:link w:val="B4Char"/>
    <w:qFormat/>
    <w:rsid w:val="007C1C12"/>
    <w:pPr>
      <w:spacing w:after="180" w:line="240" w:lineRule="auto"/>
      <w:ind w:left="1418" w:hanging="284"/>
      <w:contextualSpacing w:val="0"/>
    </w:pPr>
    <w:rPr>
      <w:rFonts w:ascii="Times New Roman" w:eastAsia="SimSun" w:hAnsi="Times New Roman" w:cs="Times New Roman"/>
      <w:sz w:val="20"/>
      <w:szCs w:val="20"/>
      <w:lang w:val="en-GB" w:eastAsia="en-US"/>
    </w:rPr>
  </w:style>
  <w:style w:type="paragraph" w:customStyle="1" w:styleId="B5">
    <w:name w:val="B5"/>
    <w:basedOn w:val="List5"/>
    <w:link w:val="B5Char"/>
    <w:qFormat/>
    <w:rsid w:val="007C1C12"/>
    <w:pPr>
      <w:spacing w:after="180" w:line="240" w:lineRule="auto"/>
      <w:ind w:left="1702" w:hanging="284"/>
      <w:contextualSpacing w:val="0"/>
    </w:pPr>
    <w:rPr>
      <w:rFonts w:ascii="Times New Roman" w:eastAsia="SimSun" w:hAnsi="Times New Roman" w:cs="Times New Roman"/>
      <w:sz w:val="20"/>
      <w:szCs w:val="20"/>
      <w:lang w:val="en-GB" w:eastAsia="en-US"/>
    </w:rPr>
  </w:style>
  <w:style w:type="character" w:customStyle="1" w:styleId="B1Char1">
    <w:name w:val="B1 Char1"/>
    <w:link w:val="B1"/>
    <w:qFormat/>
    <w:rsid w:val="007C1C12"/>
    <w:rPr>
      <w:rFonts w:ascii="Times New Roman" w:eastAsia="SimSun" w:hAnsi="Times New Roman" w:cs="Times New Roman"/>
      <w:sz w:val="20"/>
      <w:szCs w:val="20"/>
      <w:lang w:val="en-GB" w:eastAsia="en-US"/>
    </w:rPr>
  </w:style>
  <w:style w:type="character" w:customStyle="1" w:styleId="B2Char">
    <w:name w:val="B2 Char"/>
    <w:link w:val="B2"/>
    <w:qFormat/>
    <w:rsid w:val="007C1C12"/>
    <w:rPr>
      <w:rFonts w:ascii="Times New Roman" w:eastAsia="SimSun" w:hAnsi="Times New Roman" w:cs="Times New Roman"/>
      <w:sz w:val="20"/>
      <w:szCs w:val="20"/>
      <w:lang w:val="en-GB" w:eastAsia="en-US"/>
    </w:rPr>
  </w:style>
  <w:style w:type="character" w:customStyle="1" w:styleId="B3Char2">
    <w:name w:val="B3 Char2"/>
    <w:link w:val="B3"/>
    <w:qFormat/>
    <w:rsid w:val="007C1C12"/>
    <w:rPr>
      <w:rFonts w:ascii="Times New Roman" w:eastAsia="SimSun" w:hAnsi="Times New Roman" w:cs="Times New Roman"/>
      <w:sz w:val="20"/>
      <w:szCs w:val="20"/>
      <w:lang w:val="en-GB" w:eastAsia="en-US"/>
    </w:rPr>
  </w:style>
  <w:style w:type="character" w:customStyle="1" w:styleId="B4Char">
    <w:name w:val="B4 Char"/>
    <w:link w:val="B4"/>
    <w:qFormat/>
    <w:rsid w:val="007C1C12"/>
    <w:rPr>
      <w:rFonts w:ascii="Times New Roman" w:eastAsia="SimSun" w:hAnsi="Times New Roman" w:cs="Times New Roman"/>
      <w:sz w:val="20"/>
      <w:szCs w:val="20"/>
      <w:lang w:val="en-GB" w:eastAsia="en-US"/>
    </w:rPr>
  </w:style>
  <w:style w:type="character" w:customStyle="1" w:styleId="B5Char">
    <w:name w:val="B5 Char"/>
    <w:link w:val="B5"/>
    <w:qFormat/>
    <w:rsid w:val="007C1C12"/>
    <w:rPr>
      <w:rFonts w:ascii="Times New Roman" w:eastAsia="SimSun" w:hAnsi="Times New Roman" w:cs="Times New Roman"/>
      <w:sz w:val="20"/>
      <w:szCs w:val="20"/>
      <w:lang w:val="en-GB" w:eastAsia="en-US"/>
    </w:rPr>
  </w:style>
  <w:style w:type="paragraph" w:customStyle="1" w:styleId="B6">
    <w:name w:val="B6"/>
    <w:basedOn w:val="B5"/>
    <w:link w:val="B6Char"/>
    <w:qFormat/>
    <w:rsid w:val="007C1C12"/>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7C1C12"/>
    <w:rPr>
      <w:rFonts w:ascii="Times New Roman" w:eastAsia="SimSun" w:hAnsi="Times New Roman" w:cs="Times New Roman"/>
      <w:sz w:val="20"/>
      <w:szCs w:val="20"/>
      <w:lang w:eastAsia="zh-CN"/>
    </w:rPr>
  </w:style>
  <w:style w:type="paragraph" w:styleId="List">
    <w:name w:val="List"/>
    <w:basedOn w:val="Normal"/>
    <w:uiPriority w:val="99"/>
    <w:semiHidden/>
    <w:unhideWhenUsed/>
    <w:rsid w:val="007C1C12"/>
    <w:pPr>
      <w:ind w:left="360" w:hanging="360"/>
      <w:contextualSpacing/>
    </w:pPr>
  </w:style>
  <w:style w:type="paragraph" w:styleId="List2">
    <w:name w:val="List 2"/>
    <w:basedOn w:val="Normal"/>
    <w:uiPriority w:val="99"/>
    <w:semiHidden/>
    <w:unhideWhenUsed/>
    <w:rsid w:val="007C1C12"/>
    <w:pPr>
      <w:ind w:left="720" w:hanging="360"/>
      <w:contextualSpacing/>
    </w:pPr>
  </w:style>
  <w:style w:type="paragraph" w:styleId="List3">
    <w:name w:val="List 3"/>
    <w:basedOn w:val="Normal"/>
    <w:uiPriority w:val="99"/>
    <w:semiHidden/>
    <w:unhideWhenUsed/>
    <w:rsid w:val="007C1C12"/>
    <w:pPr>
      <w:ind w:left="1080" w:hanging="360"/>
      <w:contextualSpacing/>
    </w:pPr>
  </w:style>
  <w:style w:type="paragraph" w:styleId="List4">
    <w:name w:val="List 4"/>
    <w:basedOn w:val="Normal"/>
    <w:uiPriority w:val="99"/>
    <w:semiHidden/>
    <w:unhideWhenUsed/>
    <w:rsid w:val="007C1C12"/>
    <w:pPr>
      <w:ind w:left="1440" w:hanging="360"/>
      <w:contextualSpacing/>
    </w:pPr>
  </w:style>
  <w:style w:type="paragraph" w:styleId="List5">
    <w:name w:val="List 5"/>
    <w:basedOn w:val="Normal"/>
    <w:uiPriority w:val="99"/>
    <w:semiHidden/>
    <w:unhideWhenUsed/>
    <w:rsid w:val="007C1C12"/>
    <w:pPr>
      <w:ind w:left="1800" w:hanging="360"/>
      <w:contextualSpacing/>
    </w:pPr>
  </w:style>
  <w:style w:type="paragraph" w:customStyle="1" w:styleId="EditorsNote">
    <w:name w:val="Editor's Note"/>
    <w:basedOn w:val="Normal"/>
    <w:link w:val="EditorsNoteChar"/>
    <w:qFormat/>
    <w:rsid w:val="00E027D0"/>
    <w:pPr>
      <w:keepLines/>
      <w:spacing w:after="180" w:line="240" w:lineRule="auto"/>
      <w:ind w:left="1135" w:hanging="851"/>
    </w:pPr>
    <w:rPr>
      <w:rFonts w:ascii="Times New Roman" w:eastAsia="SimSun" w:hAnsi="Times New Roman" w:cs="Times New Roman"/>
      <w:color w:val="FF0000"/>
      <w:sz w:val="20"/>
      <w:szCs w:val="20"/>
      <w:lang w:val="en-GB" w:eastAsia="en-US"/>
    </w:rPr>
  </w:style>
  <w:style w:type="character" w:customStyle="1" w:styleId="EditorsNoteChar">
    <w:name w:val="Editor's Note Char"/>
    <w:aliases w:val="EN Char"/>
    <w:link w:val="EditorsNote"/>
    <w:qFormat/>
    <w:rsid w:val="00E027D0"/>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uiPriority w:val="9"/>
    <w:semiHidden/>
    <w:rsid w:val="00FE3FBB"/>
    <w:rPr>
      <w:b/>
      <w:bCs/>
    </w:rPr>
  </w:style>
  <w:style w:type="paragraph" w:styleId="Revision">
    <w:name w:val="Revision"/>
    <w:hidden/>
    <w:uiPriority w:val="99"/>
    <w:semiHidden/>
    <w:rsid w:val="00FE3F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37026-7964-40BA-8DFF-F7F615AB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2306</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Samsung_yh2</dc:creator>
  <cp:keywords/>
  <dc:description/>
  <cp:lastModifiedBy>Samsung_yh</cp:lastModifiedBy>
  <cp:revision>3</cp:revision>
  <dcterms:created xsi:type="dcterms:W3CDTF">2025-03-28T04:23:00Z</dcterms:created>
  <dcterms:modified xsi:type="dcterms:W3CDTF">2025-03-28T04:38:00Z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EEEE42B81ED013DC3EF955ADE2394C0C54727C5DA0E154EF1FCBB0C5C5F8A458DA30D5A17533DB8ACB744D9466FFF41026A2DD21A9AFFBAAD359C1138DAB9B82</vt:lpwstr>
  </property>
</Properties>
</file>