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BBB28" w14:textId="77777777" w:rsidR="009602EA" w:rsidRDefault="009602EA" w:rsidP="001669B4">
      <w:pPr>
        <w:jc w:val="both"/>
      </w:pPr>
    </w:p>
    <w:p w14:paraId="5817B6F6" w14:textId="2EA80F5D" w:rsidR="00EF3FEE" w:rsidRDefault="00EF3FEE" w:rsidP="001669B4">
      <w:pPr>
        <w:tabs>
          <w:tab w:val="left" w:pos="1985"/>
        </w:tabs>
        <w:spacing w:after="0"/>
        <w:ind w:left="2040" w:hangingChars="850" w:hanging="2040"/>
        <w:jc w:val="both"/>
        <w:rPr>
          <w:rFonts w:ascii="Arial" w:eastAsia="Malgun Gothic" w:hAnsi="Arial"/>
          <w:b/>
          <w:sz w:val="24"/>
          <w:lang w:eastAsia="en-US"/>
        </w:rPr>
      </w:pPr>
      <w:r w:rsidRPr="001E492F">
        <w:rPr>
          <w:rFonts w:ascii="Arial" w:eastAsia="Malgun Gothic" w:hAnsi="Arial"/>
          <w:b/>
          <w:sz w:val="24"/>
          <w:lang w:eastAsia="en-US"/>
        </w:rPr>
        <w:t>3GPP TSG-RAN WG2 Meeting #</w:t>
      </w:r>
      <w:r>
        <w:rPr>
          <w:rFonts w:ascii="Arial" w:eastAsia="Malgun Gothic" w:hAnsi="Arial"/>
          <w:b/>
          <w:sz w:val="24"/>
          <w:lang w:eastAsia="en-US"/>
        </w:rPr>
        <w:t>129</w:t>
      </w:r>
      <w:r>
        <w:rPr>
          <w:rFonts w:ascii="Arial" w:eastAsia="Malgun Gothic" w:hAnsi="Arial"/>
          <w:b/>
          <w:sz w:val="24"/>
          <w:lang w:eastAsia="en-US"/>
        </w:rPr>
        <w:tab/>
      </w:r>
      <w:r>
        <w:rPr>
          <w:rFonts w:ascii="Arial" w:eastAsia="Malgun Gothic" w:hAnsi="Arial"/>
          <w:b/>
          <w:sz w:val="24"/>
          <w:lang w:eastAsia="en-US"/>
        </w:rPr>
        <w:tab/>
      </w:r>
      <w:r>
        <w:rPr>
          <w:rFonts w:ascii="Arial" w:eastAsia="Malgun Gothic" w:hAnsi="Arial"/>
          <w:b/>
          <w:sz w:val="24"/>
          <w:lang w:eastAsia="en-US"/>
        </w:rPr>
        <w:tab/>
      </w:r>
      <w:r>
        <w:rPr>
          <w:rFonts w:ascii="Arial" w:eastAsia="Malgun Gothic" w:hAnsi="Arial"/>
          <w:b/>
          <w:sz w:val="24"/>
          <w:lang w:eastAsia="en-US"/>
        </w:rPr>
        <w:tab/>
      </w:r>
      <w:r w:rsidRPr="001E492F">
        <w:rPr>
          <w:rFonts w:ascii="Arial" w:eastAsia="Malgun Gothic" w:hAnsi="Arial"/>
          <w:b/>
          <w:sz w:val="24"/>
          <w:lang w:eastAsia="en-US"/>
        </w:rPr>
        <w:tab/>
      </w:r>
      <w:r w:rsidR="00E77BFC">
        <w:rPr>
          <w:rFonts w:ascii="Arial" w:eastAsia="Malgun Gothic" w:hAnsi="Arial"/>
          <w:b/>
          <w:sz w:val="24"/>
          <w:lang w:eastAsia="en-US"/>
        </w:rPr>
        <w:t xml:space="preserve">           </w:t>
      </w:r>
      <w:r w:rsidR="00751490" w:rsidRPr="00751490">
        <w:rPr>
          <w:rFonts w:ascii="Arial" w:eastAsia="Malgun Gothic" w:hAnsi="Arial"/>
          <w:b/>
          <w:sz w:val="24"/>
          <w:lang w:eastAsia="en-US"/>
        </w:rPr>
        <w:t>R2-2500507</w:t>
      </w:r>
    </w:p>
    <w:p w14:paraId="20D2EC83" w14:textId="77777777" w:rsidR="00EF3FEE" w:rsidRDefault="00EF3FEE" w:rsidP="001669B4">
      <w:pPr>
        <w:pStyle w:val="CRCoverPage"/>
        <w:tabs>
          <w:tab w:val="left" w:pos="1985"/>
        </w:tabs>
        <w:spacing w:after="0"/>
        <w:jc w:val="both"/>
        <w:rPr>
          <w:rFonts w:eastAsia="Malgun Gothic" w:cstheme="minorBidi"/>
          <w:b/>
          <w:sz w:val="24"/>
          <w:szCs w:val="22"/>
          <w:lang w:val="en-US"/>
        </w:rPr>
      </w:pPr>
      <w:r w:rsidRPr="00EF3FEE">
        <w:rPr>
          <w:rFonts w:eastAsia="Malgun Gothic" w:cstheme="minorBidi"/>
          <w:b/>
          <w:sz w:val="24"/>
          <w:szCs w:val="22"/>
          <w:lang w:val="en-US"/>
        </w:rPr>
        <w:t>Athens, Greece, Feb. 17th – 21st, 2025</w:t>
      </w:r>
    </w:p>
    <w:p w14:paraId="56C81BB4" w14:textId="77777777" w:rsidR="00EF3FEE" w:rsidRDefault="00EF3FEE" w:rsidP="001669B4">
      <w:pPr>
        <w:pStyle w:val="CRCoverPage"/>
        <w:tabs>
          <w:tab w:val="left" w:pos="1985"/>
        </w:tabs>
        <w:spacing w:after="0"/>
        <w:jc w:val="both"/>
        <w:rPr>
          <w:rFonts w:asciiTheme="minorHAnsi" w:hAnsiTheme="minorHAnsi" w:cstheme="minorHAnsi"/>
          <w:b/>
          <w:bCs/>
          <w:sz w:val="28"/>
        </w:rPr>
      </w:pPr>
    </w:p>
    <w:p w14:paraId="55DBB87B" w14:textId="77777777" w:rsidR="00EF3FEE" w:rsidRPr="003C2E7A" w:rsidRDefault="00EF3FEE" w:rsidP="001669B4">
      <w:pPr>
        <w:pStyle w:val="CRCoverPage"/>
        <w:tabs>
          <w:tab w:val="left" w:pos="1985"/>
        </w:tabs>
        <w:spacing w:after="0"/>
        <w:jc w:val="both"/>
        <w:rPr>
          <w:rFonts w:asciiTheme="minorHAnsi" w:hAnsiTheme="minorHAnsi" w:cstheme="minorHAnsi"/>
          <w:b/>
          <w:bCs/>
          <w:sz w:val="28"/>
          <w:lang w:eastAsia="ja-JP"/>
        </w:rPr>
      </w:pPr>
      <w:r w:rsidRPr="003C2E7A">
        <w:rPr>
          <w:rFonts w:asciiTheme="minorHAnsi" w:hAnsiTheme="minorHAnsi" w:cstheme="minorHAnsi"/>
          <w:b/>
          <w:bCs/>
          <w:sz w:val="28"/>
        </w:rPr>
        <w:t>Agenda item:</w:t>
      </w:r>
      <w:r w:rsidRPr="003C2E7A">
        <w:rPr>
          <w:rFonts w:asciiTheme="minorHAnsi" w:hAnsiTheme="minorHAnsi" w:cstheme="minorHAnsi"/>
          <w:b/>
          <w:bCs/>
          <w:sz w:val="28"/>
        </w:rPr>
        <w:tab/>
        <w:t>8.1.2.2</w:t>
      </w:r>
    </w:p>
    <w:p w14:paraId="69413CB2" w14:textId="77777777" w:rsidR="00EF3FEE" w:rsidRPr="003C2E7A" w:rsidRDefault="00EF3FEE" w:rsidP="001669B4">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Source:</w:t>
      </w:r>
      <w:r w:rsidRPr="003C2E7A">
        <w:rPr>
          <w:rFonts w:eastAsia="SimSun" w:cstheme="minorHAnsi"/>
          <w:b/>
          <w:bCs/>
          <w:sz w:val="28"/>
          <w:szCs w:val="20"/>
          <w:lang w:val="en-GB" w:eastAsia="en-US"/>
        </w:rPr>
        <w:tab/>
        <w:t>Samsung</w:t>
      </w:r>
      <w:bookmarkStart w:id="0" w:name="_GoBack"/>
      <w:bookmarkEnd w:id="0"/>
    </w:p>
    <w:p w14:paraId="06C255BB" w14:textId="77777777" w:rsidR="00EF3FEE" w:rsidRPr="003C2E7A" w:rsidRDefault="00EF3FEE" w:rsidP="001669B4">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Title:</w:t>
      </w:r>
      <w:r w:rsidRPr="003C2E7A">
        <w:rPr>
          <w:rFonts w:eastAsia="SimSun" w:cstheme="minorHAnsi"/>
          <w:b/>
          <w:bCs/>
          <w:sz w:val="28"/>
          <w:szCs w:val="20"/>
          <w:lang w:val="en-GB" w:eastAsia="en-US"/>
        </w:rPr>
        <w:tab/>
        <w:t>Discussion on LCM for UE-sided model for beam management</w:t>
      </w:r>
    </w:p>
    <w:p w14:paraId="685F8AF9" w14:textId="77777777" w:rsidR="00EF3FEE" w:rsidRPr="003C2E7A" w:rsidRDefault="00EF3FEE" w:rsidP="001669B4">
      <w:pPr>
        <w:pBdr>
          <w:bottom w:val="single" w:sz="6" w:space="1" w:color="auto"/>
        </w:pBdr>
        <w:tabs>
          <w:tab w:val="left" w:pos="1985"/>
        </w:tabs>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Document for:</w:t>
      </w:r>
      <w:r w:rsidRPr="003C2E7A">
        <w:rPr>
          <w:rFonts w:eastAsia="SimSun" w:cstheme="minorHAnsi"/>
          <w:b/>
          <w:bCs/>
          <w:sz w:val="28"/>
          <w:szCs w:val="20"/>
          <w:lang w:val="en-GB" w:eastAsia="en-US"/>
        </w:rPr>
        <w:tab/>
        <w:t>Discussion and Decision</w:t>
      </w:r>
    </w:p>
    <w:p w14:paraId="34635A75" w14:textId="77777777" w:rsidR="00EF3FEE" w:rsidRDefault="00EF3FEE" w:rsidP="001669B4">
      <w:pPr>
        <w:pStyle w:val="Heading1"/>
        <w:numPr>
          <w:ilvl w:val="0"/>
          <w:numId w:val="1"/>
        </w:numPr>
        <w:jc w:val="both"/>
      </w:pPr>
      <w:r>
        <w:t>Introduction</w:t>
      </w:r>
    </w:p>
    <w:p w14:paraId="629218D6" w14:textId="0322F9BA" w:rsidR="00EF3FEE" w:rsidRDefault="00EF3FEE" w:rsidP="001669B4">
      <w:pPr>
        <w:jc w:val="both"/>
      </w:pPr>
      <w:r>
        <w:t>RAN1 sent a reply LS on BM applicable functionality reporting</w:t>
      </w:r>
      <w:r w:rsidR="00751490">
        <w:t xml:space="preserve"> [1]</w:t>
      </w:r>
      <w:r>
        <w:t xml:space="preserve">. In this document, we analyze the required signaling and procedure to incorporate RAN1 agreement. </w:t>
      </w:r>
    </w:p>
    <w:p w14:paraId="19CFBDE2" w14:textId="77777777" w:rsidR="00EF3FEE" w:rsidRDefault="00EF3FEE" w:rsidP="001669B4">
      <w:pPr>
        <w:pStyle w:val="Heading1"/>
        <w:numPr>
          <w:ilvl w:val="0"/>
          <w:numId w:val="1"/>
        </w:numPr>
        <w:jc w:val="both"/>
      </w:pPr>
      <w:r>
        <w:t>Understanding on RAN1 agreement</w:t>
      </w:r>
    </w:p>
    <w:p w14:paraId="51B44F68" w14:textId="74963D3E" w:rsidR="00EF3FEE" w:rsidRDefault="00EF3FEE" w:rsidP="001669B4">
      <w:pPr>
        <w:jc w:val="both"/>
      </w:pPr>
      <w:r>
        <w:t>Based on RAN1 LS, basically, RAN1 agreed to support two different options to request applicable functionality reporting</w:t>
      </w:r>
      <w:r w:rsidR="0044199B">
        <w:t xml:space="preserve"> as follows. </w:t>
      </w:r>
    </w:p>
    <w:p w14:paraId="0D572D7D" w14:textId="77777777" w:rsidR="0044199B" w:rsidRDefault="00774476" w:rsidP="001669B4">
      <w:pPr>
        <w:pStyle w:val="ListParagraph"/>
        <w:numPr>
          <w:ilvl w:val="0"/>
          <w:numId w:val="2"/>
        </w:numPr>
        <w:jc w:val="both"/>
        <w:rPr>
          <w:lang w:eastAsia="en-GB"/>
        </w:rPr>
      </w:pPr>
      <w:r>
        <w:rPr>
          <w:lang w:eastAsia="en-GB"/>
        </w:rPr>
        <w:t xml:space="preserve">Option A: </w:t>
      </w:r>
      <w:r w:rsidR="0044199B">
        <w:rPr>
          <w:lang w:eastAsia="en-GB"/>
        </w:rPr>
        <w:t>“</w:t>
      </w:r>
      <w:r w:rsidR="0044199B" w:rsidRPr="0044199B">
        <w:rPr>
          <w:lang w:eastAsia="en-GB"/>
        </w:rPr>
        <w:t>one or more of CSI-</w:t>
      </w:r>
      <w:proofErr w:type="spellStart"/>
      <w:r w:rsidR="0044199B" w:rsidRPr="0044199B">
        <w:rPr>
          <w:lang w:eastAsia="en-GB"/>
        </w:rPr>
        <w:t>ReportConfig</w:t>
      </w:r>
      <w:proofErr w:type="spellEnd"/>
      <w:r w:rsidR="0044199B" w:rsidRPr="0044199B">
        <w:rPr>
          <w:lang w:eastAsia="en-GB"/>
        </w:rPr>
        <w:t xml:space="preserve"> for inference configuration (wherein the associated ID may be configured in CSI framework as working assumption applied)</w:t>
      </w:r>
      <w:r w:rsidR="0044199B">
        <w:rPr>
          <w:lang w:eastAsia="en-GB"/>
        </w:rPr>
        <w:t>”</w:t>
      </w:r>
    </w:p>
    <w:p w14:paraId="6478CCAE" w14:textId="77777777" w:rsidR="00774476" w:rsidRDefault="0044199B" w:rsidP="001669B4">
      <w:pPr>
        <w:pStyle w:val="ListParagraph"/>
        <w:numPr>
          <w:ilvl w:val="1"/>
          <w:numId w:val="2"/>
        </w:numPr>
        <w:jc w:val="both"/>
        <w:rPr>
          <w:lang w:eastAsia="en-GB"/>
        </w:rPr>
      </w:pPr>
      <w:r>
        <w:rPr>
          <w:lang w:eastAsia="en-GB"/>
        </w:rPr>
        <w:t xml:space="preserve">Expected procedure: </w:t>
      </w:r>
    </w:p>
    <w:p w14:paraId="095118DD" w14:textId="77777777" w:rsidR="00774476" w:rsidRDefault="00774476" w:rsidP="001669B4">
      <w:pPr>
        <w:pStyle w:val="ListParagraph"/>
        <w:numPr>
          <w:ilvl w:val="2"/>
          <w:numId w:val="4"/>
        </w:numPr>
        <w:jc w:val="both"/>
        <w:rPr>
          <w:lang w:eastAsia="en-GB"/>
        </w:rPr>
      </w:pPr>
      <w:r>
        <w:rPr>
          <w:lang w:eastAsia="en-GB"/>
        </w:rPr>
        <w:t>In Step 3, gNB provides one or more CSI-</w:t>
      </w:r>
      <w:proofErr w:type="spellStart"/>
      <w:r>
        <w:rPr>
          <w:lang w:eastAsia="en-GB"/>
        </w:rPr>
        <w:t>ReportConfig</w:t>
      </w:r>
      <w:proofErr w:type="spellEnd"/>
      <w:r>
        <w:rPr>
          <w:lang w:eastAsia="en-GB"/>
        </w:rPr>
        <w:t xml:space="preserve"> for applicable reporting. </w:t>
      </w:r>
    </w:p>
    <w:p w14:paraId="07338E1C" w14:textId="77777777" w:rsidR="00774476" w:rsidRDefault="00774476" w:rsidP="001669B4">
      <w:pPr>
        <w:pStyle w:val="ListParagraph"/>
        <w:numPr>
          <w:ilvl w:val="2"/>
          <w:numId w:val="4"/>
        </w:numPr>
        <w:jc w:val="both"/>
        <w:rPr>
          <w:lang w:eastAsia="en-GB"/>
        </w:rPr>
      </w:pPr>
      <w:r>
        <w:rPr>
          <w:lang w:eastAsia="en-GB"/>
        </w:rPr>
        <w:t>In Step 4, UE provides the applicable functionality reporting by indicating one or more CSI-</w:t>
      </w:r>
      <w:proofErr w:type="spellStart"/>
      <w:r>
        <w:rPr>
          <w:lang w:eastAsia="en-GB"/>
        </w:rPr>
        <w:t>ReportConfig</w:t>
      </w:r>
      <w:proofErr w:type="spellEnd"/>
      <w:r>
        <w:rPr>
          <w:lang w:eastAsia="en-GB"/>
        </w:rPr>
        <w:t xml:space="preserve"> which are applicable. </w:t>
      </w:r>
    </w:p>
    <w:p w14:paraId="5FDF8802" w14:textId="6FD315D5" w:rsidR="00774476" w:rsidRDefault="00774476" w:rsidP="001669B4">
      <w:pPr>
        <w:pStyle w:val="ListParagraph"/>
        <w:numPr>
          <w:ilvl w:val="2"/>
          <w:numId w:val="4"/>
        </w:numPr>
        <w:jc w:val="both"/>
        <w:rPr>
          <w:lang w:eastAsia="en-GB"/>
        </w:rPr>
      </w:pPr>
      <w:r>
        <w:rPr>
          <w:lang w:eastAsia="en-GB"/>
        </w:rPr>
        <w:t xml:space="preserve">In option </w:t>
      </w:r>
      <w:r w:rsidR="001D48E7">
        <w:rPr>
          <w:lang w:eastAsia="en-GB"/>
        </w:rPr>
        <w:t>A</w:t>
      </w:r>
      <w:r>
        <w:rPr>
          <w:lang w:eastAsia="en-GB"/>
        </w:rPr>
        <w:t xml:space="preserve">, Step 5 can be skipped because full inference related configuration is provided in Step 3. </w:t>
      </w:r>
    </w:p>
    <w:p w14:paraId="1D71ABA4" w14:textId="77777777" w:rsidR="0044199B" w:rsidRPr="0044199B" w:rsidRDefault="00774476" w:rsidP="001669B4">
      <w:pPr>
        <w:pStyle w:val="ListParagraph"/>
        <w:numPr>
          <w:ilvl w:val="0"/>
          <w:numId w:val="2"/>
        </w:numPr>
        <w:jc w:val="both"/>
        <w:rPr>
          <w:lang w:eastAsia="en-GB"/>
        </w:rPr>
      </w:pPr>
      <w:r>
        <w:rPr>
          <w:lang w:eastAsia="en-GB"/>
        </w:rPr>
        <w:t xml:space="preserve">Option B: </w:t>
      </w:r>
      <w:r w:rsidR="0044199B">
        <w:rPr>
          <w:lang w:eastAsia="en-GB"/>
        </w:rPr>
        <w:t>“</w:t>
      </w:r>
      <w:r w:rsidR="0044199B" w:rsidRPr="0044199B">
        <w:rPr>
          <w:lang w:eastAsia="en-GB"/>
        </w:rPr>
        <w:t>One set or multiple sets of inference related parameters for applicability report only (not for inference)</w:t>
      </w:r>
      <w:r w:rsidR="0044199B">
        <w:rPr>
          <w:lang w:eastAsia="en-GB"/>
        </w:rPr>
        <w:t>”</w:t>
      </w:r>
    </w:p>
    <w:p w14:paraId="2CD2702C" w14:textId="77777777" w:rsidR="0044199B" w:rsidRDefault="0044199B" w:rsidP="001669B4">
      <w:pPr>
        <w:pStyle w:val="ListParagraph"/>
        <w:numPr>
          <w:ilvl w:val="1"/>
          <w:numId w:val="2"/>
        </w:numPr>
        <w:jc w:val="both"/>
        <w:rPr>
          <w:lang w:eastAsia="en-GB"/>
        </w:rPr>
      </w:pPr>
      <w:r>
        <w:rPr>
          <w:lang w:eastAsia="en-GB"/>
        </w:rPr>
        <w:t xml:space="preserve">Expected procedure: </w:t>
      </w:r>
    </w:p>
    <w:p w14:paraId="2026074D" w14:textId="0FF96E3E" w:rsidR="00774476" w:rsidRDefault="00774476" w:rsidP="001669B4">
      <w:pPr>
        <w:pStyle w:val="ListParagraph"/>
        <w:numPr>
          <w:ilvl w:val="2"/>
          <w:numId w:val="5"/>
        </w:numPr>
        <w:jc w:val="both"/>
        <w:rPr>
          <w:lang w:eastAsia="en-GB"/>
        </w:rPr>
      </w:pPr>
      <w:r>
        <w:rPr>
          <w:lang w:eastAsia="en-GB"/>
        </w:rPr>
        <w:t xml:space="preserve">In Step 3, gNB provides one or multiple sets of inference related parameters for applicable functionality reporting. </w:t>
      </w:r>
    </w:p>
    <w:p w14:paraId="6DF2DB1A" w14:textId="77777777" w:rsidR="00774476" w:rsidRDefault="00774476" w:rsidP="001669B4">
      <w:pPr>
        <w:pStyle w:val="ListParagraph"/>
        <w:numPr>
          <w:ilvl w:val="2"/>
          <w:numId w:val="5"/>
        </w:numPr>
        <w:jc w:val="both"/>
        <w:rPr>
          <w:lang w:eastAsia="en-GB"/>
        </w:rPr>
      </w:pPr>
      <w:r>
        <w:rPr>
          <w:lang w:eastAsia="en-GB"/>
        </w:rPr>
        <w:t>In Step 4, UE provides the applicable functionality reporting by indicating one or more sets of inference related parameters which are applicable.</w:t>
      </w:r>
    </w:p>
    <w:p w14:paraId="18CC7540" w14:textId="77777777" w:rsidR="00774476" w:rsidRDefault="00774476" w:rsidP="001669B4">
      <w:pPr>
        <w:pStyle w:val="ListParagraph"/>
        <w:numPr>
          <w:ilvl w:val="2"/>
          <w:numId w:val="5"/>
        </w:numPr>
        <w:jc w:val="both"/>
        <w:rPr>
          <w:lang w:eastAsia="en-GB"/>
        </w:rPr>
      </w:pPr>
      <w:r>
        <w:rPr>
          <w:lang w:eastAsia="en-GB"/>
        </w:rPr>
        <w:t xml:space="preserve">In Step 5, </w:t>
      </w:r>
      <w:proofErr w:type="spellStart"/>
      <w:r>
        <w:rPr>
          <w:lang w:eastAsia="en-GB"/>
        </w:rPr>
        <w:t>gNB</w:t>
      </w:r>
      <w:proofErr w:type="spellEnd"/>
      <w:r>
        <w:rPr>
          <w:lang w:eastAsia="en-GB"/>
        </w:rPr>
        <w:t xml:space="preserve"> provides CSI-</w:t>
      </w:r>
      <w:proofErr w:type="spellStart"/>
      <w:r>
        <w:rPr>
          <w:lang w:eastAsia="en-GB"/>
        </w:rPr>
        <w:t>ReportConfig</w:t>
      </w:r>
      <w:proofErr w:type="spellEnd"/>
      <w:r>
        <w:rPr>
          <w:lang w:eastAsia="en-GB"/>
        </w:rPr>
        <w:t xml:space="preserve"> for inference configuration. </w:t>
      </w:r>
    </w:p>
    <w:p w14:paraId="76BAD504" w14:textId="77777777" w:rsidR="0032285A" w:rsidRDefault="0032285A" w:rsidP="001669B4">
      <w:pPr>
        <w:jc w:val="both"/>
      </w:pPr>
    </w:p>
    <w:p w14:paraId="788AE034" w14:textId="77777777" w:rsidR="0032285A" w:rsidRDefault="00992643" w:rsidP="001669B4">
      <w:pPr>
        <w:pStyle w:val="Heading1"/>
        <w:numPr>
          <w:ilvl w:val="0"/>
          <w:numId w:val="1"/>
        </w:numPr>
        <w:jc w:val="both"/>
      </w:pPr>
      <w:r>
        <w:t>Discussion</w:t>
      </w:r>
      <w:r w:rsidR="00F35BDD">
        <w:t xml:space="preserve"> on </w:t>
      </w:r>
      <w:r w:rsidR="009B4502">
        <w:t>functionality procedure</w:t>
      </w:r>
    </w:p>
    <w:p w14:paraId="02C81E82" w14:textId="77D306B4" w:rsidR="009B4502" w:rsidRDefault="009B4502" w:rsidP="001669B4">
      <w:pPr>
        <w:spacing w:before="240"/>
        <w:jc w:val="both"/>
      </w:pPr>
      <w:r w:rsidRPr="009B4502">
        <w:t xml:space="preserve">In this section, we would progress the </w:t>
      </w:r>
      <w:r>
        <w:t>functionality procedure based on RAN1 res</w:t>
      </w:r>
      <w:r w:rsidR="00034ACE">
        <w:t>p</w:t>
      </w:r>
      <w:r>
        <w:t>onse</w:t>
      </w:r>
      <w:r w:rsidR="00BB13D4">
        <w:t xml:space="preserve"> i.e. resolving FFS points from the previous discussion. </w:t>
      </w:r>
      <w:r>
        <w:t xml:space="preserve"> </w:t>
      </w:r>
    </w:p>
    <w:p w14:paraId="52471F31" w14:textId="77777777" w:rsidR="00034ACE" w:rsidRDefault="00034ACE" w:rsidP="001669B4">
      <w:pPr>
        <w:spacing w:before="240"/>
        <w:jc w:val="both"/>
      </w:pPr>
      <w:r>
        <w:t xml:space="preserve">Before discussing each step, </w:t>
      </w:r>
      <w:r w:rsidR="008C4710">
        <w:t xml:space="preserve">we can also look at terminologies for functionalities from RAN1. </w:t>
      </w:r>
    </w:p>
    <w:tbl>
      <w:tblPr>
        <w:tblStyle w:val="TableGrid"/>
        <w:tblW w:w="0" w:type="auto"/>
        <w:tblLook w:val="04A0" w:firstRow="1" w:lastRow="0" w:firstColumn="1" w:lastColumn="0" w:noHBand="0" w:noVBand="1"/>
      </w:tblPr>
      <w:tblGrid>
        <w:gridCol w:w="9350"/>
      </w:tblGrid>
      <w:tr w:rsidR="008C4710" w14:paraId="149765BF" w14:textId="77777777" w:rsidTr="008C4710">
        <w:tc>
          <w:tcPr>
            <w:tcW w:w="9350" w:type="dxa"/>
          </w:tcPr>
          <w:p w14:paraId="0D847CF6" w14:textId="77777777" w:rsidR="008C4710" w:rsidRPr="00B75479" w:rsidRDefault="008C4710" w:rsidP="001669B4">
            <w:pPr>
              <w:pStyle w:val="ListParagraph"/>
              <w:numPr>
                <w:ilvl w:val="0"/>
                <w:numId w:val="8"/>
              </w:numPr>
              <w:spacing w:before="156" w:after="156" w:line="278" w:lineRule="auto"/>
              <w:jc w:val="both"/>
              <w:rPr>
                <w:rFonts w:ascii="Arial" w:eastAsia="Malgun Gothic" w:hAnsi="Arial" w:cs="Arial"/>
                <w:color w:val="FF0000"/>
                <w:sz w:val="18"/>
                <w:szCs w:val="18"/>
                <w:lang w:eastAsia="zh-CN"/>
              </w:rPr>
            </w:pPr>
            <w:r w:rsidRPr="00B75479">
              <w:rPr>
                <w:rFonts w:ascii="Arial" w:eastAsia="Malgun Gothic" w:hAnsi="Arial" w:cs="Arial"/>
                <w:sz w:val="18"/>
                <w:szCs w:val="18"/>
                <w:lang w:eastAsia="zh-CN"/>
              </w:rPr>
              <w:lastRenderedPageBreak/>
              <w:t>The</w:t>
            </w:r>
            <w:r w:rsidRPr="00B75479">
              <w:rPr>
                <w:rFonts w:ascii="Arial" w:eastAsia="Malgun Gothic" w:hAnsi="Arial" w:cs="Arial" w:hint="eastAsia"/>
                <w:sz w:val="18"/>
                <w:szCs w:val="18"/>
                <w:lang w:eastAsia="zh-CN"/>
              </w:rPr>
              <w:t xml:space="preserve"> concept/terminology</w:t>
            </w:r>
            <w:r w:rsidRPr="00B75479">
              <w:rPr>
                <w:rFonts w:ascii="Arial" w:eastAsia="Malgun Gothic" w:hAnsi="Arial" w:cs="Arial"/>
                <w:sz w:val="18"/>
                <w:szCs w:val="18"/>
                <w:lang w:eastAsia="zh-CN"/>
              </w:rPr>
              <w:t xml:space="preserve"> “functionality</w:t>
            </w:r>
            <w:r w:rsidRPr="00B75479">
              <w:rPr>
                <w:rFonts w:ascii="Arial" w:hAnsi="Arial" w:cs="Arial"/>
                <w:sz w:val="18"/>
                <w:szCs w:val="18"/>
                <w:lang w:eastAsia="zh-CN"/>
              </w:rPr>
              <w:t xml:space="preserve">” </w:t>
            </w:r>
            <w:r w:rsidRPr="00B75479">
              <w:rPr>
                <w:rFonts w:ascii="Arial" w:eastAsia="Malgun Gothic" w:hAnsi="Arial" w:cs="Arial"/>
                <w:sz w:val="18"/>
                <w:szCs w:val="18"/>
                <w:lang w:eastAsia="zh-CN"/>
              </w:rPr>
              <w:t xml:space="preserve">of </w:t>
            </w:r>
            <w:r w:rsidRPr="00B75479">
              <w:rPr>
                <w:rFonts w:ascii="Arial" w:eastAsia="Malgun Gothic" w:hAnsi="Arial" w:cs="Arial"/>
                <w:b/>
                <w:bCs/>
                <w:sz w:val="18"/>
                <w:szCs w:val="18"/>
                <w:lang w:eastAsia="zh-CN"/>
              </w:rPr>
              <w:t>Supported functionalities</w:t>
            </w:r>
            <w:r w:rsidRPr="00B75479">
              <w:rPr>
                <w:rFonts w:ascii="Arial" w:eastAsia="Malgun Gothic" w:hAnsi="Arial" w:cs="Arial"/>
                <w:sz w:val="18"/>
                <w:szCs w:val="18"/>
                <w:lang w:eastAsia="zh-CN"/>
              </w:rPr>
              <w:t xml:space="preserve"> may refer to UE-capability information/parameters i.e., Rel-19 AI/ML-enabled Features/FGs</w:t>
            </w:r>
            <w:r w:rsidRPr="00B75479">
              <w:rPr>
                <w:rFonts w:ascii="Arial" w:hAnsi="Arial" w:cs="Arial"/>
                <w:color w:val="FF0000"/>
                <w:sz w:val="18"/>
                <w:szCs w:val="18"/>
                <w:lang w:eastAsia="zh-CN"/>
              </w:rPr>
              <w:t xml:space="preserve"> </w:t>
            </w:r>
          </w:p>
          <w:p w14:paraId="2EBAB1E6" w14:textId="77777777" w:rsidR="008C4710" w:rsidRPr="00B75479" w:rsidRDefault="008C4710" w:rsidP="001669B4">
            <w:pPr>
              <w:pStyle w:val="ListParagraph"/>
              <w:numPr>
                <w:ilvl w:val="0"/>
                <w:numId w:val="8"/>
              </w:numPr>
              <w:spacing w:before="156" w:after="156" w:line="278" w:lineRule="auto"/>
              <w:jc w:val="both"/>
              <w:rPr>
                <w:rFonts w:ascii="Arial" w:eastAsia="Malgun Gothic" w:hAnsi="Arial" w:cs="Arial"/>
                <w:sz w:val="18"/>
                <w:szCs w:val="18"/>
                <w:lang w:eastAsia="zh-CN"/>
              </w:rPr>
            </w:pPr>
            <w:r w:rsidRPr="00B75479">
              <w:rPr>
                <w:rFonts w:ascii="Arial" w:eastAsia="Malgun Gothic" w:hAnsi="Arial" w:cs="Arial"/>
                <w:sz w:val="18"/>
                <w:szCs w:val="18"/>
                <w:lang w:eastAsia="zh-CN"/>
              </w:rPr>
              <w:t xml:space="preserve">The </w:t>
            </w:r>
            <w:r w:rsidRPr="00B75479">
              <w:rPr>
                <w:rFonts w:ascii="Arial" w:eastAsia="Malgun Gothic" w:hAnsi="Arial" w:cs="Arial" w:hint="eastAsia"/>
                <w:sz w:val="18"/>
                <w:szCs w:val="18"/>
                <w:lang w:eastAsia="zh-CN"/>
              </w:rPr>
              <w:t>concept/terminology</w:t>
            </w:r>
            <w:r w:rsidRPr="00B75479">
              <w:rPr>
                <w:rFonts w:ascii="Arial" w:eastAsia="Malgun Gothic" w:hAnsi="Arial" w:cs="Arial"/>
                <w:sz w:val="18"/>
                <w:szCs w:val="18"/>
                <w:lang w:eastAsia="zh-CN"/>
              </w:rPr>
              <w:t xml:space="preserve"> “functionality</w:t>
            </w:r>
            <w:r w:rsidRPr="00B75479">
              <w:rPr>
                <w:rFonts w:ascii="Arial" w:hAnsi="Arial" w:cs="Arial"/>
                <w:sz w:val="18"/>
                <w:szCs w:val="18"/>
                <w:lang w:eastAsia="zh-CN"/>
              </w:rPr>
              <w:t xml:space="preserve">” </w:t>
            </w:r>
            <w:r w:rsidRPr="00B75479">
              <w:rPr>
                <w:rFonts w:ascii="Arial" w:eastAsia="Malgun Gothic" w:hAnsi="Arial" w:cs="Arial"/>
                <w:sz w:val="18"/>
                <w:szCs w:val="18"/>
                <w:lang w:eastAsia="zh-CN"/>
              </w:rPr>
              <w:t xml:space="preserve">of </w:t>
            </w:r>
            <w:r w:rsidRPr="00B75479">
              <w:rPr>
                <w:rFonts w:ascii="Arial" w:eastAsia="Malgun Gothic" w:hAnsi="Arial" w:cs="Arial"/>
                <w:b/>
                <w:bCs/>
                <w:sz w:val="18"/>
                <w:szCs w:val="18"/>
                <w:lang w:eastAsia="zh-CN"/>
              </w:rPr>
              <w:t>Applicable functionalities</w:t>
            </w:r>
            <w:r w:rsidRPr="00B75479">
              <w:rPr>
                <w:rFonts w:ascii="Arial" w:eastAsia="Malgun Gothic" w:hAnsi="Arial" w:cs="Arial"/>
                <w:sz w:val="18"/>
                <w:szCs w:val="18"/>
                <w:lang w:eastAsia="zh-CN"/>
              </w:rPr>
              <w:t xml:space="preserve"> may refer to </w:t>
            </w:r>
            <w:r w:rsidRPr="00B75479">
              <w:rPr>
                <w:rFonts w:ascii="Arial" w:eastAsia="Malgun Gothic" w:hAnsi="Arial" w:cs="Arial"/>
                <w:i/>
                <w:iCs/>
                <w:sz w:val="18"/>
                <w:szCs w:val="18"/>
                <w:lang w:eastAsia="zh-CN"/>
              </w:rPr>
              <w:t>CSI-</w:t>
            </w:r>
            <w:proofErr w:type="spellStart"/>
            <w:r w:rsidRPr="00B75479">
              <w:rPr>
                <w:rFonts w:ascii="Arial" w:eastAsia="Malgun Gothic" w:hAnsi="Arial" w:cs="Arial"/>
                <w:i/>
                <w:iCs/>
                <w:sz w:val="18"/>
                <w:szCs w:val="18"/>
                <w:lang w:eastAsia="zh-CN"/>
              </w:rPr>
              <w:t>ReportConfig</w:t>
            </w:r>
            <w:proofErr w:type="spellEnd"/>
            <w:r w:rsidRPr="00B75479">
              <w:rPr>
                <w:rFonts w:ascii="Arial" w:eastAsia="Malgun Gothic" w:hAnsi="Arial" w:cs="Arial"/>
                <w:sz w:val="18"/>
                <w:szCs w:val="18"/>
                <w:lang w:eastAsia="zh-CN"/>
              </w:rPr>
              <w:t xml:space="preserve"> for inference configuration or a set of inference related parameters </w:t>
            </w:r>
          </w:p>
          <w:p w14:paraId="4B4797CD" w14:textId="77777777" w:rsidR="008C4710" w:rsidRPr="008C4710" w:rsidRDefault="008C4710" w:rsidP="001669B4">
            <w:pPr>
              <w:pStyle w:val="ListParagraph"/>
              <w:numPr>
                <w:ilvl w:val="0"/>
                <w:numId w:val="8"/>
              </w:numPr>
              <w:tabs>
                <w:tab w:val="left" w:pos="360"/>
                <w:tab w:val="left" w:pos="709"/>
              </w:tabs>
              <w:spacing w:before="156" w:after="156" w:line="278" w:lineRule="auto"/>
              <w:jc w:val="both"/>
              <w:rPr>
                <w:rFonts w:ascii="Arial" w:eastAsia="Malgun Gothic" w:hAnsi="Arial" w:cs="Arial"/>
                <w:sz w:val="18"/>
                <w:szCs w:val="18"/>
                <w:lang w:eastAsia="zh-CN"/>
              </w:rPr>
            </w:pPr>
            <w:r w:rsidRPr="00B75479">
              <w:rPr>
                <w:rFonts w:ascii="Arial" w:eastAsia="Malgun Gothic" w:hAnsi="Arial" w:cs="Arial"/>
                <w:sz w:val="18"/>
                <w:szCs w:val="18"/>
                <w:lang w:eastAsia="zh-CN"/>
              </w:rPr>
              <w:t xml:space="preserve">The </w:t>
            </w:r>
            <w:r w:rsidRPr="00B75479">
              <w:rPr>
                <w:rFonts w:ascii="Arial" w:eastAsia="Malgun Gothic" w:hAnsi="Arial" w:cs="Arial"/>
                <w:b/>
                <w:bCs/>
                <w:sz w:val="18"/>
                <w:szCs w:val="18"/>
                <w:lang w:eastAsia="zh-CN"/>
              </w:rPr>
              <w:t>Activated functionalities</w:t>
            </w:r>
            <w:r w:rsidRPr="00B75479">
              <w:rPr>
                <w:rFonts w:ascii="Arial" w:eastAsia="Malgun Gothic" w:hAnsi="Arial" w:cs="Arial" w:hint="eastAsia"/>
                <w:sz w:val="18"/>
                <w:szCs w:val="18"/>
                <w:lang w:eastAsia="zh-CN"/>
              </w:rPr>
              <w:t xml:space="preserve"> </w:t>
            </w:r>
            <w:r w:rsidRPr="00B75479">
              <w:rPr>
                <w:rFonts w:ascii="Arial" w:eastAsia="Malgun Gothic" w:hAnsi="Arial" w:cs="Arial"/>
                <w:sz w:val="18"/>
                <w:szCs w:val="18"/>
                <w:lang w:eastAsia="zh-CN"/>
              </w:rPr>
              <w:t xml:space="preserve">may </w:t>
            </w:r>
            <w:r w:rsidRPr="00B75479">
              <w:rPr>
                <w:rFonts w:ascii="Arial" w:eastAsia="Malgun Gothic" w:hAnsi="Arial" w:cs="Arial" w:hint="eastAsia"/>
                <w:sz w:val="18"/>
                <w:szCs w:val="18"/>
                <w:lang w:eastAsia="zh-CN"/>
              </w:rPr>
              <w:t>be enabled based on CSI framework.</w:t>
            </w:r>
          </w:p>
        </w:tc>
      </w:tr>
    </w:tbl>
    <w:p w14:paraId="0F2714CD" w14:textId="77777777" w:rsidR="008C4710" w:rsidRDefault="008C4710" w:rsidP="001669B4">
      <w:pPr>
        <w:spacing w:before="240"/>
        <w:jc w:val="both"/>
      </w:pPr>
      <w:r>
        <w:t>Based on RAN1 terminologies, it is clear that applicable functionalities can be mapped to CSI-</w:t>
      </w:r>
      <w:proofErr w:type="spellStart"/>
      <w:r>
        <w:t>ReportConfig</w:t>
      </w:r>
      <w:proofErr w:type="spellEnd"/>
      <w:r>
        <w:t xml:space="preserve"> although it is not clear how to define supported functionalities or activated functionalities. </w:t>
      </w:r>
    </w:p>
    <w:p w14:paraId="6955A9BA" w14:textId="71D29213" w:rsidR="008C4710" w:rsidRPr="0020371D" w:rsidRDefault="008C4710" w:rsidP="001669B4">
      <w:pPr>
        <w:jc w:val="both"/>
        <w:rPr>
          <w:b/>
        </w:rPr>
      </w:pPr>
      <w:bookmarkStart w:id="1" w:name="pro1"/>
      <w:r w:rsidRPr="0020371D">
        <w:rPr>
          <w:b/>
        </w:rPr>
        <w:t xml:space="preserve">Proposal </w:t>
      </w:r>
      <w:r w:rsidRPr="0020371D">
        <w:rPr>
          <w:rFonts w:cs="Calibri"/>
          <w:b/>
          <w:bCs/>
        </w:rPr>
        <w:fldChar w:fldCharType="begin"/>
      </w:r>
      <w:r w:rsidRPr="0020371D">
        <w:rPr>
          <w:rFonts w:cs="Calibri"/>
          <w:b/>
          <w:bCs/>
        </w:rPr>
        <w:instrText xml:space="preserve"> SEQ pro \* MERGEFORMAT </w:instrText>
      </w:r>
      <w:r w:rsidRPr="0020371D">
        <w:rPr>
          <w:rFonts w:cs="Calibri"/>
          <w:b/>
          <w:bCs/>
        </w:rPr>
        <w:fldChar w:fldCharType="separate"/>
      </w:r>
      <w:r w:rsidR="0020371D">
        <w:rPr>
          <w:rFonts w:cs="Calibri"/>
          <w:b/>
          <w:bCs/>
          <w:noProof/>
        </w:rPr>
        <w:t>1</w:t>
      </w:r>
      <w:r w:rsidRPr="0020371D">
        <w:rPr>
          <w:rFonts w:cs="Calibri"/>
          <w:b/>
          <w:bCs/>
        </w:rPr>
        <w:fldChar w:fldCharType="end"/>
      </w:r>
      <w:r w:rsidRPr="0020371D">
        <w:rPr>
          <w:b/>
        </w:rPr>
        <w:t>: RAN2 assume that applicable functionality is equivalent to CSI-</w:t>
      </w:r>
      <w:proofErr w:type="spellStart"/>
      <w:r w:rsidRPr="0020371D">
        <w:rPr>
          <w:b/>
        </w:rPr>
        <w:t>ReportConfig</w:t>
      </w:r>
      <w:proofErr w:type="spellEnd"/>
      <w:r w:rsidRPr="0020371D">
        <w:rPr>
          <w:b/>
        </w:rPr>
        <w:t xml:space="preserve"> for applicable functionality for BM use case.</w:t>
      </w:r>
    </w:p>
    <w:bookmarkEnd w:id="1"/>
    <w:p w14:paraId="165D39B0" w14:textId="77777777" w:rsidR="00034ACE" w:rsidRPr="00034ACE" w:rsidRDefault="009B4502" w:rsidP="001669B4">
      <w:pPr>
        <w:spacing w:before="240" w:after="0"/>
        <w:jc w:val="both"/>
        <w:rPr>
          <w:b/>
          <w:u w:val="single"/>
        </w:rPr>
      </w:pPr>
      <w:r w:rsidRPr="00034ACE">
        <w:rPr>
          <w:b/>
          <w:u w:val="single"/>
        </w:rPr>
        <w:t>Step 1 &amp; 2</w:t>
      </w:r>
    </w:p>
    <w:p w14:paraId="117AC4BF" w14:textId="77777777" w:rsidR="009B4502" w:rsidRDefault="00034ACE" w:rsidP="001669B4">
      <w:pPr>
        <w:spacing w:before="240"/>
        <w:jc w:val="both"/>
      </w:pPr>
      <w:r>
        <w:t xml:space="preserve">The main question from RAN2 is what is the granularity of supported functionality in order to design capability signaling. However, RAN1 responded that it will be discussed later. Without RAN1 input, it would be hard to progress in RAN2. </w:t>
      </w:r>
    </w:p>
    <w:p w14:paraId="2DDA8285" w14:textId="0F0E5AEB" w:rsidR="00034ACE" w:rsidRPr="0020371D" w:rsidRDefault="00034ACE" w:rsidP="001669B4">
      <w:pPr>
        <w:jc w:val="both"/>
        <w:rPr>
          <w:b/>
        </w:rPr>
      </w:pPr>
      <w:bookmarkStart w:id="2" w:name="pro2"/>
      <w:r w:rsidRPr="0020371D">
        <w:rPr>
          <w:b/>
        </w:rPr>
        <w:t xml:space="preserve">Proposal </w:t>
      </w:r>
      <w:r w:rsidRPr="0020371D">
        <w:rPr>
          <w:rFonts w:cs="Calibri"/>
          <w:b/>
          <w:bCs/>
        </w:rPr>
        <w:fldChar w:fldCharType="begin"/>
      </w:r>
      <w:r w:rsidRPr="0020371D">
        <w:rPr>
          <w:rFonts w:cs="Calibri"/>
          <w:b/>
          <w:bCs/>
        </w:rPr>
        <w:instrText xml:space="preserve"> SEQ pro \* MERGEFORMAT </w:instrText>
      </w:r>
      <w:r w:rsidRPr="0020371D">
        <w:rPr>
          <w:rFonts w:cs="Calibri"/>
          <w:b/>
          <w:bCs/>
        </w:rPr>
        <w:fldChar w:fldCharType="separate"/>
      </w:r>
      <w:r w:rsidR="0020371D" w:rsidRPr="0020371D">
        <w:rPr>
          <w:rFonts w:cs="Calibri"/>
          <w:b/>
          <w:bCs/>
          <w:noProof/>
        </w:rPr>
        <w:t>2</w:t>
      </w:r>
      <w:r w:rsidRPr="0020371D">
        <w:rPr>
          <w:rFonts w:cs="Calibri"/>
          <w:b/>
          <w:bCs/>
        </w:rPr>
        <w:fldChar w:fldCharType="end"/>
      </w:r>
      <w:r w:rsidRPr="0020371D">
        <w:rPr>
          <w:b/>
        </w:rPr>
        <w:t xml:space="preserve">: RAN2 postpone further discussion on </w:t>
      </w:r>
      <w:r w:rsidR="00706833">
        <w:rPr>
          <w:b/>
        </w:rPr>
        <w:t xml:space="preserve">details on </w:t>
      </w:r>
      <w:r w:rsidRPr="0020371D">
        <w:rPr>
          <w:b/>
        </w:rPr>
        <w:t>supported functionalit</w:t>
      </w:r>
      <w:r w:rsidR="00706833">
        <w:rPr>
          <w:b/>
        </w:rPr>
        <w:t>ies</w:t>
      </w:r>
      <w:r w:rsidRPr="0020371D">
        <w:rPr>
          <w:b/>
        </w:rPr>
        <w:t xml:space="preserve">.   </w:t>
      </w:r>
    </w:p>
    <w:bookmarkEnd w:id="2"/>
    <w:p w14:paraId="32CDE576" w14:textId="77777777" w:rsidR="00F35BDD" w:rsidRPr="00034ACE" w:rsidRDefault="00F35BDD" w:rsidP="001669B4">
      <w:pPr>
        <w:spacing w:before="240"/>
        <w:jc w:val="both"/>
        <w:rPr>
          <w:b/>
          <w:u w:val="single"/>
        </w:rPr>
      </w:pPr>
      <w:r w:rsidRPr="00034ACE">
        <w:rPr>
          <w:b/>
          <w:u w:val="single"/>
        </w:rPr>
        <w:t>Step 3</w:t>
      </w:r>
    </w:p>
    <w:p w14:paraId="1FE89BBD" w14:textId="3610C23A" w:rsidR="00F35BDD" w:rsidRDefault="00F35BDD" w:rsidP="001669B4">
      <w:pPr>
        <w:jc w:val="both"/>
      </w:pPr>
      <w:r>
        <w:t xml:space="preserve">In Step 3, the following </w:t>
      </w:r>
      <w:r w:rsidR="004522EC">
        <w:t>is</w:t>
      </w:r>
      <w:r>
        <w:t xml:space="preserve"> open issue. </w:t>
      </w:r>
    </w:p>
    <w:p w14:paraId="39AB5A28" w14:textId="77777777" w:rsidR="00F35BDD" w:rsidRDefault="00F35BDD" w:rsidP="001669B4">
      <w:pPr>
        <w:jc w:val="both"/>
      </w:pPr>
      <w:r>
        <w:t>“</w:t>
      </w:r>
      <w:r w:rsidRPr="00F35BDD">
        <w:t>3) FFS on configuration (e.g. inference configuration) of supported functionalities. FFS on the content of configuration.</w:t>
      </w:r>
      <w:r>
        <w:t>”</w:t>
      </w:r>
    </w:p>
    <w:p w14:paraId="7DAE88B8" w14:textId="77777777" w:rsidR="00F35BDD" w:rsidRDefault="00F35BDD" w:rsidP="001669B4">
      <w:pPr>
        <w:jc w:val="both"/>
      </w:pPr>
      <w:r>
        <w:t>Based on Section 2, it is reasonable assumption that either CSI-</w:t>
      </w:r>
      <w:proofErr w:type="spellStart"/>
      <w:r>
        <w:t>ReportConfig</w:t>
      </w:r>
      <w:proofErr w:type="spellEnd"/>
      <w:r>
        <w:t xml:space="preserve"> (full inference configuration) or set(s) of inference related parameter can be provided in Step 3. </w:t>
      </w:r>
    </w:p>
    <w:p w14:paraId="2BBFF308" w14:textId="142C5069" w:rsidR="00F35BDD" w:rsidRPr="0020371D" w:rsidRDefault="00F35BDD" w:rsidP="001669B4">
      <w:pPr>
        <w:jc w:val="both"/>
        <w:rPr>
          <w:b/>
        </w:rPr>
      </w:pPr>
      <w:bookmarkStart w:id="3" w:name="pro3"/>
      <w:r w:rsidRPr="0020371D">
        <w:rPr>
          <w:b/>
        </w:rPr>
        <w:t xml:space="preserve">Proposal </w:t>
      </w:r>
      <w:r w:rsidRPr="0020371D">
        <w:rPr>
          <w:rFonts w:cs="Calibri"/>
          <w:b/>
          <w:bCs/>
        </w:rPr>
        <w:fldChar w:fldCharType="begin"/>
      </w:r>
      <w:r w:rsidRPr="0020371D">
        <w:rPr>
          <w:rFonts w:cs="Calibri"/>
          <w:b/>
          <w:bCs/>
        </w:rPr>
        <w:instrText xml:space="preserve"> SEQ pro \* MERGEFORMAT </w:instrText>
      </w:r>
      <w:r w:rsidRPr="0020371D">
        <w:rPr>
          <w:rFonts w:cs="Calibri"/>
          <w:b/>
          <w:bCs/>
        </w:rPr>
        <w:fldChar w:fldCharType="separate"/>
      </w:r>
      <w:r w:rsidR="0020371D" w:rsidRPr="0020371D">
        <w:rPr>
          <w:rFonts w:cs="Calibri"/>
          <w:b/>
          <w:bCs/>
          <w:noProof/>
        </w:rPr>
        <w:t>3</w:t>
      </w:r>
      <w:r w:rsidRPr="0020371D">
        <w:rPr>
          <w:rFonts w:cs="Calibri"/>
          <w:b/>
          <w:bCs/>
        </w:rPr>
        <w:fldChar w:fldCharType="end"/>
      </w:r>
      <w:r w:rsidRPr="0020371D">
        <w:rPr>
          <w:b/>
        </w:rPr>
        <w:t xml:space="preserve">: RAN2 agree that </w:t>
      </w:r>
      <w:r w:rsidR="00B968A2">
        <w:rPr>
          <w:b/>
        </w:rPr>
        <w:t>either</w:t>
      </w:r>
      <w:r w:rsidR="00B968A2" w:rsidRPr="0020371D">
        <w:rPr>
          <w:b/>
        </w:rPr>
        <w:t xml:space="preserve"> </w:t>
      </w:r>
      <w:r w:rsidR="004522EC">
        <w:rPr>
          <w:b/>
        </w:rPr>
        <w:t>“</w:t>
      </w:r>
      <w:r w:rsidRPr="0020371D">
        <w:rPr>
          <w:b/>
        </w:rPr>
        <w:t>CSI-</w:t>
      </w:r>
      <w:proofErr w:type="spellStart"/>
      <w:r w:rsidRPr="0020371D">
        <w:rPr>
          <w:b/>
        </w:rPr>
        <w:t>ReportConfig</w:t>
      </w:r>
      <w:proofErr w:type="spellEnd"/>
      <w:r w:rsidRPr="0020371D">
        <w:rPr>
          <w:b/>
        </w:rPr>
        <w:t xml:space="preserve"> for inference</w:t>
      </w:r>
      <w:r w:rsidR="004522EC">
        <w:rPr>
          <w:b/>
        </w:rPr>
        <w:t>”</w:t>
      </w:r>
      <w:r w:rsidRPr="0020371D">
        <w:rPr>
          <w:b/>
        </w:rPr>
        <w:t xml:space="preserve"> or </w:t>
      </w:r>
      <w:r w:rsidR="004522EC">
        <w:rPr>
          <w:b/>
        </w:rPr>
        <w:t>“</w:t>
      </w:r>
      <w:r w:rsidRPr="0020371D">
        <w:rPr>
          <w:b/>
        </w:rPr>
        <w:t>set(s) of inference related parameter</w:t>
      </w:r>
      <w:r w:rsidR="004522EC">
        <w:rPr>
          <w:b/>
        </w:rPr>
        <w:t>s”</w:t>
      </w:r>
      <w:r w:rsidRPr="0020371D">
        <w:rPr>
          <w:b/>
        </w:rPr>
        <w:t xml:space="preserve"> can be provided in Step 3. </w:t>
      </w:r>
    </w:p>
    <w:bookmarkEnd w:id="3"/>
    <w:p w14:paraId="7DDB3ADE" w14:textId="77777777" w:rsidR="00F35BDD" w:rsidRPr="00F35BDD" w:rsidRDefault="00F35BDD" w:rsidP="001669B4">
      <w:pPr>
        <w:jc w:val="both"/>
        <w:rPr>
          <w:b/>
          <w:u w:val="single"/>
        </w:rPr>
      </w:pPr>
      <w:r w:rsidRPr="00F35BDD">
        <w:rPr>
          <w:b/>
          <w:u w:val="single"/>
        </w:rPr>
        <w:t>Between “Step 3” and “Step 4”</w:t>
      </w:r>
    </w:p>
    <w:p w14:paraId="5E6E42FE" w14:textId="77777777" w:rsidR="00034ACE" w:rsidRDefault="00034ACE" w:rsidP="001669B4">
      <w:pPr>
        <w:jc w:val="both"/>
      </w:pPr>
      <w:r>
        <w:t>The open issue in this step is:</w:t>
      </w:r>
    </w:p>
    <w:p w14:paraId="470CFD4A" w14:textId="15BD90A1" w:rsidR="00F35BDD" w:rsidRPr="004522EC" w:rsidRDefault="00F35BDD" w:rsidP="001669B4">
      <w:pPr>
        <w:jc w:val="both"/>
        <w:rPr>
          <w:rFonts w:ascii="Times New Roman" w:hAnsi="Times New Roman" w:cs="Times New Roman"/>
          <w:i/>
          <w:iCs/>
          <w:sz w:val="20"/>
        </w:rPr>
      </w:pPr>
      <w:r w:rsidRPr="004522EC">
        <w:rPr>
          <w:rFonts w:ascii="Times New Roman" w:hAnsi="Times New Roman" w:cs="Times New Roman"/>
          <w:sz w:val="20"/>
        </w:rPr>
        <w:t xml:space="preserve">“FFS how the applicable functionality is decided if NW-side additional condition is not provided in step </w:t>
      </w:r>
      <w:proofErr w:type="gramStart"/>
      <w:r w:rsidRPr="004522EC">
        <w:rPr>
          <w:rFonts w:ascii="Times New Roman" w:hAnsi="Times New Roman" w:cs="Times New Roman"/>
          <w:sz w:val="20"/>
        </w:rPr>
        <w:t>3.</w:t>
      </w:r>
      <w:r w:rsidRPr="004522EC">
        <w:rPr>
          <w:rFonts w:ascii="Times New Roman" w:hAnsi="Times New Roman" w:cs="Times New Roman"/>
          <w:i/>
          <w:iCs/>
          <w:sz w:val="20"/>
        </w:rPr>
        <w:t>“</w:t>
      </w:r>
      <w:proofErr w:type="gramEnd"/>
    </w:p>
    <w:p w14:paraId="585DD2C1" w14:textId="475672D2" w:rsidR="00F35BDD" w:rsidRDefault="00F35BDD" w:rsidP="001669B4">
      <w:pPr>
        <w:jc w:val="both"/>
      </w:pPr>
      <w:r>
        <w:t xml:space="preserve">Based on RAN1 agreement, both Option A and Option B may include associated ID and it appears that it is hard to mandate to include adding associated ID although it is </w:t>
      </w:r>
      <w:r w:rsidR="004522EC">
        <w:t xml:space="preserve">an </w:t>
      </w:r>
      <w:r>
        <w:t xml:space="preserve">important parameter to identify applicable functionality. In addition, it is our understanding that exact content of NW-side additional condition associated to associated ID will not be likely concluded or defined. </w:t>
      </w:r>
      <w:r w:rsidR="004522EC">
        <w:t xml:space="preserve">In that sense, it would be reasonable to leave it to implementation than specifying the case where NW-side additional condition is not provided. </w:t>
      </w:r>
    </w:p>
    <w:p w14:paraId="226B0BE9" w14:textId="77777777" w:rsidR="00F35BDD" w:rsidRPr="0020371D" w:rsidRDefault="00F35BDD" w:rsidP="001669B4">
      <w:pPr>
        <w:jc w:val="both"/>
        <w:rPr>
          <w:b/>
        </w:rPr>
      </w:pPr>
      <w:bookmarkStart w:id="4" w:name="pro4"/>
      <w:r w:rsidRPr="0020371D">
        <w:rPr>
          <w:b/>
        </w:rPr>
        <w:t xml:space="preserve">Proposal </w:t>
      </w:r>
      <w:r w:rsidRPr="0020371D">
        <w:rPr>
          <w:rFonts w:cs="Calibri"/>
          <w:b/>
          <w:bCs/>
        </w:rPr>
        <w:fldChar w:fldCharType="begin"/>
      </w:r>
      <w:r w:rsidRPr="0020371D">
        <w:rPr>
          <w:rFonts w:cs="Calibri"/>
          <w:b/>
          <w:bCs/>
        </w:rPr>
        <w:instrText xml:space="preserve"> SEQ pro \* MERGEFORMAT </w:instrText>
      </w:r>
      <w:r w:rsidRPr="0020371D">
        <w:rPr>
          <w:rFonts w:cs="Calibri"/>
          <w:b/>
          <w:bCs/>
        </w:rPr>
        <w:fldChar w:fldCharType="separate"/>
      </w:r>
      <w:r w:rsidR="0020371D" w:rsidRPr="0020371D">
        <w:rPr>
          <w:rFonts w:cs="Calibri"/>
          <w:b/>
          <w:bCs/>
          <w:noProof/>
        </w:rPr>
        <w:t>4</w:t>
      </w:r>
      <w:r w:rsidRPr="0020371D">
        <w:rPr>
          <w:rFonts w:cs="Calibri"/>
          <w:b/>
          <w:bCs/>
        </w:rPr>
        <w:fldChar w:fldCharType="end"/>
      </w:r>
      <w:r w:rsidRPr="0020371D">
        <w:rPr>
          <w:b/>
        </w:rPr>
        <w:t xml:space="preserve">: RAN2 agree </w:t>
      </w:r>
      <w:r w:rsidR="005F5E85" w:rsidRPr="0020371D">
        <w:rPr>
          <w:b/>
        </w:rPr>
        <w:t xml:space="preserve">that it is left to UE implementation the applicable functionality is decided if NW-side additional condition is not provided in step 3 unless RAN1 provides any other input. </w:t>
      </w:r>
    </w:p>
    <w:bookmarkEnd w:id="4"/>
    <w:p w14:paraId="7FB49C4B" w14:textId="77777777" w:rsidR="005F5E85" w:rsidRPr="00F35BDD" w:rsidRDefault="005F5E85" w:rsidP="001669B4">
      <w:pPr>
        <w:jc w:val="both"/>
        <w:rPr>
          <w:b/>
          <w:u w:val="single"/>
        </w:rPr>
      </w:pPr>
      <w:r w:rsidRPr="00F35BDD">
        <w:rPr>
          <w:b/>
          <w:u w:val="single"/>
        </w:rPr>
        <w:lastRenderedPageBreak/>
        <w:t>Step 4</w:t>
      </w:r>
    </w:p>
    <w:p w14:paraId="4EDCE15B" w14:textId="77777777" w:rsidR="00034ACE" w:rsidRDefault="00034ACE" w:rsidP="001669B4">
      <w:pPr>
        <w:jc w:val="both"/>
      </w:pPr>
      <w:r>
        <w:t>The open issue in this step is:</w:t>
      </w:r>
    </w:p>
    <w:p w14:paraId="0ABE407F" w14:textId="77777777" w:rsidR="005F5E85" w:rsidRDefault="00034ACE" w:rsidP="001669B4">
      <w:pPr>
        <w:pStyle w:val="Doc-text2"/>
        <w:ind w:left="0" w:hanging="3"/>
        <w:jc w:val="both"/>
        <w:rPr>
          <w:rFonts w:ascii="Times New Roman" w:hAnsi="Times New Roman"/>
        </w:rPr>
      </w:pPr>
      <w:r w:rsidRPr="00034ACE">
        <w:rPr>
          <w:rFonts w:ascii="Times New Roman" w:hAnsi="Times New Roman"/>
        </w:rPr>
        <w:t xml:space="preserve"> </w:t>
      </w:r>
      <w:r w:rsidR="005F5E85" w:rsidRPr="00034ACE">
        <w:rPr>
          <w:rFonts w:ascii="Times New Roman" w:hAnsi="Times New Roman"/>
        </w:rPr>
        <w:t>“As response to NW-side additional condition requesting applicable functionality reporting in step 3, FFS other network configuration (e.g. inference configuration). “</w:t>
      </w:r>
    </w:p>
    <w:p w14:paraId="3FBCF2D9" w14:textId="77777777" w:rsidR="00034ACE" w:rsidRPr="00034ACE" w:rsidRDefault="00034ACE" w:rsidP="001669B4">
      <w:pPr>
        <w:pStyle w:val="Doc-text2"/>
        <w:ind w:left="0" w:hanging="3"/>
        <w:jc w:val="both"/>
        <w:rPr>
          <w:rFonts w:ascii="Times New Roman" w:hAnsi="Times New Roman"/>
        </w:rPr>
      </w:pPr>
    </w:p>
    <w:p w14:paraId="4EBD36D6" w14:textId="77777777" w:rsidR="00F35BDD" w:rsidRDefault="005F5E85" w:rsidP="001669B4">
      <w:pPr>
        <w:jc w:val="both"/>
      </w:pPr>
      <w:r>
        <w:t>Based on RAN1 agreement, UE can provide applicable functionality reporting on either CSI-</w:t>
      </w:r>
      <w:proofErr w:type="spellStart"/>
      <w:r>
        <w:t>ReprtConfig</w:t>
      </w:r>
      <w:proofErr w:type="spellEnd"/>
      <w:r>
        <w:t xml:space="preserve"> or set(s) of inference related parameters. </w:t>
      </w:r>
    </w:p>
    <w:p w14:paraId="4BED9EEF" w14:textId="69E92F07" w:rsidR="005F5E85" w:rsidRPr="0020371D" w:rsidRDefault="005F5E85" w:rsidP="001669B4">
      <w:pPr>
        <w:jc w:val="both"/>
        <w:rPr>
          <w:b/>
        </w:rPr>
      </w:pPr>
      <w:bookmarkStart w:id="5" w:name="pro5"/>
      <w:r w:rsidRPr="0020371D">
        <w:rPr>
          <w:b/>
        </w:rPr>
        <w:t xml:space="preserve">Proposal </w:t>
      </w:r>
      <w:r w:rsidRPr="0020371D">
        <w:rPr>
          <w:rFonts w:cs="Calibri"/>
          <w:b/>
          <w:bCs/>
        </w:rPr>
        <w:fldChar w:fldCharType="begin"/>
      </w:r>
      <w:r w:rsidRPr="0020371D">
        <w:rPr>
          <w:rFonts w:cs="Calibri"/>
          <w:b/>
          <w:bCs/>
        </w:rPr>
        <w:instrText xml:space="preserve"> SEQ pro \* MERGEFORMAT </w:instrText>
      </w:r>
      <w:r w:rsidRPr="0020371D">
        <w:rPr>
          <w:rFonts w:cs="Calibri"/>
          <w:b/>
          <w:bCs/>
        </w:rPr>
        <w:fldChar w:fldCharType="separate"/>
      </w:r>
      <w:r w:rsidR="0020371D" w:rsidRPr="0020371D">
        <w:rPr>
          <w:rFonts w:cs="Calibri"/>
          <w:b/>
          <w:bCs/>
          <w:noProof/>
        </w:rPr>
        <w:t>5</w:t>
      </w:r>
      <w:r w:rsidRPr="0020371D">
        <w:rPr>
          <w:rFonts w:cs="Calibri"/>
          <w:b/>
          <w:bCs/>
        </w:rPr>
        <w:fldChar w:fldCharType="end"/>
      </w:r>
      <w:r w:rsidRPr="0020371D">
        <w:rPr>
          <w:b/>
        </w:rPr>
        <w:t xml:space="preserve">: RAN2 agree that UE can provide applicable functionality reporting </w:t>
      </w:r>
      <w:r w:rsidR="00AA0FC4">
        <w:rPr>
          <w:b/>
        </w:rPr>
        <w:t>corresponding to configured</w:t>
      </w:r>
      <w:r w:rsidRPr="0020371D">
        <w:rPr>
          <w:b/>
        </w:rPr>
        <w:t xml:space="preserve"> CSI-</w:t>
      </w:r>
      <w:proofErr w:type="spellStart"/>
      <w:r w:rsidRPr="0020371D">
        <w:rPr>
          <w:b/>
        </w:rPr>
        <w:t>Rep</w:t>
      </w:r>
      <w:r w:rsidR="008E3952">
        <w:rPr>
          <w:b/>
        </w:rPr>
        <w:t>o</w:t>
      </w:r>
      <w:r w:rsidRPr="0020371D">
        <w:rPr>
          <w:b/>
        </w:rPr>
        <w:t>rtConfig</w:t>
      </w:r>
      <w:proofErr w:type="spellEnd"/>
      <w:r w:rsidRPr="0020371D">
        <w:rPr>
          <w:b/>
        </w:rPr>
        <w:t xml:space="preserve"> or set(s) of inference related parameters. </w:t>
      </w:r>
    </w:p>
    <w:bookmarkEnd w:id="5"/>
    <w:p w14:paraId="75F725F1" w14:textId="77777777" w:rsidR="005F5E85" w:rsidRPr="00034ACE" w:rsidRDefault="00034ACE" w:rsidP="001669B4">
      <w:pPr>
        <w:jc w:val="both"/>
      </w:pPr>
      <w:r w:rsidRPr="00034ACE">
        <w:t>Another open issue is about activate status of functionality when it includes inference configuration.</w:t>
      </w:r>
      <w:r>
        <w:t xml:space="preserve"> This is still valid question for option A. </w:t>
      </w:r>
      <w:r w:rsidRPr="00034ACE">
        <w:t xml:space="preserve"> </w:t>
      </w:r>
    </w:p>
    <w:p w14:paraId="257776B4" w14:textId="77777777" w:rsidR="005F5E85" w:rsidRDefault="00034ACE" w:rsidP="001669B4">
      <w:pPr>
        <w:pStyle w:val="Doc-text2"/>
        <w:ind w:left="0" w:hanging="3"/>
        <w:jc w:val="both"/>
        <w:rPr>
          <w:rFonts w:ascii="Times New Roman" w:hAnsi="Times New Roman"/>
        </w:rPr>
      </w:pPr>
      <w:r>
        <w:rPr>
          <w:rFonts w:ascii="Times New Roman" w:hAnsi="Times New Roman"/>
        </w:rPr>
        <w:t>“</w:t>
      </w:r>
      <w:r w:rsidR="005F5E85" w:rsidRPr="00413179">
        <w:rPr>
          <w:rFonts w:ascii="Times New Roman" w:hAnsi="Times New Roman"/>
        </w:rPr>
        <w:t xml:space="preserve">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w:t>
      </w:r>
      <w:proofErr w:type="spellStart"/>
      <w:r w:rsidR="005F5E85" w:rsidRPr="00413179">
        <w:rPr>
          <w:rFonts w:ascii="Times New Roman" w:hAnsi="Times New Roman"/>
        </w:rPr>
        <w:t>signaling</w:t>
      </w:r>
      <w:proofErr w:type="spellEnd"/>
      <w:r w:rsidR="005F5E85" w:rsidRPr="00413179">
        <w:rPr>
          <w:rFonts w:ascii="Times New Roman" w:hAnsi="Times New Roman"/>
        </w:rPr>
        <w:t xml:space="preserve"> for activation/deactivation.  FFS if multiple applicable functionalities can be activated at the same time.   FFS what is the granularity of functionality.</w:t>
      </w:r>
      <w:r>
        <w:rPr>
          <w:rFonts w:ascii="Times New Roman" w:hAnsi="Times New Roman"/>
        </w:rPr>
        <w:t>”</w:t>
      </w:r>
    </w:p>
    <w:p w14:paraId="73119D72" w14:textId="77777777" w:rsidR="005F5E85" w:rsidRDefault="005F5E85" w:rsidP="001669B4">
      <w:pPr>
        <w:jc w:val="both"/>
      </w:pPr>
    </w:p>
    <w:p w14:paraId="05D21840" w14:textId="77777777" w:rsidR="00512829" w:rsidRDefault="00512829" w:rsidP="001669B4">
      <w:pPr>
        <w:jc w:val="both"/>
      </w:pPr>
      <w:r>
        <w:t xml:space="preserve">Regarding activation state, RAN1 informed following agreements. </w:t>
      </w:r>
    </w:p>
    <w:tbl>
      <w:tblPr>
        <w:tblStyle w:val="TableGrid"/>
        <w:tblW w:w="0" w:type="auto"/>
        <w:tblLook w:val="04A0" w:firstRow="1" w:lastRow="0" w:firstColumn="1" w:lastColumn="0" w:noHBand="0" w:noVBand="1"/>
      </w:tblPr>
      <w:tblGrid>
        <w:gridCol w:w="9350"/>
      </w:tblGrid>
      <w:tr w:rsidR="00512829" w14:paraId="03A3773C" w14:textId="77777777" w:rsidTr="00512829">
        <w:tc>
          <w:tcPr>
            <w:tcW w:w="9350" w:type="dxa"/>
          </w:tcPr>
          <w:p w14:paraId="67F91036" w14:textId="77777777" w:rsidR="00512829" w:rsidRDefault="00512829" w:rsidP="001669B4">
            <w:pPr>
              <w:numPr>
                <w:ilvl w:val="0"/>
                <w:numId w:val="7"/>
              </w:numPr>
              <w:adjustRightInd w:val="0"/>
              <w:snapToGrid w:val="0"/>
              <w:jc w:val="both"/>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58EFD3F6" w14:textId="77777777" w:rsidR="00512829" w:rsidRPr="00512829" w:rsidRDefault="00512829" w:rsidP="001669B4">
            <w:pPr>
              <w:numPr>
                <w:ilvl w:val="0"/>
                <w:numId w:val="7"/>
              </w:numPr>
              <w:adjustRightInd w:val="0"/>
              <w:snapToGrid w:val="0"/>
              <w:jc w:val="both"/>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r>
              <w:rPr>
                <w:rFonts w:eastAsia="Times New Roman" w:cs="Times"/>
                <w:i/>
                <w:iCs/>
                <w:lang w:eastAsia="zh-CN"/>
              </w:rPr>
              <w:tab/>
            </w:r>
          </w:p>
        </w:tc>
      </w:tr>
    </w:tbl>
    <w:p w14:paraId="3121FDBB" w14:textId="77777777" w:rsidR="0096005A" w:rsidRDefault="0096005A" w:rsidP="001669B4">
      <w:pPr>
        <w:jc w:val="both"/>
      </w:pPr>
    </w:p>
    <w:p w14:paraId="23A376A6" w14:textId="77777777" w:rsidR="00B968A2" w:rsidRDefault="00512829" w:rsidP="001669B4">
      <w:pPr>
        <w:jc w:val="both"/>
      </w:pPr>
      <w:r>
        <w:t>UE can assume that periodic CSI report is activated if the corresponding CSI-</w:t>
      </w:r>
      <w:proofErr w:type="spellStart"/>
      <w:r>
        <w:t>ReportConfig</w:t>
      </w:r>
      <w:proofErr w:type="spellEnd"/>
      <w:r>
        <w:t xml:space="preserve"> (which includes all parameters for inference) is applicable. RAN1 indicates that periodic CSI Report is activated only if applicability of the corresponding CSI-</w:t>
      </w:r>
      <w:proofErr w:type="spellStart"/>
      <w:r>
        <w:t>ReportConfig</w:t>
      </w:r>
      <w:proofErr w:type="spellEnd"/>
      <w:r>
        <w:t xml:space="preserve"> is reported in </w:t>
      </w:r>
      <w:proofErr w:type="spellStart"/>
      <w:r>
        <w:t>RRCReconfigurationComplete</w:t>
      </w:r>
      <w:proofErr w:type="spellEnd"/>
      <w:r>
        <w:t xml:space="preserve">. </w:t>
      </w:r>
      <w:r w:rsidR="00B968A2">
        <w:t xml:space="preserve">It can be questioned when exactly UE activate periodic CSI report. </w:t>
      </w:r>
    </w:p>
    <w:p w14:paraId="44042503" w14:textId="14519D30" w:rsidR="00B968A2" w:rsidRDefault="00B968A2" w:rsidP="001669B4">
      <w:pPr>
        <w:pStyle w:val="ListParagraph"/>
        <w:numPr>
          <w:ilvl w:val="0"/>
          <w:numId w:val="5"/>
        </w:numPr>
        <w:jc w:val="both"/>
      </w:pPr>
      <w:r>
        <w:t xml:space="preserve">Approach 1: </w:t>
      </w:r>
      <w:r w:rsidR="00512829">
        <w:t xml:space="preserve">UE activates periodic CSI upon transmission of </w:t>
      </w:r>
      <w:proofErr w:type="spellStart"/>
      <w:r w:rsidR="00512829">
        <w:t>RRCReconfigurationComplete</w:t>
      </w:r>
      <w:proofErr w:type="spellEnd"/>
      <w:r w:rsidR="00512829">
        <w:t xml:space="preserve">. </w:t>
      </w:r>
    </w:p>
    <w:p w14:paraId="000FCCF9" w14:textId="31BE1CD3" w:rsidR="0096005A" w:rsidRDefault="00B968A2" w:rsidP="001669B4">
      <w:pPr>
        <w:pStyle w:val="ListParagraph"/>
        <w:numPr>
          <w:ilvl w:val="0"/>
          <w:numId w:val="5"/>
        </w:numPr>
        <w:jc w:val="both"/>
      </w:pPr>
      <w:r>
        <w:t>Approach 2:</w:t>
      </w:r>
      <w:r w:rsidR="00512829">
        <w:t xml:space="preserve"> UE activate periodic CSI-</w:t>
      </w:r>
      <w:proofErr w:type="spellStart"/>
      <w:r w:rsidR="00512829">
        <w:t>ReportConfig</w:t>
      </w:r>
      <w:proofErr w:type="spellEnd"/>
      <w:r w:rsidR="00512829">
        <w:t xml:space="preserve"> upon reception of RRC Reconfiguration message which is same as legacy operation. </w:t>
      </w:r>
    </w:p>
    <w:p w14:paraId="6564991A" w14:textId="77777777" w:rsidR="00AA0FC4" w:rsidRDefault="00AA0FC4" w:rsidP="00AA0FC4">
      <w:pPr>
        <w:pStyle w:val="ListParagraph"/>
        <w:ind w:left="360"/>
        <w:jc w:val="both"/>
      </w:pPr>
    </w:p>
    <w:p w14:paraId="0B6E1714" w14:textId="73410BF2" w:rsidR="003D7871" w:rsidRDefault="00B968A2" w:rsidP="001669B4">
      <w:pPr>
        <w:jc w:val="both"/>
      </w:pPr>
      <w:r>
        <w:t xml:space="preserve">Either approach </w:t>
      </w:r>
      <w:r w:rsidR="0026526B">
        <w:t xml:space="preserve">seems feasible. The benefit of approach 1 is that </w:t>
      </w:r>
      <w:proofErr w:type="spellStart"/>
      <w:r w:rsidR="0026526B">
        <w:t>gNB</w:t>
      </w:r>
      <w:proofErr w:type="spellEnd"/>
      <w:r w:rsidR="0026526B">
        <w:t xml:space="preserve"> can </w:t>
      </w:r>
      <w:r w:rsidR="00AA0FC4">
        <w:t xml:space="preserve">also </w:t>
      </w:r>
      <w:r w:rsidR="0026526B">
        <w:t xml:space="preserve">activate CSI-RS resource set upon </w:t>
      </w:r>
      <w:proofErr w:type="spellStart"/>
      <w:r w:rsidR="0026526B">
        <w:t>RRCReconfiguraionComplete</w:t>
      </w:r>
      <w:proofErr w:type="spellEnd"/>
      <w:r w:rsidR="0026526B">
        <w:t xml:space="preserve"> message. However, considering time delay between RRC reconfiguration and RRC reconfiguration complete (a few tens of msec), it is not likely that gNB performs very dynamic configuration changes for CSI-RS resource set. In that sense, it is simpler to keep the legacy operation with condition of applicability of the corresponding of CSI-</w:t>
      </w:r>
      <w:proofErr w:type="spellStart"/>
      <w:r w:rsidR="0026526B">
        <w:t>ReportConfig</w:t>
      </w:r>
      <w:proofErr w:type="spellEnd"/>
      <w:r w:rsidR="0026526B">
        <w:t xml:space="preserve">. </w:t>
      </w:r>
    </w:p>
    <w:p w14:paraId="79371E5B" w14:textId="70230B1C" w:rsidR="0096005A" w:rsidRPr="0020371D" w:rsidRDefault="00512829" w:rsidP="001669B4">
      <w:pPr>
        <w:jc w:val="both"/>
        <w:rPr>
          <w:b/>
        </w:rPr>
      </w:pPr>
      <w:bookmarkStart w:id="6" w:name="pro6"/>
      <w:r w:rsidRPr="0020371D">
        <w:rPr>
          <w:b/>
        </w:rPr>
        <w:t xml:space="preserve">Proposal </w:t>
      </w:r>
      <w:r w:rsidRPr="0020371D">
        <w:rPr>
          <w:rFonts w:cs="Calibri"/>
          <w:b/>
          <w:bCs/>
        </w:rPr>
        <w:fldChar w:fldCharType="begin"/>
      </w:r>
      <w:r w:rsidRPr="0020371D">
        <w:rPr>
          <w:rFonts w:cs="Calibri"/>
          <w:b/>
          <w:bCs/>
        </w:rPr>
        <w:instrText xml:space="preserve"> SEQ pro \* MERGEFORMAT </w:instrText>
      </w:r>
      <w:r w:rsidRPr="0020371D">
        <w:rPr>
          <w:rFonts w:cs="Calibri"/>
          <w:b/>
          <w:bCs/>
        </w:rPr>
        <w:fldChar w:fldCharType="separate"/>
      </w:r>
      <w:r w:rsidR="0020371D" w:rsidRPr="0020371D">
        <w:rPr>
          <w:rFonts w:cs="Calibri"/>
          <w:b/>
          <w:bCs/>
          <w:noProof/>
        </w:rPr>
        <w:t>6</w:t>
      </w:r>
      <w:r w:rsidRPr="0020371D">
        <w:rPr>
          <w:rFonts w:cs="Calibri"/>
          <w:b/>
          <w:bCs/>
        </w:rPr>
        <w:fldChar w:fldCharType="end"/>
      </w:r>
      <w:r w:rsidRPr="0020371D">
        <w:rPr>
          <w:b/>
        </w:rPr>
        <w:t>: RAN2 agree that initial status of periodic CSI report is determined with the applicability of the corresponding of CSI-</w:t>
      </w:r>
      <w:proofErr w:type="spellStart"/>
      <w:r w:rsidRPr="0020371D">
        <w:rPr>
          <w:b/>
        </w:rPr>
        <w:t>ReportConfig</w:t>
      </w:r>
      <w:proofErr w:type="spellEnd"/>
      <w:r w:rsidRPr="0020371D">
        <w:rPr>
          <w:b/>
        </w:rPr>
        <w:t xml:space="preserve">. </w:t>
      </w:r>
    </w:p>
    <w:bookmarkEnd w:id="6"/>
    <w:p w14:paraId="52948836" w14:textId="77777777" w:rsidR="004523F3" w:rsidRDefault="004523F3" w:rsidP="001669B4">
      <w:pPr>
        <w:jc w:val="both"/>
      </w:pPr>
      <w:r>
        <w:lastRenderedPageBreak/>
        <w:t xml:space="preserve">As RAN1 agreed, in case of </w:t>
      </w:r>
      <w:r w:rsidR="009B4502">
        <w:t xml:space="preserve">aperiodic CSI Report and semi-persistent CSI report, it can be still activated/triggered by NW via MAC/L1 signaling. Therefore, activation upon RRC reconfiguration doesn’t need to be considered. </w:t>
      </w:r>
    </w:p>
    <w:p w14:paraId="273A7089" w14:textId="77777777" w:rsidR="00512829" w:rsidRPr="0020371D" w:rsidRDefault="00512829" w:rsidP="001669B4">
      <w:pPr>
        <w:jc w:val="both"/>
        <w:rPr>
          <w:b/>
        </w:rPr>
      </w:pPr>
      <w:bookmarkStart w:id="7" w:name="pro7"/>
      <w:r w:rsidRPr="0020371D">
        <w:rPr>
          <w:b/>
        </w:rPr>
        <w:t xml:space="preserve">Proposal </w:t>
      </w:r>
      <w:r w:rsidRPr="0020371D">
        <w:rPr>
          <w:rFonts w:cs="Calibri"/>
          <w:b/>
          <w:bCs/>
        </w:rPr>
        <w:fldChar w:fldCharType="begin"/>
      </w:r>
      <w:r w:rsidRPr="0020371D">
        <w:rPr>
          <w:rFonts w:cs="Calibri"/>
          <w:b/>
          <w:bCs/>
        </w:rPr>
        <w:instrText xml:space="preserve"> SEQ pro \* MERGEFORMAT </w:instrText>
      </w:r>
      <w:r w:rsidRPr="0020371D">
        <w:rPr>
          <w:rFonts w:cs="Calibri"/>
          <w:b/>
          <w:bCs/>
        </w:rPr>
        <w:fldChar w:fldCharType="separate"/>
      </w:r>
      <w:r w:rsidR="0020371D" w:rsidRPr="0020371D">
        <w:rPr>
          <w:rFonts w:cs="Calibri"/>
          <w:b/>
          <w:bCs/>
          <w:noProof/>
        </w:rPr>
        <w:t>7</w:t>
      </w:r>
      <w:r w:rsidRPr="0020371D">
        <w:rPr>
          <w:rFonts w:cs="Calibri"/>
          <w:b/>
          <w:bCs/>
        </w:rPr>
        <w:fldChar w:fldCharType="end"/>
      </w:r>
      <w:r w:rsidRPr="0020371D">
        <w:rPr>
          <w:b/>
        </w:rPr>
        <w:t>: RAN2 agree that it is not necessary to define initial status for semi-</w:t>
      </w:r>
      <w:r w:rsidR="009B4502" w:rsidRPr="0020371D">
        <w:rPr>
          <w:b/>
        </w:rPr>
        <w:t xml:space="preserve"> persistent </w:t>
      </w:r>
      <w:r w:rsidRPr="0020371D">
        <w:rPr>
          <w:b/>
        </w:rPr>
        <w:t>/aperiodic CSI report is determined with the applicability of the corresponding of CSI-</w:t>
      </w:r>
      <w:proofErr w:type="spellStart"/>
      <w:r w:rsidRPr="0020371D">
        <w:rPr>
          <w:b/>
        </w:rPr>
        <w:t>ReportConfig</w:t>
      </w:r>
      <w:proofErr w:type="spellEnd"/>
      <w:r w:rsidRPr="0020371D">
        <w:rPr>
          <w:b/>
        </w:rPr>
        <w:t xml:space="preserve">. </w:t>
      </w:r>
    </w:p>
    <w:bookmarkEnd w:id="7"/>
    <w:p w14:paraId="07FC0759" w14:textId="77777777" w:rsidR="00512829" w:rsidRDefault="00512829" w:rsidP="001669B4">
      <w:pPr>
        <w:jc w:val="both"/>
      </w:pPr>
    </w:p>
    <w:p w14:paraId="6AB2910F" w14:textId="77777777" w:rsidR="00034ACE" w:rsidRDefault="00034ACE" w:rsidP="001669B4">
      <w:pPr>
        <w:pStyle w:val="Heading1"/>
        <w:numPr>
          <w:ilvl w:val="1"/>
          <w:numId w:val="1"/>
        </w:numPr>
        <w:jc w:val="both"/>
      </w:pPr>
      <w:r>
        <w:t>Signaling structure</w:t>
      </w:r>
    </w:p>
    <w:p w14:paraId="5F73E156" w14:textId="77777777" w:rsidR="00034ACE" w:rsidRDefault="00034ACE" w:rsidP="001669B4">
      <w:pPr>
        <w:jc w:val="both"/>
      </w:pPr>
      <w:r>
        <w:t xml:space="preserve">RAN1 agreed to support both option A and option B for applicable reporting framework. From RAN2 point of view, it is worthwhile to discuss how signaling structure is operated to support both options.  </w:t>
      </w:r>
    </w:p>
    <w:p w14:paraId="7B9887DD" w14:textId="77777777" w:rsidR="0032285A" w:rsidRDefault="0032285A" w:rsidP="001669B4">
      <w:pPr>
        <w:jc w:val="both"/>
      </w:pPr>
      <w:r>
        <w:t xml:space="preserve">As a starting point, we could discuss two approaches to support two options as follows. </w:t>
      </w:r>
    </w:p>
    <w:p w14:paraId="25A13182" w14:textId="77777777" w:rsidR="0032285A" w:rsidRDefault="0032285A" w:rsidP="001669B4">
      <w:pPr>
        <w:pStyle w:val="ListParagraph"/>
        <w:numPr>
          <w:ilvl w:val="0"/>
          <w:numId w:val="5"/>
        </w:numPr>
        <w:jc w:val="both"/>
      </w:pPr>
      <w:r>
        <w:t xml:space="preserve">Approach 1: </w:t>
      </w:r>
      <w:r w:rsidRPr="00C310AB">
        <w:t xml:space="preserve">one </w:t>
      </w:r>
      <w:r>
        <w:t>same</w:t>
      </w:r>
      <w:r w:rsidRPr="00C310AB">
        <w:t xml:space="preserve"> format to accommodate both options</w:t>
      </w:r>
    </w:p>
    <w:p w14:paraId="33F50465" w14:textId="77777777" w:rsidR="0032285A" w:rsidRDefault="0032285A" w:rsidP="001669B4">
      <w:pPr>
        <w:pStyle w:val="ListParagraph"/>
        <w:numPr>
          <w:ilvl w:val="1"/>
          <w:numId w:val="5"/>
        </w:numPr>
        <w:jc w:val="both"/>
      </w:pPr>
      <w:r>
        <w:t>Full CSI-</w:t>
      </w:r>
      <w:proofErr w:type="spellStart"/>
      <w:r>
        <w:t>ReportConfig</w:t>
      </w:r>
      <w:proofErr w:type="spellEnd"/>
      <w:r>
        <w:t>: this is used to either request applicability reporting (in option A) or to enable inference (in option A and/or in option B)</w:t>
      </w:r>
    </w:p>
    <w:p w14:paraId="59B66B0F" w14:textId="77777777" w:rsidR="0032285A" w:rsidRDefault="0032285A" w:rsidP="001669B4">
      <w:pPr>
        <w:pStyle w:val="ListParagraph"/>
        <w:numPr>
          <w:ilvl w:val="1"/>
          <w:numId w:val="5"/>
        </w:numPr>
        <w:jc w:val="both"/>
      </w:pPr>
      <w:r>
        <w:t>Partial CSI-</w:t>
      </w:r>
      <w:proofErr w:type="spellStart"/>
      <w:r>
        <w:t>ReportConfig</w:t>
      </w:r>
      <w:proofErr w:type="spellEnd"/>
      <w:r>
        <w:t>: this is used to request applicability reporting (in option B).</w:t>
      </w:r>
    </w:p>
    <w:p w14:paraId="46360C85" w14:textId="77777777" w:rsidR="0032285A" w:rsidRDefault="0032285A" w:rsidP="001669B4">
      <w:pPr>
        <w:pStyle w:val="ListParagraph"/>
        <w:numPr>
          <w:ilvl w:val="0"/>
          <w:numId w:val="5"/>
        </w:numPr>
        <w:jc w:val="both"/>
      </w:pPr>
      <w:r>
        <w:t xml:space="preserve">Approach 2: </w:t>
      </w:r>
      <w:r w:rsidRPr="00C310AB">
        <w:t>two different formats to accommodate each option</w:t>
      </w:r>
    </w:p>
    <w:p w14:paraId="228B1DA4" w14:textId="77777777" w:rsidR="0032285A" w:rsidRDefault="0032285A" w:rsidP="001669B4">
      <w:pPr>
        <w:pStyle w:val="ListParagraph"/>
        <w:numPr>
          <w:ilvl w:val="1"/>
          <w:numId w:val="5"/>
        </w:numPr>
        <w:jc w:val="both"/>
      </w:pPr>
      <w:r>
        <w:t>CSI-</w:t>
      </w:r>
      <w:proofErr w:type="spellStart"/>
      <w:r>
        <w:t>ReportConfig</w:t>
      </w:r>
      <w:proofErr w:type="spellEnd"/>
      <w:r>
        <w:t xml:space="preserve"> format: this is for option A. </w:t>
      </w:r>
    </w:p>
    <w:p w14:paraId="4DFCCF74" w14:textId="299898F4" w:rsidR="0032285A" w:rsidRDefault="0032285A" w:rsidP="001669B4">
      <w:pPr>
        <w:pStyle w:val="ListParagraph"/>
        <w:numPr>
          <w:ilvl w:val="1"/>
          <w:numId w:val="5"/>
        </w:numPr>
        <w:jc w:val="both"/>
      </w:pPr>
      <w:r>
        <w:t>a new IE (e.g. set-</w:t>
      </w:r>
      <w:proofErr w:type="spellStart"/>
      <w:r>
        <w:t>InferenceConfig</w:t>
      </w:r>
      <w:proofErr w:type="spellEnd"/>
      <w:r>
        <w:t xml:space="preserve">): this is for option </w:t>
      </w:r>
      <w:r w:rsidR="007E101E">
        <w:t xml:space="preserve">B </w:t>
      </w:r>
      <w:r>
        <w:t xml:space="preserve">and it includes set(s) of inference parameters. </w:t>
      </w:r>
    </w:p>
    <w:p w14:paraId="76AF7BCA" w14:textId="77777777" w:rsidR="0032285A" w:rsidRDefault="0032285A" w:rsidP="001669B4">
      <w:pPr>
        <w:spacing w:before="240"/>
        <w:jc w:val="both"/>
      </w:pPr>
      <w:r>
        <w:t xml:space="preserve">Both approaches seem feasible to support from signaling point of view. The different format approach might be clear to distinguish two different options but it would not be flexible. Based on RAN1 agreements, it is not clear why both options are needed but it seems assumed that Option A and option B could be used concurrently based on “and/or”. In different format, it may be complicated to distinguish UE operation based on </w:t>
      </w:r>
      <w:r w:rsidR="00992643">
        <w:t>different format.</w:t>
      </w:r>
    </w:p>
    <w:p w14:paraId="452CEEBE" w14:textId="24581561" w:rsidR="00992643" w:rsidRPr="0020371D" w:rsidRDefault="007C58B8" w:rsidP="001669B4">
      <w:pPr>
        <w:jc w:val="both"/>
        <w:rPr>
          <w:b/>
        </w:rPr>
      </w:pPr>
      <w:bookmarkStart w:id="8" w:name="pro8"/>
      <w:r w:rsidRPr="0020371D">
        <w:rPr>
          <w:b/>
        </w:rPr>
        <w:t xml:space="preserve">Proposal </w:t>
      </w:r>
      <w:r w:rsidRPr="0020371D">
        <w:rPr>
          <w:rFonts w:cs="Calibri"/>
          <w:b/>
          <w:bCs/>
        </w:rPr>
        <w:fldChar w:fldCharType="begin"/>
      </w:r>
      <w:r w:rsidRPr="0020371D">
        <w:rPr>
          <w:rFonts w:cs="Calibri"/>
          <w:b/>
          <w:bCs/>
        </w:rPr>
        <w:instrText xml:space="preserve"> SEQ pro \* MERGEFORMAT </w:instrText>
      </w:r>
      <w:r w:rsidRPr="0020371D">
        <w:rPr>
          <w:rFonts w:cs="Calibri"/>
          <w:b/>
          <w:bCs/>
        </w:rPr>
        <w:fldChar w:fldCharType="separate"/>
      </w:r>
      <w:r w:rsidR="0020371D" w:rsidRPr="0020371D">
        <w:rPr>
          <w:rFonts w:cs="Calibri"/>
          <w:b/>
          <w:bCs/>
          <w:noProof/>
        </w:rPr>
        <w:t>8</w:t>
      </w:r>
      <w:r w:rsidRPr="0020371D">
        <w:rPr>
          <w:rFonts w:cs="Calibri"/>
          <w:b/>
          <w:bCs/>
        </w:rPr>
        <w:fldChar w:fldCharType="end"/>
      </w:r>
      <w:r w:rsidRPr="0020371D">
        <w:rPr>
          <w:b/>
        </w:rPr>
        <w:t xml:space="preserve">: RAN2 </w:t>
      </w:r>
      <w:r w:rsidR="0032285A" w:rsidRPr="0020371D">
        <w:rPr>
          <w:b/>
        </w:rPr>
        <w:t xml:space="preserve">agree </w:t>
      </w:r>
      <w:r w:rsidR="00992643" w:rsidRPr="0020371D">
        <w:rPr>
          <w:b/>
        </w:rPr>
        <w:t>to support one same format (CSI-</w:t>
      </w:r>
      <w:proofErr w:type="spellStart"/>
      <w:r w:rsidR="00992643" w:rsidRPr="0020371D">
        <w:rPr>
          <w:b/>
        </w:rPr>
        <w:t>ReportConfig</w:t>
      </w:r>
      <w:proofErr w:type="spellEnd"/>
      <w:r w:rsidR="00992643" w:rsidRPr="0020371D">
        <w:rPr>
          <w:b/>
        </w:rPr>
        <w:t>) to support both Option A</w:t>
      </w:r>
      <w:r w:rsidR="007E101E">
        <w:rPr>
          <w:b/>
        </w:rPr>
        <w:t xml:space="preserve"> (i.e., Full CSI-</w:t>
      </w:r>
      <w:proofErr w:type="spellStart"/>
      <w:r w:rsidR="007E101E">
        <w:rPr>
          <w:b/>
        </w:rPr>
        <w:t>ReportConfig</w:t>
      </w:r>
      <w:proofErr w:type="spellEnd"/>
      <w:r w:rsidR="007E101E">
        <w:rPr>
          <w:b/>
        </w:rPr>
        <w:t>)</w:t>
      </w:r>
      <w:r w:rsidR="00992643" w:rsidRPr="0020371D">
        <w:rPr>
          <w:b/>
        </w:rPr>
        <w:t xml:space="preserve"> and Option B</w:t>
      </w:r>
      <w:r w:rsidR="007E101E">
        <w:rPr>
          <w:b/>
        </w:rPr>
        <w:t xml:space="preserve"> (i.e., Partial CSI-</w:t>
      </w:r>
      <w:proofErr w:type="spellStart"/>
      <w:r w:rsidR="007E101E">
        <w:rPr>
          <w:b/>
        </w:rPr>
        <w:t>ReportConfig</w:t>
      </w:r>
      <w:proofErr w:type="spellEnd"/>
      <w:r w:rsidR="007E101E">
        <w:rPr>
          <w:b/>
        </w:rPr>
        <w:t>)</w:t>
      </w:r>
      <w:r w:rsidR="00992643" w:rsidRPr="0020371D">
        <w:rPr>
          <w:b/>
        </w:rPr>
        <w:t xml:space="preserve">. </w:t>
      </w:r>
    </w:p>
    <w:bookmarkEnd w:id="8"/>
    <w:p w14:paraId="67CFBA53" w14:textId="77777777" w:rsidR="008C4710" w:rsidRDefault="008C4710" w:rsidP="001669B4">
      <w:pPr>
        <w:pStyle w:val="Heading1"/>
        <w:numPr>
          <w:ilvl w:val="0"/>
          <w:numId w:val="1"/>
        </w:numPr>
        <w:jc w:val="both"/>
      </w:pPr>
      <w:r>
        <w:t>Data collection</w:t>
      </w:r>
    </w:p>
    <w:p w14:paraId="272BF10C" w14:textId="77777777" w:rsidR="00486C09" w:rsidRDefault="00A164A2" w:rsidP="001669B4">
      <w:pPr>
        <w:jc w:val="both"/>
      </w:pPr>
      <w:r>
        <w:t xml:space="preserve">In the previous RAN2 discussion on data collection, there are two FFSs which we discuss in this section. </w:t>
      </w:r>
    </w:p>
    <w:p w14:paraId="5BCB2C9A" w14:textId="1C1165FA" w:rsidR="008C4710" w:rsidRPr="00EA5B4E" w:rsidRDefault="00A164A2" w:rsidP="00EA5B4E">
      <w:pPr>
        <w:jc w:val="both"/>
        <w:rPr>
          <w:b/>
          <w:u w:val="single"/>
        </w:rPr>
      </w:pPr>
      <w:proofErr w:type="gramStart"/>
      <w:r w:rsidRPr="00EA5B4E">
        <w:rPr>
          <w:b/>
          <w:u w:val="single"/>
        </w:rPr>
        <w:t xml:space="preserve">FFS </w:t>
      </w:r>
      <w:r w:rsidR="00EA5B4E" w:rsidRPr="00EA5B4E">
        <w:rPr>
          <w:b/>
          <w:u w:val="single"/>
        </w:rPr>
        <w:t xml:space="preserve"> #</w:t>
      </w:r>
      <w:proofErr w:type="gramEnd"/>
      <w:r w:rsidR="00EA5B4E" w:rsidRPr="00EA5B4E">
        <w:rPr>
          <w:b/>
          <w:u w:val="single"/>
        </w:rPr>
        <w:t xml:space="preserve">1: </w:t>
      </w:r>
      <w:r w:rsidRPr="00EA5B4E">
        <w:rPr>
          <w:b/>
          <w:u w:val="single"/>
        </w:rPr>
        <w:t>what the UE request contains.</w:t>
      </w:r>
    </w:p>
    <w:p w14:paraId="1C7B0895" w14:textId="29AF0662" w:rsidR="00883023" w:rsidRDefault="00A30492" w:rsidP="001669B4">
      <w:pPr>
        <w:jc w:val="both"/>
      </w:pPr>
      <w:r>
        <w:t>Although RAN1 is still under discussion, it seems likely that CSI-</w:t>
      </w:r>
      <w:proofErr w:type="spellStart"/>
      <w:r>
        <w:t>ReportConfig</w:t>
      </w:r>
      <w:proofErr w:type="spellEnd"/>
      <w:r>
        <w:t xml:space="preserve"> is used for configuring data collection for UE-sided model. Similarly, UE can also indicate preferred </w:t>
      </w:r>
      <w:r w:rsidR="001D662A">
        <w:t>configuration</w:t>
      </w:r>
      <w:r>
        <w:t xml:space="preserve"> to collect data given that </w:t>
      </w:r>
      <w:r w:rsidR="001B6D3D">
        <w:t>UE</w:t>
      </w:r>
      <w:r w:rsidR="001D662A">
        <w:t xml:space="preserve"> (or UE server)</w:t>
      </w:r>
      <w:r w:rsidR="001B6D3D">
        <w:t xml:space="preserve"> should </w:t>
      </w:r>
      <w:r>
        <w:t>determine</w:t>
      </w:r>
      <w:r w:rsidR="001B6D3D">
        <w:t xml:space="preserve"> </w:t>
      </w:r>
      <w:r w:rsidR="001D662A">
        <w:t>what data</w:t>
      </w:r>
      <w:r w:rsidR="001B6D3D">
        <w:t xml:space="preserve"> should be collected for training of UE side model. </w:t>
      </w:r>
      <w:r w:rsidR="00883023">
        <w:t xml:space="preserve">In addition, </w:t>
      </w:r>
      <w:r w:rsidR="00D4768B">
        <w:t xml:space="preserve">it would be more useful if gNB get more information from UE considering UE’s current capability/preference considering processing power/buffer status which is more dynamic than UE capability information. </w:t>
      </w:r>
    </w:p>
    <w:p w14:paraId="3705008A" w14:textId="77777777" w:rsidR="00EF3FEE" w:rsidRDefault="001B6D3D" w:rsidP="001669B4">
      <w:pPr>
        <w:jc w:val="both"/>
      </w:pPr>
      <w:r>
        <w:t>Given that it is quite related to RAN1 design, we could wait for</w:t>
      </w:r>
      <w:r w:rsidR="004C5437">
        <w:t xml:space="preserve"> RAN1 input to define resource configuration for UE request. </w:t>
      </w:r>
    </w:p>
    <w:p w14:paraId="55F281C0" w14:textId="3A94992C" w:rsidR="00883023" w:rsidRPr="0020371D" w:rsidRDefault="00883023" w:rsidP="001669B4">
      <w:pPr>
        <w:jc w:val="both"/>
        <w:rPr>
          <w:b/>
        </w:rPr>
      </w:pPr>
      <w:bookmarkStart w:id="9" w:name="pro9"/>
      <w:r w:rsidRPr="0020371D">
        <w:rPr>
          <w:b/>
        </w:rPr>
        <w:lastRenderedPageBreak/>
        <w:t xml:space="preserve">Proposal </w:t>
      </w:r>
      <w:r w:rsidRPr="0020371D">
        <w:rPr>
          <w:rFonts w:cs="Calibri"/>
          <w:b/>
          <w:bCs/>
        </w:rPr>
        <w:fldChar w:fldCharType="begin"/>
      </w:r>
      <w:r w:rsidRPr="0020371D">
        <w:rPr>
          <w:rFonts w:cs="Calibri"/>
          <w:b/>
          <w:bCs/>
        </w:rPr>
        <w:instrText xml:space="preserve"> SEQ pro \* MERGEFORMAT </w:instrText>
      </w:r>
      <w:r w:rsidRPr="0020371D">
        <w:rPr>
          <w:rFonts w:cs="Calibri"/>
          <w:b/>
          <w:bCs/>
        </w:rPr>
        <w:fldChar w:fldCharType="separate"/>
      </w:r>
      <w:r w:rsidR="0020371D" w:rsidRPr="0020371D">
        <w:rPr>
          <w:rFonts w:cs="Calibri"/>
          <w:b/>
          <w:bCs/>
          <w:noProof/>
        </w:rPr>
        <w:t>9</w:t>
      </w:r>
      <w:r w:rsidRPr="0020371D">
        <w:rPr>
          <w:rFonts w:cs="Calibri"/>
          <w:b/>
          <w:bCs/>
        </w:rPr>
        <w:fldChar w:fldCharType="end"/>
      </w:r>
      <w:r w:rsidRPr="0020371D">
        <w:rPr>
          <w:b/>
        </w:rPr>
        <w:t>: RAN2</w:t>
      </w:r>
      <w:r w:rsidR="00D4768B" w:rsidRPr="0020371D">
        <w:rPr>
          <w:b/>
        </w:rPr>
        <w:t xml:space="preserve"> agree that UE </w:t>
      </w:r>
      <w:r w:rsidR="00773821" w:rsidRPr="0020371D">
        <w:rPr>
          <w:b/>
        </w:rPr>
        <w:t xml:space="preserve">can </w:t>
      </w:r>
      <w:r w:rsidR="00D4768B" w:rsidRPr="0020371D">
        <w:rPr>
          <w:b/>
        </w:rPr>
        <w:t xml:space="preserve">provide preferred </w:t>
      </w:r>
      <w:r w:rsidR="0026526B">
        <w:rPr>
          <w:b/>
        </w:rPr>
        <w:t>data collection</w:t>
      </w:r>
      <w:r w:rsidR="0026526B" w:rsidRPr="0020371D">
        <w:rPr>
          <w:b/>
        </w:rPr>
        <w:t xml:space="preserve"> </w:t>
      </w:r>
      <w:r w:rsidR="00D4768B" w:rsidRPr="0020371D">
        <w:rPr>
          <w:b/>
        </w:rPr>
        <w:t xml:space="preserve">configuration in Data collection request and wait for RAN1 to decide detailed resource configuration format. </w:t>
      </w:r>
    </w:p>
    <w:bookmarkEnd w:id="9"/>
    <w:p w14:paraId="536897DD" w14:textId="741986F6" w:rsidR="004C5437" w:rsidRDefault="00883023" w:rsidP="001669B4">
      <w:pPr>
        <w:jc w:val="both"/>
      </w:pPr>
      <w:r>
        <w:t xml:space="preserve">On top of </w:t>
      </w:r>
      <w:r w:rsidR="0026526B">
        <w:t xml:space="preserve">data collection </w:t>
      </w:r>
      <w:r>
        <w:t xml:space="preserve">configuration, </w:t>
      </w:r>
      <w:r w:rsidR="00D4768B">
        <w:t>it is worthwhile to discuss additional information that can be helpful</w:t>
      </w:r>
      <w:r>
        <w:t xml:space="preserve">. </w:t>
      </w:r>
      <w:r w:rsidR="00D4768B">
        <w:t xml:space="preserve">One additional information that might be helpful is time </w:t>
      </w:r>
      <w:r w:rsidR="0026526B">
        <w:t xml:space="preserve">period </w:t>
      </w:r>
      <w:r w:rsidR="00D4768B">
        <w:t xml:space="preserve">related for data collection. Since </w:t>
      </w:r>
      <w:r w:rsidR="0026526B">
        <w:t xml:space="preserve">UE doesn’t report measurement results to </w:t>
      </w:r>
      <w:proofErr w:type="spellStart"/>
      <w:r w:rsidR="0026526B">
        <w:t>gNB</w:t>
      </w:r>
      <w:proofErr w:type="spellEnd"/>
      <w:r w:rsidR="0026526B">
        <w:t xml:space="preserve"> </w:t>
      </w:r>
      <w:r w:rsidR="00D4768B">
        <w:t>in case of data collection</w:t>
      </w:r>
      <w:r w:rsidR="0026526B">
        <w:t xml:space="preserve"> for UE side mode </w:t>
      </w:r>
      <w:proofErr w:type="gramStart"/>
      <w:r w:rsidR="0026526B">
        <w:t xml:space="preserve">training </w:t>
      </w:r>
      <w:r w:rsidR="00D4768B">
        <w:t xml:space="preserve"> and</w:t>
      </w:r>
      <w:proofErr w:type="gramEnd"/>
      <w:r w:rsidR="00D4768B">
        <w:t xml:space="preserve"> also the need of data collection is decided at UE/UE-side server, there is no clear clue when gNB release resource configuration. A specific time duration </w:t>
      </w:r>
      <w:r w:rsidR="00773821">
        <w:t>could</w:t>
      </w:r>
      <w:r w:rsidR="00D4768B">
        <w:t xml:space="preserve"> be useful</w:t>
      </w:r>
      <w:r w:rsidR="00773821">
        <w:t xml:space="preserve"> for gNB to manage resource sets overall. </w:t>
      </w:r>
      <w:r w:rsidR="00D4768B">
        <w:t xml:space="preserve"> </w:t>
      </w:r>
    </w:p>
    <w:p w14:paraId="6E96CF73" w14:textId="77777777" w:rsidR="00773821" w:rsidRPr="0020371D" w:rsidRDefault="00773821" w:rsidP="001669B4">
      <w:pPr>
        <w:jc w:val="both"/>
        <w:rPr>
          <w:b/>
        </w:rPr>
      </w:pPr>
      <w:bookmarkStart w:id="10" w:name="pro10"/>
      <w:r w:rsidRPr="0020371D">
        <w:rPr>
          <w:b/>
        </w:rPr>
        <w:t xml:space="preserve">Proposal </w:t>
      </w:r>
      <w:r w:rsidRPr="0020371D">
        <w:rPr>
          <w:rFonts w:cs="Calibri"/>
          <w:b/>
          <w:bCs/>
        </w:rPr>
        <w:fldChar w:fldCharType="begin"/>
      </w:r>
      <w:r w:rsidRPr="0020371D">
        <w:rPr>
          <w:rFonts w:cs="Calibri"/>
          <w:b/>
          <w:bCs/>
        </w:rPr>
        <w:instrText xml:space="preserve"> SEQ pro \* MERGEFORMAT </w:instrText>
      </w:r>
      <w:r w:rsidRPr="0020371D">
        <w:rPr>
          <w:rFonts w:cs="Calibri"/>
          <w:b/>
          <w:bCs/>
        </w:rPr>
        <w:fldChar w:fldCharType="separate"/>
      </w:r>
      <w:r w:rsidR="0020371D" w:rsidRPr="0020371D">
        <w:rPr>
          <w:rFonts w:cs="Calibri"/>
          <w:b/>
          <w:bCs/>
          <w:noProof/>
        </w:rPr>
        <w:t>10</w:t>
      </w:r>
      <w:r w:rsidRPr="0020371D">
        <w:rPr>
          <w:rFonts w:cs="Calibri"/>
          <w:b/>
          <w:bCs/>
        </w:rPr>
        <w:fldChar w:fldCharType="end"/>
      </w:r>
      <w:r w:rsidRPr="0020371D">
        <w:rPr>
          <w:b/>
        </w:rPr>
        <w:t xml:space="preserve">: RAN2 agree that UE can provide preferred time duration until when resource configuration should be required. </w:t>
      </w:r>
    </w:p>
    <w:bookmarkEnd w:id="10"/>
    <w:p w14:paraId="2C38F235" w14:textId="77777777" w:rsidR="00EA5B4E" w:rsidRDefault="00EA5B4E" w:rsidP="00EA5B4E">
      <w:pPr>
        <w:jc w:val="both"/>
        <w:rPr>
          <w:b/>
        </w:rPr>
      </w:pPr>
    </w:p>
    <w:p w14:paraId="0D84AC6F" w14:textId="40843D85" w:rsidR="00A164A2" w:rsidRPr="00EA5B4E" w:rsidRDefault="00A164A2" w:rsidP="00EA5B4E">
      <w:pPr>
        <w:jc w:val="both"/>
        <w:rPr>
          <w:b/>
          <w:u w:val="single"/>
        </w:rPr>
      </w:pPr>
      <w:r w:rsidRPr="00EA5B4E">
        <w:rPr>
          <w:b/>
          <w:u w:val="single"/>
        </w:rPr>
        <w:t xml:space="preserve">FFS </w:t>
      </w:r>
      <w:r w:rsidR="00EA5B4E" w:rsidRPr="00EA5B4E">
        <w:rPr>
          <w:b/>
          <w:u w:val="single"/>
        </w:rPr>
        <w:t xml:space="preserve">#2: </w:t>
      </w:r>
      <w:r w:rsidRPr="00EA5B4E">
        <w:rPr>
          <w:b/>
          <w:u w:val="single"/>
        </w:rPr>
        <w:t>on the need of UE indication when UE can’t perform data collection based on received configuration.</w:t>
      </w:r>
    </w:p>
    <w:p w14:paraId="35D7E129" w14:textId="77777777" w:rsidR="00773821" w:rsidRDefault="00773821" w:rsidP="001669B4">
      <w:pPr>
        <w:jc w:val="both"/>
      </w:pPr>
      <w:r>
        <w:t xml:space="preserve">In the last meeting, one controversial agreement is that gNB can provide data collection configuration without UE request. It may be still working given that gNB should be able to allocate any resource sets if those are available in gNB side. </w:t>
      </w:r>
    </w:p>
    <w:p w14:paraId="35E5BCA2" w14:textId="77777777" w:rsidR="00773821" w:rsidRDefault="00773821" w:rsidP="001669B4">
      <w:pPr>
        <w:jc w:val="both"/>
      </w:pPr>
      <w:r>
        <w:t xml:space="preserve">However, it is still questionable whether it is more resource efficient approach. The reason is because gNB may not know exactly what data collection configuration UE needs or more fundamentally whether UE wants or is able to </w:t>
      </w:r>
      <w:r w:rsidR="0020371D">
        <w:t xml:space="preserve">perform measurements for data collection considering UE side situation e.g. processing power, memory status, etc. </w:t>
      </w:r>
    </w:p>
    <w:p w14:paraId="49826B6B" w14:textId="77777777" w:rsidR="0020371D" w:rsidRDefault="0020371D" w:rsidP="001669B4">
      <w:pPr>
        <w:jc w:val="both"/>
      </w:pPr>
      <w:r>
        <w:t xml:space="preserve">In addition, once gNB configured data collection configuration, UE may want to stop data collection due to internal reason. </w:t>
      </w:r>
    </w:p>
    <w:p w14:paraId="2B5FB62C" w14:textId="77777777" w:rsidR="0020371D" w:rsidRDefault="0020371D" w:rsidP="001669B4">
      <w:pPr>
        <w:jc w:val="both"/>
      </w:pPr>
      <w:r>
        <w:t xml:space="preserve">To avoid resource waste (i.e. UE doesn’t perform measurement even if gNB allocates resource set), it would be desirable to have a mechanism that UE can indicate stop or release configuration </w:t>
      </w:r>
      <w:r w:rsidRPr="0020371D">
        <w:t>when UE can’t perform data collection based on received configuration.</w:t>
      </w:r>
    </w:p>
    <w:p w14:paraId="11DC88B5" w14:textId="3F507989" w:rsidR="0020371D" w:rsidRPr="0020371D" w:rsidRDefault="0020371D" w:rsidP="001669B4">
      <w:pPr>
        <w:jc w:val="both"/>
        <w:rPr>
          <w:b/>
        </w:rPr>
      </w:pPr>
      <w:bookmarkStart w:id="11" w:name="pro11"/>
      <w:r w:rsidRPr="0020371D">
        <w:rPr>
          <w:b/>
        </w:rPr>
        <w:t xml:space="preserve">Proposal </w:t>
      </w:r>
      <w:r w:rsidRPr="0020371D">
        <w:rPr>
          <w:rFonts w:cs="Calibri"/>
          <w:b/>
          <w:bCs/>
        </w:rPr>
        <w:fldChar w:fldCharType="begin"/>
      </w:r>
      <w:r w:rsidRPr="0020371D">
        <w:rPr>
          <w:rFonts w:cs="Calibri"/>
          <w:b/>
          <w:bCs/>
        </w:rPr>
        <w:instrText xml:space="preserve"> SEQ pro \* MERGEFORMAT </w:instrText>
      </w:r>
      <w:r w:rsidRPr="0020371D">
        <w:rPr>
          <w:rFonts w:cs="Calibri"/>
          <w:b/>
          <w:bCs/>
        </w:rPr>
        <w:fldChar w:fldCharType="separate"/>
      </w:r>
      <w:r w:rsidRPr="0020371D">
        <w:rPr>
          <w:rFonts w:cs="Calibri"/>
          <w:b/>
          <w:bCs/>
          <w:noProof/>
        </w:rPr>
        <w:t>11</w:t>
      </w:r>
      <w:r w:rsidRPr="0020371D">
        <w:rPr>
          <w:rFonts w:cs="Calibri"/>
          <w:b/>
          <w:bCs/>
        </w:rPr>
        <w:fldChar w:fldCharType="end"/>
      </w:r>
      <w:r w:rsidRPr="0020371D">
        <w:rPr>
          <w:b/>
        </w:rPr>
        <w:t xml:space="preserve">: RAN2 agree that UE can indicate stop/release data collection configuration and it is up to gNB whether </w:t>
      </w:r>
      <w:proofErr w:type="spellStart"/>
      <w:r w:rsidRPr="0020371D">
        <w:rPr>
          <w:b/>
        </w:rPr>
        <w:t>gNB</w:t>
      </w:r>
      <w:proofErr w:type="spellEnd"/>
      <w:r w:rsidRPr="0020371D">
        <w:rPr>
          <w:b/>
        </w:rPr>
        <w:t xml:space="preserve"> respond </w:t>
      </w:r>
      <w:r w:rsidR="00EA5B4E">
        <w:rPr>
          <w:b/>
        </w:rPr>
        <w:t xml:space="preserve">to </w:t>
      </w:r>
      <w:r w:rsidRPr="0020371D">
        <w:rPr>
          <w:b/>
        </w:rPr>
        <w:t xml:space="preserve">UE’s indication. </w:t>
      </w:r>
    </w:p>
    <w:bookmarkEnd w:id="11"/>
    <w:p w14:paraId="54754F9C" w14:textId="125B87C0" w:rsidR="0020371D" w:rsidRDefault="0082461E" w:rsidP="001669B4">
      <w:pPr>
        <w:jc w:val="both"/>
      </w:pPr>
      <w:r>
        <w:t xml:space="preserve">As a detailed signaling option, UAI is a more flexible option to provide UE stop/release whenever it is required. However, given that UE can also determine upon RRC reconfiguration reception, stop/release indication can be also included in RRC reconfiguration complete message. </w:t>
      </w:r>
    </w:p>
    <w:p w14:paraId="4998B9F6" w14:textId="03EC4B79" w:rsidR="0082461E" w:rsidRDefault="0082461E" w:rsidP="001669B4">
      <w:pPr>
        <w:jc w:val="both"/>
        <w:rPr>
          <w:b/>
        </w:rPr>
      </w:pPr>
      <w:bookmarkStart w:id="12" w:name="pro12"/>
      <w:r w:rsidRPr="0020371D">
        <w:rPr>
          <w:b/>
        </w:rPr>
        <w:t xml:space="preserve">Proposal </w:t>
      </w:r>
      <w:r w:rsidRPr="0020371D">
        <w:rPr>
          <w:rFonts w:cs="Calibri"/>
          <w:b/>
          <w:bCs/>
        </w:rPr>
        <w:fldChar w:fldCharType="begin"/>
      </w:r>
      <w:r w:rsidRPr="0020371D">
        <w:rPr>
          <w:rFonts w:cs="Calibri"/>
          <w:b/>
          <w:bCs/>
        </w:rPr>
        <w:instrText xml:space="preserve"> SEQ pro \* MERGEFORMAT </w:instrText>
      </w:r>
      <w:r w:rsidRPr="0020371D">
        <w:rPr>
          <w:rFonts w:cs="Calibri"/>
          <w:b/>
          <w:bCs/>
        </w:rPr>
        <w:fldChar w:fldCharType="separate"/>
      </w:r>
      <w:r w:rsidR="00AA0FC4">
        <w:rPr>
          <w:rFonts w:cs="Calibri"/>
          <w:b/>
          <w:bCs/>
          <w:noProof/>
        </w:rPr>
        <w:t>12</w:t>
      </w:r>
      <w:r w:rsidRPr="0020371D">
        <w:rPr>
          <w:rFonts w:cs="Calibri"/>
          <w:b/>
          <w:bCs/>
        </w:rPr>
        <w:fldChar w:fldCharType="end"/>
      </w:r>
      <w:r w:rsidRPr="0020371D">
        <w:rPr>
          <w:b/>
        </w:rPr>
        <w:t>:</w:t>
      </w:r>
      <w:r w:rsidR="002817FE">
        <w:rPr>
          <w:b/>
        </w:rPr>
        <w:t xml:space="preserve"> RAN2 agree that U</w:t>
      </w:r>
      <w:r w:rsidR="007E6EC6">
        <w:rPr>
          <w:b/>
        </w:rPr>
        <w:t xml:space="preserve">E indication for stop/release can be indicated in UAI or RRC reconfiguration complete message. </w:t>
      </w:r>
    </w:p>
    <w:bookmarkEnd w:id="12"/>
    <w:p w14:paraId="1A600CAA" w14:textId="77777777" w:rsidR="004522EC" w:rsidRDefault="004522EC" w:rsidP="001669B4">
      <w:pPr>
        <w:jc w:val="both"/>
      </w:pPr>
    </w:p>
    <w:p w14:paraId="56A33B3B" w14:textId="77777777" w:rsidR="008E3952" w:rsidRDefault="008E3952" w:rsidP="001669B4">
      <w:pPr>
        <w:pStyle w:val="Heading1"/>
        <w:numPr>
          <w:ilvl w:val="0"/>
          <w:numId w:val="1"/>
        </w:numPr>
        <w:jc w:val="both"/>
      </w:pPr>
      <w:r>
        <w:t>Conclusion</w:t>
      </w:r>
    </w:p>
    <w:p w14:paraId="1FF004C1" w14:textId="7E9C913E" w:rsidR="00EA5B4E" w:rsidRDefault="00EA5B4E" w:rsidP="001669B4">
      <w:pPr>
        <w:jc w:val="both"/>
      </w:pPr>
      <w:r>
        <w:t xml:space="preserve">In this document, we discussed remaining FFSs based on RAN1 reply LS. </w:t>
      </w:r>
    </w:p>
    <w:p w14:paraId="577CED89" w14:textId="5D18C2A6" w:rsidR="00EA5B4E" w:rsidRDefault="00EA5B4E" w:rsidP="001669B4">
      <w:pPr>
        <w:jc w:val="both"/>
      </w:pPr>
      <w:r>
        <w:t xml:space="preserve">Based on the discussion, we propose the following points. </w:t>
      </w:r>
    </w:p>
    <w:p w14:paraId="480E7A64" w14:textId="6E7A2F6F" w:rsidR="00EA5B4E" w:rsidRPr="0020371D" w:rsidRDefault="00EA5B4E" w:rsidP="001669B4">
      <w:pPr>
        <w:jc w:val="both"/>
        <w:rPr>
          <w:b/>
        </w:rPr>
      </w:pPr>
      <w:r>
        <w:lastRenderedPageBreak/>
        <w:fldChar w:fldCharType="begin"/>
      </w:r>
      <w:r>
        <w:instrText xml:space="preserve"> REF pro1 \h </w:instrText>
      </w:r>
      <w:r>
        <w:fldChar w:fldCharType="separate"/>
      </w:r>
      <w:r w:rsidRPr="0020371D">
        <w:rPr>
          <w:b/>
        </w:rPr>
        <w:t xml:space="preserve">Proposal </w:t>
      </w:r>
      <w:r>
        <w:rPr>
          <w:rFonts w:cs="Calibri"/>
          <w:b/>
          <w:bCs/>
          <w:noProof/>
        </w:rPr>
        <w:t>1</w:t>
      </w:r>
      <w:r w:rsidRPr="0020371D">
        <w:rPr>
          <w:b/>
        </w:rPr>
        <w:t>: RAN2 assume that applicable functionality is equivalent to CSI-</w:t>
      </w:r>
      <w:proofErr w:type="spellStart"/>
      <w:r w:rsidRPr="0020371D">
        <w:rPr>
          <w:b/>
        </w:rPr>
        <w:t>ReportConfig</w:t>
      </w:r>
      <w:proofErr w:type="spellEnd"/>
      <w:r w:rsidRPr="0020371D">
        <w:rPr>
          <w:b/>
        </w:rPr>
        <w:t xml:space="preserve"> for applicable functionality for BM use case.</w:t>
      </w:r>
    </w:p>
    <w:p w14:paraId="2DAAAD2A" w14:textId="07C1FB67" w:rsidR="00EA5B4E" w:rsidRPr="0020371D" w:rsidRDefault="00EA5B4E" w:rsidP="001669B4">
      <w:pPr>
        <w:jc w:val="both"/>
        <w:rPr>
          <w:b/>
        </w:rPr>
      </w:pPr>
      <w:r>
        <w:fldChar w:fldCharType="end"/>
      </w:r>
      <w:r>
        <w:fldChar w:fldCharType="begin"/>
      </w:r>
      <w:r>
        <w:instrText xml:space="preserve"> REF pro2 \h </w:instrText>
      </w:r>
      <w:r>
        <w:fldChar w:fldCharType="separate"/>
      </w:r>
      <w:r w:rsidRPr="0020371D">
        <w:rPr>
          <w:b/>
        </w:rPr>
        <w:t xml:space="preserve">Proposal </w:t>
      </w:r>
      <w:r w:rsidRPr="0020371D">
        <w:rPr>
          <w:rFonts w:cs="Calibri"/>
          <w:b/>
          <w:bCs/>
          <w:noProof/>
        </w:rPr>
        <w:t>2</w:t>
      </w:r>
      <w:r w:rsidRPr="0020371D">
        <w:rPr>
          <w:b/>
        </w:rPr>
        <w:t xml:space="preserve">: RAN2 postpone further discussion on </w:t>
      </w:r>
      <w:r>
        <w:rPr>
          <w:b/>
        </w:rPr>
        <w:t xml:space="preserve">details on </w:t>
      </w:r>
      <w:r w:rsidRPr="0020371D">
        <w:rPr>
          <w:b/>
        </w:rPr>
        <w:t>supported functionalit</w:t>
      </w:r>
      <w:r>
        <w:rPr>
          <w:b/>
        </w:rPr>
        <w:t>ies</w:t>
      </w:r>
      <w:r w:rsidRPr="0020371D">
        <w:rPr>
          <w:b/>
        </w:rPr>
        <w:t xml:space="preserve">.   </w:t>
      </w:r>
    </w:p>
    <w:p w14:paraId="6A05BA04" w14:textId="78BE2848" w:rsidR="00EA5B4E" w:rsidRPr="0020371D" w:rsidRDefault="00EA5B4E" w:rsidP="001669B4">
      <w:pPr>
        <w:jc w:val="both"/>
        <w:rPr>
          <w:b/>
        </w:rPr>
      </w:pPr>
      <w:r>
        <w:fldChar w:fldCharType="end"/>
      </w:r>
      <w:r>
        <w:fldChar w:fldCharType="begin"/>
      </w:r>
      <w:r>
        <w:instrText xml:space="preserve"> REF pro3 \h </w:instrText>
      </w:r>
      <w:r>
        <w:fldChar w:fldCharType="separate"/>
      </w:r>
      <w:r w:rsidRPr="0020371D">
        <w:rPr>
          <w:b/>
        </w:rPr>
        <w:t xml:space="preserve">Proposal </w:t>
      </w:r>
      <w:r w:rsidRPr="0020371D">
        <w:rPr>
          <w:rFonts w:cs="Calibri"/>
          <w:b/>
          <w:bCs/>
          <w:noProof/>
        </w:rPr>
        <w:t>3</w:t>
      </w:r>
      <w:r w:rsidRPr="0020371D">
        <w:rPr>
          <w:b/>
        </w:rPr>
        <w:t xml:space="preserve">: RAN2 agree that </w:t>
      </w:r>
      <w:r>
        <w:rPr>
          <w:b/>
        </w:rPr>
        <w:t>either</w:t>
      </w:r>
      <w:r w:rsidRPr="0020371D">
        <w:rPr>
          <w:b/>
        </w:rPr>
        <w:t xml:space="preserve"> </w:t>
      </w:r>
      <w:r>
        <w:rPr>
          <w:b/>
        </w:rPr>
        <w:t>“</w:t>
      </w:r>
      <w:r w:rsidRPr="0020371D">
        <w:rPr>
          <w:b/>
        </w:rPr>
        <w:t>CSI-</w:t>
      </w:r>
      <w:proofErr w:type="spellStart"/>
      <w:r w:rsidRPr="0020371D">
        <w:rPr>
          <w:b/>
        </w:rPr>
        <w:t>ReportConfig</w:t>
      </w:r>
      <w:proofErr w:type="spellEnd"/>
      <w:r w:rsidRPr="0020371D">
        <w:rPr>
          <w:b/>
        </w:rPr>
        <w:t xml:space="preserve"> for inference</w:t>
      </w:r>
      <w:r>
        <w:rPr>
          <w:b/>
        </w:rPr>
        <w:t>”</w:t>
      </w:r>
      <w:r w:rsidRPr="0020371D">
        <w:rPr>
          <w:b/>
        </w:rPr>
        <w:t xml:space="preserve"> or </w:t>
      </w:r>
      <w:r>
        <w:rPr>
          <w:b/>
        </w:rPr>
        <w:t>“</w:t>
      </w:r>
      <w:r w:rsidRPr="0020371D">
        <w:rPr>
          <w:b/>
        </w:rPr>
        <w:t>set(s) of inference related parameter</w:t>
      </w:r>
      <w:r>
        <w:rPr>
          <w:b/>
        </w:rPr>
        <w:t>s”</w:t>
      </w:r>
      <w:r w:rsidRPr="0020371D">
        <w:rPr>
          <w:b/>
        </w:rPr>
        <w:t xml:space="preserve"> can be provided in Step 3. </w:t>
      </w:r>
    </w:p>
    <w:p w14:paraId="3AB3EB99" w14:textId="236226CC" w:rsidR="00EA5B4E" w:rsidRPr="0020371D" w:rsidRDefault="00EA5B4E" w:rsidP="001669B4">
      <w:pPr>
        <w:jc w:val="both"/>
        <w:rPr>
          <w:b/>
        </w:rPr>
      </w:pPr>
      <w:r>
        <w:fldChar w:fldCharType="end"/>
      </w:r>
      <w:r>
        <w:fldChar w:fldCharType="begin"/>
      </w:r>
      <w:r>
        <w:instrText xml:space="preserve"> REF pro4 \h </w:instrText>
      </w:r>
      <w:r>
        <w:fldChar w:fldCharType="separate"/>
      </w:r>
      <w:r w:rsidRPr="0020371D">
        <w:rPr>
          <w:b/>
        </w:rPr>
        <w:t xml:space="preserve">Proposal </w:t>
      </w:r>
      <w:r w:rsidRPr="0020371D">
        <w:rPr>
          <w:rFonts w:cs="Calibri"/>
          <w:b/>
          <w:bCs/>
          <w:noProof/>
        </w:rPr>
        <w:t>4</w:t>
      </w:r>
      <w:r w:rsidRPr="0020371D">
        <w:rPr>
          <w:b/>
        </w:rPr>
        <w:t xml:space="preserve">: RAN2 agree that it is left to UE implementation the applicable functionality is decided if NW-side additional condition is not provided in step 3 unless RAN1 provides any other input. </w:t>
      </w:r>
    </w:p>
    <w:p w14:paraId="493B467F" w14:textId="020C5599" w:rsidR="00EA5B4E" w:rsidRPr="0020371D" w:rsidRDefault="00EA5B4E" w:rsidP="001669B4">
      <w:pPr>
        <w:jc w:val="both"/>
        <w:rPr>
          <w:b/>
        </w:rPr>
      </w:pPr>
      <w:r>
        <w:fldChar w:fldCharType="end"/>
      </w:r>
      <w:r>
        <w:fldChar w:fldCharType="begin"/>
      </w:r>
      <w:r>
        <w:instrText xml:space="preserve"> REF pro5 \h </w:instrText>
      </w:r>
      <w:r>
        <w:fldChar w:fldCharType="separate"/>
      </w:r>
      <w:r w:rsidRPr="0020371D">
        <w:rPr>
          <w:b/>
        </w:rPr>
        <w:t xml:space="preserve">Proposal </w:t>
      </w:r>
      <w:r w:rsidRPr="0020371D">
        <w:rPr>
          <w:rFonts w:cs="Calibri"/>
          <w:b/>
          <w:bCs/>
          <w:noProof/>
        </w:rPr>
        <w:t>5</w:t>
      </w:r>
      <w:r w:rsidRPr="0020371D">
        <w:rPr>
          <w:b/>
        </w:rPr>
        <w:t xml:space="preserve">: RAN2 agree that UE can provide applicable functionality reporting </w:t>
      </w:r>
      <w:r>
        <w:rPr>
          <w:b/>
        </w:rPr>
        <w:t>corresponding to configured</w:t>
      </w:r>
      <w:r w:rsidRPr="0020371D">
        <w:rPr>
          <w:b/>
        </w:rPr>
        <w:t xml:space="preserve"> CSI-</w:t>
      </w:r>
      <w:proofErr w:type="spellStart"/>
      <w:r w:rsidRPr="0020371D">
        <w:rPr>
          <w:b/>
        </w:rPr>
        <w:t>Rep</w:t>
      </w:r>
      <w:r>
        <w:rPr>
          <w:b/>
        </w:rPr>
        <w:t>o</w:t>
      </w:r>
      <w:r w:rsidRPr="0020371D">
        <w:rPr>
          <w:b/>
        </w:rPr>
        <w:t>rtConfig</w:t>
      </w:r>
      <w:proofErr w:type="spellEnd"/>
      <w:r w:rsidRPr="0020371D">
        <w:rPr>
          <w:b/>
        </w:rPr>
        <w:t xml:space="preserve"> or set(s) of inference related parameters. </w:t>
      </w:r>
    </w:p>
    <w:p w14:paraId="15E1D93B" w14:textId="14577737" w:rsidR="00EA5B4E" w:rsidRPr="0020371D" w:rsidRDefault="00EA5B4E" w:rsidP="001669B4">
      <w:pPr>
        <w:jc w:val="both"/>
        <w:rPr>
          <w:b/>
        </w:rPr>
      </w:pPr>
      <w:r>
        <w:fldChar w:fldCharType="end"/>
      </w:r>
      <w:r>
        <w:fldChar w:fldCharType="begin"/>
      </w:r>
      <w:r>
        <w:instrText xml:space="preserve"> REF pro6 \h </w:instrText>
      </w:r>
      <w:r>
        <w:fldChar w:fldCharType="separate"/>
      </w:r>
      <w:r w:rsidRPr="0020371D">
        <w:rPr>
          <w:b/>
        </w:rPr>
        <w:t xml:space="preserve">Proposal </w:t>
      </w:r>
      <w:r w:rsidRPr="0020371D">
        <w:rPr>
          <w:rFonts w:cs="Calibri"/>
          <w:b/>
          <w:bCs/>
          <w:noProof/>
        </w:rPr>
        <w:t>6</w:t>
      </w:r>
      <w:r w:rsidRPr="0020371D">
        <w:rPr>
          <w:b/>
        </w:rPr>
        <w:t>: RAN2 agree that initial status of periodic CSI report is determined with the applicability of the corresponding of CSI-</w:t>
      </w:r>
      <w:proofErr w:type="spellStart"/>
      <w:r w:rsidRPr="0020371D">
        <w:rPr>
          <w:b/>
        </w:rPr>
        <w:t>ReportConfig</w:t>
      </w:r>
      <w:proofErr w:type="spellEnd"/>
      <w:r w:rsidRPr="0020371D">
        <w:rPr>
          <w:b/>
        </w:rPr>
        <w:t xml:space="preserve">. </w:t>
      </w:r>
    </w:p>
    <w:p w14:paraId="56097320" w14:textId="43927502" w:rsidR="00EA5B4E" w:rsidRPr="0020371D" w:rsidRDefault="00EA5B4E" w:rsidP="001669B4">
      <w:pPr>
        <w:jc w:val="both"/>
        <w:rPr>
          <w:b/>
        </w:rPr>
      </w:pPr>
      <w:r>
        <w:fldChar w:fldCharType="end"/>
      </w:r>
      <w:r>
        <w:fldChar w:fldCharType="begin"/>
      </w:r>
      <w:r>
        <w:instrText xml:space="preserve"> REF pro7 \h </w:instrText>
      </w:r>
      <w:r>
        <w:fldChar w:fldCharType="separate"/>
      </w:r>
      <w:r w:rsidRPr="0020371D">
        <w:rPr>
          <w:b/>
        </w:rPr>
        <w:t xml:space="preserve">Proposal </w:t>
      </w:r>
      <w:r w:rsidRPr="0020371D">
        <w:rPr>
          <w:rFonts w:cs="Calibri"/>
          <w:b/>
          <w:bCs/>
          <w:noProof/>
        </w:rPr>
        <w:t>7</w:t>
      </w:r>
      <w:r w:rsidRPr="0020371D">
        <w:rPr>
          <w:b/>
        </w:rPr>
        <w:t>: RAN2 agree that it is not necessary to define initial status for semi- persistent /aperiodic CSI report is determined with the applicability of the corresponding of CSI-</w:t>
      </w:r>
      <w:proofErr w:type="spellStart"/>
      <w:r w:rsidRPr="0020371D">
        <w:rPr>
          <w:b/>
        </w:rPr>
        <w:t>ReportConfig</w:t>
      </w:r>
      <w:proofErr w:type="spellEnd"/>
      <w:r w:rsidRPr="0020371D">
        <w:rPr>
          <w:b/>
        </w:rPr>
        <w:t xml:space="preserve">. </w:t>
      </w:r>
    </w:p>
    <w:p w14:paraId="4592A254" w14:textId="256A3BBF" w:rsidR="00EA5B4E" w:rsidRPr="0020371D" w:rsidRDefault="00EA5B4E" w:rsidP="001669B4">
      <w:pPr>
        <w:jc w:val="both"/>
        <w:rPr>
          <w:b/>
        </w:rPr>
      </w:pPr>
      <w:r>
        <w:fldChar w:fldCharType="end"/>
      </w:r>
      <w:r>
        <w:fldChar w:fldCharType="begin"/>
      </w:r>
      <w:r>
        <w:instrText xml:space="preserve"> REF pro8 \h </w:instrText>
      </w:r>
      <w:r>
        <w:fldChar w:fldCharType="separate"/>
      </w:r>
      <w:r w:rsidRPr="0020371D">
        <w:rPr>
          <w:b/>
        </w:rPr>
        <w:t xml:space="preserve">Proposal </w:t>
      </w:r>
      <w:r w:rsidRPr="0020371D">
        <w:rPr>
          <w:rFonts w:cs="Calibri"/>
          <w:b/>
          <w:bCs/>
          <w:noProof/>
        </w:rPr>
        <w:t>8</w:t>
      </w:r>
      <w:r w:rsidRPr="0020371D">
        <w:rPr>
          <w:b/>
        </w:rPr>
        <w:t>: RAN2 agree to support one same format (CSI-</w:t>
      </w:r>
      <w:proofErr w:type="spellStart"/>
      <w:r w:rsidRPr="0020371D">
        <w:rPr>
          <w:b/>
        </w:rPr>
        <w:t>ReportConfig</w:t>
      </w:r>
      <w:proofErr w:type="spellEnd"/>
      <w:r w:rsidRPr="0020371D">
        <w:rPr>
          <w:b/>
        </w:rPr>
        <w:t>) to support both Option A</w:t>
      </w:r>
      <w:r>
        <w:rPr>
          <w:b/>
        </w:rPr>
        <w:t xml:space="preserve"> (i.e., Full CSI-</w:t>
      </w:r>
      <w:proofErr w:type="spellStart"/>
      <w:r>
        <w:rPr>
          <w:b/>
        </w:rPr>
        <w:t>ReportConfig</w:t>
      </w:r>
      <w:proofErr w:type="spellEnd"/>
      <w:r>
        <w:rPr>
          <w:b/>
        </w:rPr>
        <w:t>)</w:t>
      </w:r>
      <w:r w:rsidRPr="0020371D">
        <w:rPr>
          <w:b/>
        </w:rPr>
        <w:t xml:space="preserve"> and Option B</w:t>
      </w:r>
      <w:r>
        <w:rPr>
          <w:b/>
        </w:rPr>
        <w:t xml:space="preserve"> (i.e., Partial CSI-</w:t>
      </w:r>
      <w:proofErr w:type="spellStart"/>
      <w:r>
        <w:rPr>
          <w:b/>
        </w:rPr>
        <w:t>ReportConfig</w:t>
      </w:r>
      <w:proofErr w:type="spellEnd"/>
      <w:r>
        <w:rPr>
          <w:b/>
        </w:rPr>
        <w:t>)</w:t>
      </w:r>
      <w:r w:rsidRPr="0020371D">
        <w:rPr>
          <w:b/>
        </w:rPr>
        <w:t xml:space="preserve">. </w:t>
      </w:r>
    </w:p>
    <w:p w14:paraId="053BC92C" w14:textId="61A14286" w:rsidR="00EA5B4E" w:rsidRPr="0020371D" w:rsidRDefault="00EA5B4E" w:rsidP="001669B4">
      <w:pPr>
        <w:jc w:val="both"/>
        <w:rPr>
          <w:b/>
        </w:rPr>
      </w:pPr>
      <w:r>
        <w:fldChar w:fldCharType="end"/>
      </w:r>
      <w:r>
        <w:fldChar w:fldCharType="begin"/>
      </w:r>
      <w:r>
        <w:instrText xml:space="preserve"> REF pro9 \h </w:instrText>
      </w:r>
      <w:r>
        <w:fldChar w:fldCharType="separate"/>
      </w:r>
      <w:r w:rsidRPr="0020371D">
        <w:rPr>
          <w:b/>
        </w:rPr>
        <w:t xml:space="preserve">Proposal </w:t>
      </w:r>
      <w:r w:rsidRPr="0020371D">
        <w:rPr>
          <w:rFonts w:cs="Calibri"/>
          <w:b/>
          <w:bCs/>
          <w:noProof/>
        </w:rPr>
        <w:t>9</w:t>
      </w:r>
      <w:r w:rsidRPr="0020371D">
        <w:rPr>
          <w:b/>
        </w:rPr>
        <w:t xml:space="preserve">: RAN2 agree that UE can provide preferred </w:t>
      </w:r>
      <w:r>
        <w:rPr>
          <w:b/>
        </w:rPr>
        <w:t>data collection</w:t>
      </w:r>
      <w:r w:rsidRPr="0020371D">
        <w:rPr>
          <w:b/>
        </w:rPr>
        <w:t xml:space="preserve"> configuration in Data collection request and wait for RAN1 to decide detailed resource configuration format. </w:t>
      </w:r>
    </w:p>
    <w:p w14:paraId="34177B67" w14:textId="03E5F111" w:rsidR="00EA5B4E" w:rsidRPr="0020371D" w:rsidRDefault="00EA5B4E" w:rsidP="001669B4">
      <w:pPr>
        <w:jc w:val="both"/>
        <w:rPr>
          <w:b/>
        </w:rPr>
      </w:pPr>
      <w:r>
        <w:fldChar w:fldCharType="end"/>
      </w:r>
      <w:r>
        <w:fldChar w:fldCharType="begin"/>
      </w:r>
      <w:r>
        <w:instrText xml:space="preserve"> REF pro10 \h </w:instrText>
      </w:r>
      <w:r>
        <w:fldChar w:fldCharType="separate"/>
      </w:r>
      <w:r w:rsidRPr="0020371D">
        <w:rPr>
          <w:b/>
        </w:rPr>
        <w:t xml:space="preserve">Proposal </w:t>
      </w:r>
      <w:r w:rsidRPr="0020371D">
        <w:rPr>
          <w:rFonts w:cs="Calibri"/>
          <w:b/>
          <w:bCs/>
          <w:noProof/>
        </w:rPr>
        <w:t>10</w:t>
      </w:r>
      <w:r w:rsidRPr="0020371D">
        <w:rPr>
          <w:b/>
        </w:rPr>
        <w:t xml:space="preserve">: RAN2 agree that UE can provide preferred time duration until when resource configuration should be required. </w:t>
      </w:r>
    </w:p>
    <w:p w14:paraId="228B6352" w14:textId="586DFC6E" w:rsidR="00EA5B4E" w:rsidRPr="0020371D" w:rsidRDefault="00EA5B4E" w:rsidP="001669B4">
      <w:pPr>
        <w:jc w:val="both"/>
        <w:rPr>
          <w:b/>
        </w:rPr>
      </w:pPr>
      <w:r>
        <w:fldChar w:fldCharType="end"/>
      </w:r>
      <w:r>
        <w:fldChar w:fldCharType="begin"/>
      </w:r>
      <w:r>
        <w:instrText xml:space="preserve"> REF pro11 \h </w:instrText>
      </w:r>
      <w:r>
        <w:fldChar w:fldCharType="separate"/>
      </w:r>
      <w:r w:rsidRPr="0020371D">
        <w:rPr>
          <w:b/>
        </w:rPr>
        <w:t xml:space="preserve">Proposal </w:t>
      </w:r>
      <w:r w:rsidRPr="0020371D">
        <w:rPr>
          <w:rFonts w:cs="Calibri"/>
          <w:b/>
          <w:bCs/>
          <w:noProof/>
        </w:rPr>
        <w:t>11</w:t>
      </w:r>
      <w:r w:rsidRPr="0020371D">
        <w:rPr>
          <w:b/>
        </w:rPr>
        <w:t xml:space="preserve">: RAN2 agree that UE can indicate stop/release data collection configuration and it is up to </w:t>
      </w:r>
      <w:proofErr w:type="spellStart"/>
      <w:r w:rsidRPr="0020371D">
        <w:rPr>
          <w:b/>
        </w:rPr>
        <w:t>gNB</w:t>
      </w:r>
      <w:proofErr w:type="spellEnd"/>
      <w:r w:rsidRPr="0020371D">
        <w:rPr>
          <w:b/>
        </w:rPr>
        <w:t xml:space="preserve"> whether </w:t>
      </w:r>
      <w:proofErr w:type="spellStart"/>
      <w:r w:rsidRPr="0020371D">
        <w:rPr>
          <w:b/>
        </w:rPr>
        <w:t>gNB</w:t>
      </w:r>
      <w:proofErr w:type="spellEnd"/>
      <w:r w:rsidRPr="0020371D">
        <w:rPr>
          <w:b/>
        </w:rPr>
        <w:t xml:space="preserve"> respond </w:t>
      </w:r>
      <w:r>
        <w:rPr>
          <w:b/>
        </w:rPr>
        <w:t xml:space="preserve">to </w:t>
      </w:r>
      <w:r w:rsidRPr="0020371D">
        <w:rPr>
          <w:b/>
        </w:rPr>
        <w:t xml:space="preserve">UE’s indication. </w:t>
      </w:r>
    </w:p>
    <w:p w14:paraId="50EAAC8D" w14:textId="55EA79AF" w:rsidR="00EA5B4E" w:rsidRDefault="00EA5B4E" w:rsidP="001669B4">
      <w:pPr>
        <w:jc w:val="both"/>
        <w:rPr>
          <w:b/>
        </w:rPr>
      </w:pPr>
      <w:r>
        <w:fldChar w:fldCharType="end"/>
      </w:r>
      <w:r>
        <w:fldChar w:fldCharType="begin"/>
      </w:r>
      <w:r>
        <w:instrText xml:space="preserve"> REF pro12 \h </w:instrText>
      </w:r>
      <w:r>
        <w:fldChar w:fldCharType="separate"/>
      </w:r>
      <w:r w:rsidRPr="0020371D">
        <w:rPr>
          <w:b/>
        </w:rPr>
        <w:t xml:space="preserve">Proposal </w:t>
      </w:r>
      <w:r>
        <w:rPr>
          <w:rFonts w:cs="Calibri"/>
          <w:b/>
          <w:bCs/>
          <w:noProof/>
        </w:rPr>
        <w:t>12</w:t>
      </w:r>
      <w:r w:rsidRPr="0020371D">
        <w:rPr>
          <w:b/>
        </w:rPr>
        <w:t>:</w:t>
      </w:r>
      <w:r>
        <w:rPr>
          <w:b/>
        </w:rPr>
        <w:t xml:space="preserve"> RAN2 agree that UE indication for stop/release can be indicated in UAI or RRC reconfiguration complete message. </w:t>
      </w:r>
    </w:p>
    <w:p w14:paraId="02493559" w14:textId="1D63529D" w:rsidR="00751490" w:rsidRDefault="00EA5B4E" w:rsidP="001669B4">
      <w:pPr>
        <w:jc w:val="both"/>
      </w:pPr>
      <w:r>
        <w:fldChar w:fldCharType="end"/>
      </w:r>
    </w:p>
    <w:p w14:paraId="174EC042" w14:textId="2C34A288" w:rsidR="00751490" w:rsidRDefault="00751490" w:rsidP="001669B4">
      <w:pPr>
        <w:pStyle w:val="Heading1"/>
        <w:numPr>
          <w:ilvl w:val="0"/>
          <w:numId w:val="1"/>
        </w:numPr>
        <w:jc w:val="both"/>
      </w:pPr>
      <w:r>
        <w:t>Reference</w:t>
      </w:r>
    </w:p>
    <w:p w14:paraId="5C5A853A" w14:textId="255C6B68" w:rsidR="00751490" w:rsidRPr="008E3952" w:rsidRDefault="00751490" w:rsidP="001669B4">
      <w:pPr>
        <w:jc w:val="both"/>
      </w:pPr>
      <w:r>
        <w:t>[1]</w:t>
      </w:r>
      <w:r w:rsidRPr="00751490">
        <w:t xml:space="preserve"> R2-2500011</w:t>
      </w:r>
      <w:r>
        <w:t xml:space="preserve">, </w:t>
      </w:r>
      <w:r w:rsidRPr="00751490">
        <w:t>Reply LS on applicable functionality reporting for beam management UE-sided model</w:t>
      </w:r>
      <w:r>
        <w:t>, RAN1</w:t>
      </w:r>
      <w:r w:rsidRPr="00751490">
        <w:t xml:space="preserve"> </w:t>
      </w:r>
    </w:p>
    <w:p w14:paraId="3B18EB05" w14:textId="77777777" w:rsidR="0020371D" w:rsidRDefault="0020371D" w:rsidP="001669B4">
      <w:pPr>
        <w:jc w:val="both"/>
      </w:pPr>
    </w:p>
    <w:sectPr w:rsidR="0020371D">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DB7EA" w16cex:dateUtc="2025-02-05T01:11:00Z"/>
  <w16cex:commentExtensible w16cex:durableId="2B4E032C" w16cex:dateUtc="2025-02-05T06:33:00Z"/>
  <w16cex:commentExtensible w16cex:durableId="2B4DC093" w16cex:dateUtc="2025-02-05T01:48:00Z"/>
  <w16cex:commentExtensible w16cex:durableId="2B4E017B" w16cex:dateUtc="2025-02-05T06:25:00Z"/>
  <w16cex:commentExtensible w16cex:durableId="2B4DC66A" w16cex:dateUtc="2025-02-05T02:13:00Z"/>
  <w16cex:commentExtensible w16cex:durableId="2B4E027F" w16cex:dateUtc="2025-02-05T06:30:00Z"/>
  <w16cex:commentExtensible w16cex:durableId="2B4DCA21" w16cex:dateUtc="2025-02-05T02:29:00Z"/>
  <w16cex:commentExtensible w16cex:durableId="2B4DCA6A" w16cex:dateUtc="2025-02-05T02:30:00Z"/>
  <w16cex:commentExtensible w16cex:durableId="2B4DCD48" w16cex:dateUtc="2025-02-05T02:43:00Z"/>
  <w16cex:commentExtensible w16cex:durableId="2B4E0505" w16cex:dateUtc="2025-02-05T06:40:00Z"/>
  <w16cex:commentExtensible w16cex:durableId="2B4DB404" w16cex:dateUtc="2025-02-05T00: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27873" w14:textId="77777777" w:rsidR="00504E01" w:rsidRDefault="00504E01" w:rsidP="00B56AD6">
      <w:pPr>
        <w:spacing w:after="0" w:line="240" w:lineRule="auto"/>
      </w:pPr>
      <w:r>
        <w:separator/>
      </w:r>
    </w:p>
  </w:endnote>
  <w:endnote w:type="continuationSeparator" w:id="0">
    <w:p w14:paraId="2B549626" w14:textId="77777777" w:rsidR="00504E01" w:rsidRDefault="00504E01" w:rsidP="00B56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65478" w14:textId="77777777" w:rsidR="00504E01" w:rsidRDefault="00504E01" w:rsidP="00B56AD6">
      <w:pPr>
        <w:spacing w:after="0" w:line="240" w:lineRule="auto"/>
      </w:pPr>
      <w:r>
        <w:separator/>
      </w:r>
    </w:p>
  </w:footnote>
  <w:footnote w:type="continuationSeparator" w:id="0">
    <w:p w14:paraId="686B455F" w14:textId="77777777" w:rsidR="00504E01" w:rsidRDefault="00504E01" w:rsidP="00B56A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6646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DD60E6"/>
    <w:multiLevelType w:val="multilevel"/>
    <w:tmpl w:val="21E00896"/>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792" w:hanging="432"/>
      </w:pPr>
      <w:rPr>
        <w:rFonts w:ascii="Calibri" w:eastAsiaTheme="minorEastAsia" w:hAnsi="Calibri" w:cs="Calibri"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6E26B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2340C6"/>
    <w:multiLevelType w:val="multilevel"/>
    <w:tmpl w:val="41D4B1A2"/>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792" w:hanging="432"/>
      </w:pPr>
      <w:rPr>
        <w:rFonts w:ascii="Calibri" w:eastAsiaTheme="minorEastAsia" w:hAnsi="Calibri" w:cs="Calibri" w:hint="default"/>
      </w:r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B4550C"/>
    <w:multiLevelType w:val="multilevel"/>
    <w:tmpl w:val="32B4550C"/>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2"/>
      <w:numFmt w:val="bullet"/>
      <w:lvlText w:val="・"/>
      <w:lvlJc w:val="left"/>
      <w:pPr>
        <w:ind w:left="1200" w:hanging="400"/>
      </w:pPr>
      <w:rPr>
        <w:rFonts w:ascii="MS Mincho" w:eastAsia="MS Mincho" w:hAnsi="MS Mincho" w:cs="Times New Roman" w:hint="eastAsia"/>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3FC63E45"/>
    <w:multiLevelType w:val="multilevel"/>
    <w:tmpl w:val="41D4B1A2"/>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792" w:hanging="432"/>
      </w:pPr>
      <w:rPr>
        <w:rFonts w:ascii="Calibri" w:eastAsiaTheme="minorEastAsia" w:hAnsi="Calibri" w:cs="Calibri" w:hint="default"/>
      </w:r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1B542CC"/>
    <w:multiLevelType w:val="multilevel"/>
    <w:tmpl w:val="AB02DC1E"/>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2DC02D8"/>
    <w:multiLevelType w:val="hybridMultilevel"/>
    <w:tmpl w:val="33687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4820BF"/>
    <w:multiLevelType w:val="hybridMultilevel"/>
    <w:tmpl w:val="16F89A44"/>
    <w:lvl w:ilvl="0" w:tplc="9BD494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2D55BD5"/>
    <w:multiLevelType w:val="multilevel"/>
    <w:tmpl w:val="62D55B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6"/>
  </w:num>
  <w:num w:numId="3">
    <w:abstractNumId w:val="1"/>
  </w:num>
  <w:num w:numId="4">
    <w:abstractNumId w:val="5"/>
  </w:num>
  <w:num w:numId="5">
    <w:abstractNumId w:val="3"/>
  </w:num>
  <w:num w:numId="6">
    <w:abstractNumId w:val="11"/>
  </w:num>
  <w:num w:numId="7">
    <w:abstractNumId w:val="8"/>
  </w:num>
  <w:num w:numId="8">
    <w:abstractNumId w:val="9"/>
  </w:num>
  <w:num w:numId="9">
    <w:abstractNumId w:val="0"/>
  </w:num>
  <w:num w:numId="10">
    <w:abstractNumId w:val="7"/>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FEE"/>
    <w:rsid w:val="00034ACE"/>
    <w:rsid w:val="00130D35"/>
    <w:rsid w:val="001669B4"/>
    <w:rsid w:val="00196B65"/>
    <w:rsid w:val="001A7543"/>
    <w:rsid w:val="001B6D3D"/>
    <w:rsid w:val="001D48E7"/>
    <w:rsid w:val="001D662A"/>
    <w:rsid w:val="0020371D"/>
    <w:rsid w:val="002627C9"/>
    <w:rsid w:val="0026526B"/>
    <w:rsid w:val="002817FE"/>
    <w:rsid w:val="002F00F1"/>
    <w:rsid w:val="0032285A"/>
    <w:rsid w:val="003932BD"/>
    <w:rsid w:val="003D2315"/>
    <w:rsid w:val="003D7871"/>
    <w:rsid w:val="0044199B"/>
    <w:rsid w:val="004522EC"/>
    <w:rsid w:val="004523F3"/>
    <w:rsid w:val="00486C09"/>
    <w:rsid w:val="004C5437"/>
    <w:rsid w:val="00504E01"/>
    <w:rsid w:val="00512829"/>
    <w:rsid w:val="005A28F0"/>
    <w:rsid w:val="005B626D"/>
    <w:rsid w:val="005F5E85"/>
    <w:rsid w:val="006841D3"/>
    <w:rsid w:val="00706833"/>
    <w:rsid w:val="007166E2"/>
    <w:rsid w:val="00751490"/>
    <w:rsid w:val="00773821"/>
    <w:rsid w:val="00774476"/>
    <w:rsid w:val="00785BC9"/>
    <w:rsid w:val="007C58B8"/>
    <w:rsid w:val="007E101E"/>
    <w:rsid w:val="007E6EC6"/>
    <w:rsid w:val="0082461E"/>
    <w:rsid w:val="00844735"/>
    <w:rsid w:val="00883023"/>
    <w:rsid w:val="008C4710"/>
    <w:rsid w:val="008E3952"/>
    <w:rsid w:val="00945D0C"/>
    <w:rsid w:val="0096005A"/>
    <w:rsid w:val="009602EA"/>
    <w:rsid w:val="00992643"/>
    <w:rsid w:val="009B4502"/>
    <w:rsid w:val="00A164A2"/>
    <w:rsid w:val="00A30492"/>
    <w:rsid w:val="00A4457E"/>
    <w:rsid w:val="00AA0FC4"/>
    <w:rsid w:val="00B03C55"/>
    <w:rsid w:val="00B56AD6"/>
    <w:rsid w:val="00B968A2"/>
    <w:rsid w:val="00BB13D4"/>
    <w:rsid w:val="00CB604B"/>
    <w:rsid w:val="00D470B2"/>
    <w:rsid w:val="00D4768B"/>
    <w:rsid w:val="00DE4F4B"/>
    <w:rsid w:val="00E77BFC"/>
    <w:rsid w:val="00EA5B4E"/>
    <w:rsid w:val="00EB69D6"/>
    <w:rsid w:val="00EE64D8"/>
    <w:rsid w:val="00EF3FEE"/>
    <w:rsid w:val="00F35BDD"/>
    <w:rsid w:val="00F54F8F"/>
    <w:rsid w:val="00F922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88C19"/>
  <w15:chartTrackingRefBased/>
  <w15:docId w15:val="{24B2D8DA-0B2A-4F89-8C96-D703FE073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3FE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3FEE"/>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EF3FEE"/>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774476"/>
    <w:pPr>
      <w:spacing w:after="0" w:line="240" w:lineRule="auto"/>
      <w:ind w:left="720"/>
    </w:pPr>
    <w:rPr>
      <w:rFonts w:ascii="Calibri" w:eastAsia="Calibri" w:hAnsi="Calibri" w:cs="Calibri"/>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74476"/>
    <w:rPr>
      <w:rFonts w:ascii="Calibri" w:eastAsia="Calibri" w:hAnsi="Calibri" w:cs="Calibri"/>
      <w:lang w:eastAsia="en-US"/>
    </w:rPr>
  </w:style>
  <w:style w:type="table" w:styleId="TableGrid">
    <w:name w:val="Table Grid"/>
    <w:basedOn w:val="TableNormal"/>
    <w:uiPriority w:val="39"/>
    <w:rsid w:val="00EE64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F5E85"/>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5F5E85"/>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B56AD6"/>
    <w:pPr>
      <w:tabs>
        <w:tab w:val="center" w:pos="4513"/>
        <w:tab w:val="right" w:pos="9026"/>
      </w:tabs>
      <w:snapToGrid w:val="0"/>
    </w:pPr>
  </w:style>
  <w:style w:type="character" w:customStyle="1" w:styleId="HeaderChar">
    <w:name w:val="Header Char"/>
    <w:basedOn w:val="DefaultParagraphFont"/>
    <w:link w:val="Header"/>
    <w:uiPriority w:val="99"/>
    <w:rsid w:val="00B56AD6"/>
  </w:style>
  <w:style w:type="paragraph" w:styleId="Footer">
    <w:name w:val="footer"/>
    <w:basedOn w:val="Normal"/>
    <w:link w:val="FooterChar"/>
    <w:uiPriority w:val="99"/>
    <w:unhideWhenUsed/>
    <w:rsid w:val="00B56AD6"/>
    <w:pPr>
      <w:tabs>
        <w:tab w:val="center" w:pos="4513"/>
        <w:tab w:val="right" w:pos="9026"/>
      </w:tabs>
      <w:snapToGrid w:val="0"/>
    </w:pPr>
  </w:style>
  <w:style w:type="character" w:customStyle="1" w:styleId="FooterChar">
    <w:name w:val="Footer Char"/>
    <w:basedOn w:val="DefaultParagraphFont"/>
    <w:link w:val="Footer"/>
    <w:uiPriority w:val="99"/>
    <w:rsid w:val="00B56AD6"/>
  </w:style>
  <w:style w:type="character" w:styleId="CommentReference">
    <w:name w:val="annotation reference"/>
    <w:basedOn w:val="DefaultParagraphFont"/>
    <w:uiPriority w:val="99"/>
    <w:semiHidden/>
    <w:unhideWhenUsed/>
    <w:rsid w:val="001D48E7"/>
    <w:rPr>
      <w:sz w:val="18"/>
      <w:szCs w:val="18"/>
    </w:rPr>
  </w:style>
  <w:style w:type="paragraph" w:styleId="CommentText">
    <w:name w:val="annotation text"/>
    <w:basedOn w:val="Normal"/>
    <w:link w:val="CommentTextChar"/>
    <w:uiPriority w:val="99"/>
    <w:semiHidden/>
    <w:unhideWhenUsed/>
    <w:rsid w:val="001D48E7"/>
  </w:style>
  <w:style w:type="character" w:customStyle="1" w:styleId="CommentTextChar">
    <w:name w:val="Comment Text Char"/>
    <w:basedOn w:val="DefaultParagraphFont"/>
    <w:link w:val="CommentText"/>
    <w:uiPriority w:val="99"/>
    <w:semiHidden/>
    <w:rsid w:val="001D48E7"/>
  </w:style>
  <w:style w:type="paragraph" w:styleId="CommentSubject">
    <w:name w:val="annotation subject"/>
    <w:basedOn w:val="CommentText"/>
    <w:next w:val="CommentText"/>
    <w:link w:val="CommentSubjectChar"/>
    <w:uiPriority w:val="99"/>
    <w:semiHidden/>
    <w:unhideWhenUsed/>
    <w:rsid w:val="001D48E7"/>
    <w:rPr>
      <w:b/>
      <w:bCs/>
    </w:rPr>
  </w:style>
  <w:style w:type="character" w:customStyle="1" w:styleId="CommentSubjectChar">
    <w:name w:val="Comment Subject Char"/>
    <w:basedOn w:val="CommentTextChar"/>
    <w:link w:val="CommentSubject"/>
    <w:uiPriority w:val="99"/>
    <w:semiHidden/>
    <w:rsid w:val="001D48E7"/>
    <w:rPr>
      <w:b/>
      <w:bCs/>
    </w:rPr>
  </w:style>
  <w:style w:type="paragraph" w:styleId="BalloonText">
    <w:name w:val="Balloon Text"/>
    <w:basedOn w:val="Normal"/>
    <w:link w:val="BalloonTextChar"/>
    <w:uiPriority w:val="99"/>
    <w:semiHidden/>
    <w:unhideWhenUsed/>
    <w:rsid w:val="00B968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8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E1963-A51A-4DD7-86C7-A2082FAFD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2209</Words>
  <Characters>12596</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Samsung_yh2</dc:creator>
  <cp:keywords/>
  <dc:description/>
  <cp:lastModifiedBy>Samsung_yh2</cp:lastModifiedBy>
  <cp:revision>8</cp:revision>
  <dcterms:created xsi:type="dcterms:W3CDTF">2025-02-07T00:16:00Z</dcterms:created>
  <dcterms:modified xsi:type="dcterms:W3CDTF">2025-02-07T03:33:00Z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