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media/image1.png" ContentType="image/png"/>
  <Override PartName="/word/document.xml" ContentType="application/vnd.openxmlformats-officedocument.wordprocessingml.document.main+xml"/>
  <Override PartName="/_rels/.rels" ContentType="application/vnd.openxmlformats-package.relationships+xml"/>
  <Override PartName="/customXml/item1.xml" ContentType="application/xml"/>
  <Override PartName="/customXml/itemProps5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_rels/item5.xml.rels" ContentType="application/vnd.openxmlformats-package.relationships+xml"/>
  <Override PartName="/customXml/_rels/item2.xml.rels" ContentType="application/vnd.openxmlformats-package.relationship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  <Override PartName="/customXml/item5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tabs>
          <w:tab w:val="clear" w:pos="284"/>
          <w:tab w:val="right" w:pos="9639" w:leader="none"/>
        </w:tabs>
        <w:rPr>
          <w:bCs/>
          <w:i/>
          <w:i/>
          <w:sz w:val="24"/>
          <w:szCs w:val="24"/>
        </w:rPr>
      </w:pPr>
      <w:r>
        <w:rPr>
          <w:bCs/>
          <w:sz w:val="24"/>
          <w:szCs w:val="24"/>
        </w:rPr>
        <w:t>3GPP TSG-RAN WG2 Meeting #126</w:t>
        <w:tab/>
        <w:t>R2_2405553</w:t>
      </w:r>
    </w:p>
    <w:p>
      <w:pPr>
        <w:pStyle w:val="Header"/>
        <w:tabs>
          <w:tab w:val="clear" w:pos="284"/>
          <w:tab w:val="right" w:pos="9639" w:leader="none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Fukuoka City, Fukuoka , JP , 20 May – 24 May 2024</w:t>
      </w:r>
      <w:r>
        <w:rPr>
          <w:rFonts w:eastAsia="SimSun"/>
          <w:sz w:val="24"/>
          <w:szCs w:val="24"/>
          <w:lang w:eastAsia="zh-CN"/>
        </w:rPr>
        <w:tab/>
      </w:r>
    </w:p>
    <w:p>
      <w:pPr>
        <w:pStyle w:val="Header"/>
        <w:rPr>
          <w:bCs/>
          <w:sz w:val="24"/>
        </w:rPr>
      </w:pPr>
      <w:r>
        <w:rPr>
          <w:bCs/>
          <w:sz w:val="24"/>
        </w:rPr>
      </w:r>
    </w:p>
    <w:p>
      <w:pPr>
        <w:pStyle w:val="Header"/>
        <w:rPr>
          <w:bCs/>
          <w:sz w:val="24"/>
        </w:rPr>
      </w:pPr>
      <w:r>
        <w:rPr>
          <w:bCs/>
          <w:sz w:val="24"/>
        </w:rPr>
      </w:r>
    </w:p>
    <w:p>
      <w:pPr>
        <w:pStyle w:val="CRCoverPage"/>
        <w:tabs>
          <w:tab w:val="clear" w:pos="284"/>
          <w:tab w:val="left" w:pos="1985" w:leader="none"/>
        </w:tabs>
        <w:rPr>
          <w:rFonts w:cs="Arial"/>
          <w:b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  <w:tab/>
        <w:t>8.6.2</w:t>
      </w:r>
    </w:p>
    <w:p>
      <w:pPr>
        <w:pStyle w:val="Normal"/>
        <w:tabs>
          <w:tab w:val="clear" w:pos="284"/>
          <w:tab w:val="left" w:pos="1985" w:leader="none"/>
        </w:tabs>
        <w:ind w:left="1985" w:hanging="1985"/>
        <w:rPr>
          <w:rFonts w:ascii="Arial" w:hAnsi="Arial" w:cs="Arial"/>
          <w:b/>
          <w:b/>
          <w:bCs/>
          <w:sz w:val="24"/>
        </w:rPr>
      </w:pPr>
      <w:r>
        <w:rPr>
          <w:rFonts w:cs="Arial" w:ascii="Arial" w:hAnsi="Arial"/>
          <w:b/>
          <w:bCs/>
          <w:sz w:val="24"/>
        </w:rPr>
        <w:t>Source:</w:t>
        <w:tab/>
        <w:t>CEWiT</w:t>
      </w:r>
    </w:p>
    <w:p>
      <w:pPr>
        <w:pStyle w:val="Normal"/>
        <w:ind w:left="1985" w:hanging="1985"/>
        <w:rPr>
          <w:rFonts w:ascii="Arial" w:hAnsi="Arial" w:cs="Arial"/>
          <w:b/>
          <w:b/>
          <w:bCs/>
          <w:sz w:val="24"/>
        </w:rPr>
      </w:pPr>
      <w:r>
        <w:rPr>
          <w:rFonts w:cs="Arial" w:ascii="Arial" w:hAnsi="Arial"/>
          <w:b/>
          <w:bCs/>
          <w:sz w:val="24"/>
        </w:rPr>
        <w:t>Title:</w:t>
        <w:tab/>
        <w:t>LTM enhancements for Inter-CU mobility</w:t>
      </w:r>
    </w:p>
    <w:p>
      <w:pPr>
        <w:pStyle w:val="Normal"/>
        <w:ind w:left="1985" w:hanging="1985"/>
        <w:rPr>
          <w:rFonts w:ascii="Arial" w:hAnsi="Arial" w:cs="Arial"/>
          <w:b/>
          <w:b/>
          <w:bCs/>
          <w:sz w:val="24"/>
        </w:rPr>
      </w:pPr>
      <w:r>
        <w:rPr>
          <w:rFonts w:cs="Arial" w:ascii="Arial" w:hAnsi="Arial"/>
          <w:b/>
          <w:bCs/>
          <w:sz w:val="24"/>
        </w:rPr>
        <w:t>WID/SID:</w:t>
        <w:tab/>
      </w:r>
      <w:r>
        <w:rPr>
          <w:rFonts w:eastAsia="Malgun Gothic" w:cs="Arial" w:ascii="Arial" w:hAnsi="Arial"/>
          <w:b/>
          <w:bCs/>
          <w:sz w:val="24"/>
          <w:lang w:val="en-US"/>
        </w:rPr>
        <w:t>NR_Mob_Ph4-Core</w:t>
      </w:r>
      <w:r>
        <w:rPr>
          <w:rFonts w:cs="Arial" w:ascii="Arial" w:hAnsi="Arial"/>
          <w:b/>
          <w:bCs/>
          <w:sz w:val="24"/>
        </w:rPr>
        <w:t>;- Release 19</w:t>
      </w:r>
    </w:p>
    <w:p>
      <w:pPr>
        <w:pStyle w:val="Normal"/>
        <w:tabs>
          <w:tab w:val="clear" w:pos="284"/>
          <w:tab w:val="left" w:pos="1985" w:leader="none"/>
        </w:tabs>
        <w:rPr>
          <w:rFonts w:ascii="Arial" w:hAnsi="Arial" w:cs="Arial"/>
          <w:b/>
          <w:b/>
          <w:bCs/>
          <w:sz w:val="24"/>
        </w:rPr>
      </w:pPr>
      <w:r>
        <w:rPr>
          <w:rFonts w:cs="Arial" w:ascii="Arial" w:hAnsi="Arial"/>
          <w:b/>
          <w:bCs/>
          <w:sz w:val="24"/>
        </w:rPr>
        <w:t>Document for:</w:t>
        <w:tab/>
        <w:t>Discussion and Decision</w:t>
      </w:r>
    </w:p>
    <w:p>
      <w:pPr>
        <w:pStyle w:val="Heading1"/>
        <w:numPr>
          <w:ilvl w:val="0"/>
          <w:numId w:val="1"/>
        </w:numPr>
        <w:rPr/>
      </w:pPr>
      <w:r>
        <w:rPr/>
        <w:t>Introduction</w:t>
      </w:r>
    </w:p>
    <w:p>
      <w:pPr>
        <w:pStyle w:val="Normal"/>
        <w:rPr/>
      </w:pPr>
      <w:r>
        <w:rPr/>
        <w:t>According to the agreements in [3]:</w:t>
      </w:r>
    </w:p>
    <w:tbl>
      <w:tblPr>
        <w:tblStyle w:val="TableGrid"/>
        <w:tblW w:w="9581" w:type="dxa"/>
        <w:jc w:val="left"/>
        <w:tblInd w:w="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581"/>
      </w:tblGrid>
      <w:tr>
        <w:trPr/>
        <w:tc>
          <w:tcPr>
            <w:tcW w:w="9581" w:type="dxa"/>
            <w:tcBorders/>
          </w:tcPr>
          <w:p>
            <w:pPr>
              <w:pStyle w:val="Doctext2"/>
              <w:widowControl w:val="false"/>
              <w:numPr>
                <w:ilvl w:val="0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en-GB" w:bidi="ar-SA"/>
              </w:rPr>
              <w:t>RAN2 first focus on inter-CU LTM in NR standalone scenario and use it as baseline for supporting inter-CU LTM in NR-DC scenarios.</w:t>
            </w:r>
          </w:p>
          <w:p>
            <w:pPr>
              <w:pStyle w:val="Doctext2"/>
              <w:widowControl w:val="false"/>
              <w:numPr>
                <w:ilvl w:val="0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en-GB" w:bidi="ar-SA"/>
              </w:rPr>
              <w:t>Rel-19 inter-CU LTM also supports mixture of subsequent inter-CU LTM and subsequent intra-CU LTM after an inter-CU or intra-CU LTM switch.</w:t>
            </w:r>
          </w:p>
          <w:p>
            <w:pPr>
              <w:pStyle w:val="Doctext2"/>
              <w:widowControl w:val="false"/>
              <w:numPr>
                <w:ilvl w:val="0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en-GB" w:bidi="ar-SA"/>
              </w:rPr>
              <w:t>UE can be configured with a mixture of intra-CU and inter-CU candidate LTM cells and irrespective of how the UE is configured with this mixture, UE measurement and reporting procedures will be the same for both intra-CU and inter-CU candidate LTM cells.</w:t>
            </w:r>
          </w:p>
          <w:p>
            <w:pPr>
              <w:pStyle w:val="Doctext2"/>
              <w:widowControl w:val="false"/>
              <w:numPr>
                <w:ilvl w:val="0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en-GB" w:bidi="ar-SA"/>
              </w:rPr>
              <w:t>Mobility latency analysis of rel-18 intra-CU LTM is reused for Rel-19 inter-CU LTM.</w:t>
            </w:r>
          </w:p>
          <w:p>
            <w:pPr>
              <w:pStyle w:val="Doctext2"/>
              <w:widowControl w:val="false"/>
              <w:numPr>
                <w:ilvl w:val="0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en-GB" w:bidi="ar-SA"/>
              </w:rPr>
              <w:t>Early DL and UL sync is also supported for inter-CU LTM.  Inform RAN3 of this. Early DL sync using CSI-RS should be considered, pending RAN1 approval.</w:t>
            </w:r>
          </w:p>
          <w:p>
            <w:pPr>
              <w:pStyle w:val="Doctext2"/>
              <w:widowControl w:val="false"/>
              <w:numPr>
                <w:ilvl w:val="0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en-GB" w:bidi="ar-SA"/>
              </w:rPr>
              <w:t>PDCCH ordered early RACH is supported for inter-CU LTM.</w:t>
            </w:r>
          </w:p>
          <w:p>
            <w:pPr>
              <w:pStyle w:val="Doctext2"/>
              <w:widowControl w:val="false"/>
              <w:numPr>
                <w:ilvl w:val="0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en-US" w:bidi="ar-SA"/>
              </w:rPr>
              <w:t xml:space="preserve">For early TA acquisition, 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en-GB" w:bidi="ar-SA"/>
              </w:rPr>
              <w:t>Rel-18 option is baseline. FFS for RAR based option.</w:t>
            </w:r>
          </w:p>
          <w:p>
            <w:pPr>
              <w:pStyle w:val="Doctext2"/>
              <w:widowControl w:val="false"/>
              <w:numPr>
                <w:ilvl w:val="0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en-GB" w:bidi="ar-SA"/>
              </w:rPr>
              <w:t>Upon inter-CU LTM execution, UE performs</w:t>
            </w:r>
          </w:p>
          <w:p>
            <w:pPr>
              <w:pStyle w:val="Doctext2"/>
              <w:widowControl w:val="false"/>
              <w:numPr>
                <w:ilvl w:val="1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en-US" w:bidi="ar-SA"/>
              </w:rPr>
              <w:t>MAC reset</w:t>
            </w:r>
          </w:p>
          <w:p>
            <w:pPr>
              <w:pStyle w:val="Doctext2"/>
              <w:widowControl w:val="false"/>
              <w:numPr>
                <w:ilvl w:val="1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en-US" w:bidi="ar-SA"/>
              </w:rPr>
              <w:t>RLC re-establishment</w:t>
            </w:r>
          </w:p>
          <w:p>
            <w:pPr>
              <w:pStyle w:val="Doctext2"/>
              <w:widowControl w:val="false"/>
              <w:numPr>
                <w:ilvl w:val="1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en-US" w:bidi="ar-SA"/>
              </w:rPr>
              <w:t>PDCP re-establishment</w:t>
            </w:r>
          </w:p>
          <w:p>
            <w:pPr>
              <w:pStyle w:val="Doctext2"/>
              <w:widowControl w:val="false"/>
              <w:numPr>
                <w:ilvl w:val="1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en-US" w:bidi="ar-SA"/>
              </w:rPr>
              <w:t>Security key update</w:t>
            </w:r>
          </w:p>
          <w:p>
            <w:pPr>
              <w:pStyle w:val="Doctext2"/>
              <w:widowControl w:val="false"/>
              <w:numPr>
                <w:ilvl w:val="1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en-US" w:bidi="ar-SA"/>
              </w:rPr>
              <w:t xml:space="preserve">FFS if there is an inter-CU LTM w/o security key change. </w:t>
            </w:r>
          </w:p>
          <w:p>
            <w:pPr>
              <w:pStyle w:val="Doctext2"/>
              <w:widowControl w:val="false"/>
              <w:numPr>
                <w:ilvl w:val="0"/>
                <w:numId w:val="2"/>
              </w:num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uppressAutoHyphens w:val="true"/>
              <w:spacing w:before="0" w:after="0"/>
              <w:jc w:val="left"/>
              <w:rPr>
                <w:lang w:val="en-US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en-US" w:bidi="ar-SA"/>
              </w:rPr>
              <w:t>L1 LTM measurement event configuration is associated with L1 measurement resource configuration provided in LTM configuration via RRC signaling.</w:t>
            </w:r>
          </w:p>
        </w:tc>
      </w:tr>
    </w:tbl>
    <w:p>
      <w:pPr>
        <w:pStyle w:val="Normal"/>
        <w:ind w:right="200" w:hanging="0"/>
        <w:rPr/>
      </w:pPr>
      <w:r>
        <w:rPr>
          <w:rFonts w:eastAsia="PMingLiU"/>
        </w:rPr>
        <w:br/>
      </w:r>
    </w:p>
    <w:p>
      <w:pPr>
        <w:pStyle w:val="Heading1"/>
        <w:rPr/>
      </w:pPr>
      <w:r>
        <w:rPr/>
        <w:t>2</w:t>
        <w:tab/>
        <w:t>Inter-CU LTM</w:t>
      </w:r>
    </w:p>
    <w:p>
      <w:pPr>
        <w:pStyle w:val="Heading2"/>
        <w:rPr/>
      </w:pPr>
      <w:r>
        <w:rPr/>
        <w:t>2.1</w:t>
        <w:tab/>
        <w:t>NR-DC</w:t>
      </w:r>
    </w:p>
    <w:p>
      <w:pPr>
        <w:pStyle w:val="Normal"/>
        <w:jc w:val="both"/>
        <w:rPr/>
      </w:pPr>
      <w:r>
        <w:rPr/>
        <w:t>In #125bis, the agreement was that LTM will not simultaneously configured in both MCG and SCG.</w:t>
      </w:r>
    </w:p>
    <w:p>
      <w:pPr>
        <w:pStyle w:val="Normal"/>
        <w:jc w:val="both"/>
        <w:rPr/>
      </w:pPr>
      <w:r>
        <w:rPr/>
        <w:t>MCG and SCG configuration might be different after every inter-CU HO. Moreover, LTM support might be different in new MN and SN. To aid this, we must send the details in RRC Reconfiguration.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eastAsia="en-GB"/>
        </w:rPr>
        <w:t>Proposal 1:</w:t>
      </w:r>
      <w:r>
        <w:rPr>
          <w:lang w:eastAsia="en-GB"/>
        </w:rPr>
        <w:t xml:space="preserve"> Cell group configuration of each candidate cell to be sent in the RRC Reconfiguration</w:t>
      </w:r>
    </w:p>
    <w:p>
      <w:pPr>
        <w:pStyle w:val="Normal"/>
        <w:jc w:val="both"/>
        <w:rPr>
          <w:lang w:eastAsia="en-GB"/>
        </w:rPr>
      </w:pPr>
      <w:r>
        <w:rPr>
          <w:lang w:eastAsia="en-GB"/>
        </w:rPr>
      </w:r>
    </w:p>
    <w:p>
      <w:pPr>
        <w:pStyle w:val="Normal"/>
        <w:jc w:val="both"/>
        <w:rPr>
          <w:lang w:eastAsia="en-GB"/>
        </w:rPr>
      </w:pPr>
      <w:r>
        <w:rPr>
          <w:lang w:eastAsia="en-GB"/>
        </w:rPr>
      </w:r>
    </w:p>
    <w:p>
      <w:pPr>
        <w:pStyle w:val="Heading2"/>
        <w:rPr/>
      </w:pPr>
      <w:r>
        <w:rPr/>
        <w:t>2.2</w:t>
        <w:tab/>
        <w:t>Inter-CU and Intra-CU coexistence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eastAsia="en-GB"/>
        </w:rPr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val="en-US" w:eastAsia="en-GB"/>
        </w:rPr>
        <w:t xml:space="preserve">Proposal  2 : </w:t>
      </w:r>
      <w:r>
        <w:rPr>
          <w:lang w:val="en-US" w:eastAsia="en-GB"/>
        </w:rPr>
        <w:t>Rel-19 UE, if configured for Rel-19 LTM, must support inter-CU and intra-CU LTM HO.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val="en-US" w:eastAsia="en-GB"/>
        </w:rPr>
        <w:t xml:space="preserve">Proposal  3 : </w:t>
      </w:r>
      <w:r>
        <w:rPr>
          <w:lang w:val="en-US" w:eastAsia="en-GB"/>
        </w:rPr>
        <w:t xml:space="preserve">Any Rel-19 Configuration should support Inter-CU HO and Intra-CU HO. 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lang w:val="en-US" w:eastAsia="en-GB"/>
        </w:rPr>
        <w:t>To aid Proposal 2, for both AS key derivation as well as random access, the configurations must invariably support inter-CU and intra-CU HO.</w:t>
      </w:r>
    </w:p>
    <w:p>
      <w:pPr>
        <w:pStyle w:val="Normal"/>
        <w:jc w:val="both"/>
        <w:rPr>
          <w:u w:val="single"/>
        </w:rPr>
      </w:pPr>
      <w:r>
        <w:rPr>
          <w:b/>
          <w:bCs/>
          <w:u w:val="single"/>
          <w:lang w:val="en-US"/>
        </w:rPr>
        <w:t>Key derivation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lang w:val="en-US"/>
        </w:rPr>
        <w:t>The K-gNB derivation must be based on what SA3 decides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lang w:val="en-US"/>
        </w:rPr>
        <w:t>Option 1 - configured keys by 5G AMF, and cell switch command MAC CE to contain the index.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lang w:val="en-US"/>
        </w:rPr>
        <w:t>Option 2 - incremental NCC value</w:t>
      </w:r>
    </w:p>
    <w:p>
      <w:pPr>
        <w:pStyle w:val="Normal"/>
        <w:jc w:val="both"/>
        <w:rPr>
          <w:lang w:val="en-US"/>
        </w:rPr>
      </w:pPr>
      <w:r>
        <w:rPr>
          <w:lang w:val="en-US"/>
        </w:rPr>
        <w:t>RAN is assumed to be kept in loop during the process.</w:t>
      </w:r>
    </w:p>
    <w:p>
      <w:pPr>
        <w:pStyle w:val="Heading2"/>
        <w:ind w:left="1134" w:hanging="0"/>
        <w:jc w:val="both"/>
        <w:rPr>
          <w:b/>
          <w:b/>
          <w:bCs/>
          <w:lang w:val="en-US"/>
        </w:rPr>
      </w:pPr>
      <w:r>
        <w:rPr>
          <w:lang w:val="en-US"/>
        </w:rPr>
        <w:t>2.3 Subsequent LTM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/>
          <w:bCs/>
          <w:lang w:val="en-US"/>
        </w:rPr>
        <w:t xml:space="preserve">Proposal </w:t>
      </w:r>
      <w:r>
        <w:rPr>
          <w:lang w:val="en-US"/>
        </w:rPr>
        <w:t xml:space="preserve"> </w:t>
      </w:r>
      <w:r>
        <w:rPr>
          <w:b/>
          <w:bCs/>
          <w:lang w:val="en-US"/>
        </w:rPr>
        <w:t>4:</w:t>
      </w:r>
      <w:r>
        <w:rPr>
          <w:lang w:val="en-US"/>
        </w:rPr>
        <w:t xml:space="preserve"> The candidate cell configuration could be per CU Identity, instead of having a unique ID across the cells. 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lang w:val="en-US"/>
        </w:rPr>
        <w:t xml:space="preserve">This will aid easier subsequent LTM and legacy key derivation and also RAR based-RACH decision. 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/>
          <w:bCs/>
          <w:lang w:val="en-US"/>
        </w:rPr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lang w:val="en-US"/>
        </w:rPr>
        <w:t>In case of intra-CU HO, it is not required to change the security key. If UE can differentiate between intra-CU and inter-CU HO, the keys will be a efficiently used. We will discuss RAR-based RACH option in Section 2.4.</w:t>
      </w:r>
    </w:p>
    <w:p>
      <w:pPr>
        <w:pStyle w:val="Heading2"/>
        <w:ind w:left="1134" w:hanging="0"/>
        <w:jc w:val="both"/>
        <w:rPr/>
      </w:pPr>
      <w:r>
        <w:rPr>
          <w:lang w:val="en-US"/>
        </w:rPr>
        <w:t>2.4 Random access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lang w:val="en-US"/>
        </w:rPr>
        <w:t>As agreed in 125bis meeting, PDCCH ordered RACH is supported for inter-CU LTM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lang w:val="en-US"/>
        </w:rPr>
        <w:t xml:space="preserve">During early TA acquisition, in Rel-18, UE does not expect RAR. It will wait for TA value to come in MAC CE. However, in Rel-19, since the inter-node interaction time would be higher, it is beneficial if UE could get an RAR directly from the candidate cells. 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val="en-US" w:eastAsia="en-GB"/>
        </w:rPr>
        <w:t xml:space="preserve">Proposal  5: </w:t>
      </w:r>
      <w:r>
        <w:rPr>
          <w:lang w:val="en-US" w:eastAsia="en-GB"/>
        </w:rPr>
        <w:t>Early-TA acquisition must have an option where candidates could send RAR directly to the UE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val="en-US" w:eastAsia="en-GB"/>
        </w:rPr>
        <w:t xml:space="preserve">Proposal  6: </w:t>
      </w:r>
      <w:r>
        <w:rPr>
          <w:lang w:val="en-US" w:eastAsia="en-GB"/>
        </w:rPr>
        <w:t>For Intra-CU HO, TA acquisition would happen without RAR, as in Rel-18. For inter-CU, it may or may not come as a part of MAC-CE.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eastAsia="en-GB"/>
        </w:rPr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/>
          <w:bCs/>
          <w:lang w:val="en-US"/>
        </w:rPr>
        <w:t xml:space="preserve">Proposal 7: </w:t>
      </w:r>
      <w:r>
        <w:rPr>
          <w:lang w:val="en-US"/>
        </w:rPr>
        <w:t>UE must be informed whether to wait for RAR or not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lang w:val="en-US"/>
        </w:rPr>
        <w:t>Option 1 : RRC Reconfiguration must contain this information per candidate cell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lang w:val="en-US"/>
        </w:rPr>
        <w:t>Option 2 : Based on CU identity per candidate cell as per Proposal 4, UE would understand whether to wait for RAR or not.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lang w:val="en-US" w:eastAsia="en-GB"/>
        </w:rPr>
        <w:t>In case of Inter-CU HO, if TA value is not obtained even after MAC-CE is received, UE will have to do a RACH based HO.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/>
          <w:bCs/>
          <w:lang w:val="en-US"/>
        </w:rPr>
      </w:r>
    </w:p>
    <w:p>
      <w:pPr>
        <w:pStyle w:val="Heading2"/>
        <w:ind w:left="1134" w:hanging="0"/>
        <w:rPr>
          <w:b/>
          <w:b/>
          <w:bCs/>
          <w:lang w:val="en-US"/>
        </w:rPr>
      </w:pPr>
      <w:r>
        <w:rPr/>
        <w:t>2.6 Latency Model</w:t>
      </w:r>
    </w:p>
    <w:p>
      <w:pPr>
        <w:pStyle w:val="Normal"/>
        <w:rPr>
          <w:lang w:val="en-US"/>
        </w:rPr>
      </w:pPr>
      <w:r>
        <w:rPr>
          <w:lang w:val="en-US"/>
        </w:rPr>
        <w:t>Rel-18 latency model stays as the baseline</w:t>
      </w:r>
    </w:p>
    <w:p>
      <w:pPr>
        <w:pStyle w:val="Normal"/>
        <w:rPr>
          <w:b/>
          <w:b/>
          <w:bCs/>
          <w:lang w:val="en-US"/>
        </w:rPr>
      </w:pPr>
      <w:r>
        <w:rPr>
          <w:b/>
          <w:bCs/>
        </w:rPr>
        <w:t xml:space="preserve">Proposal  8: </w:t>
      </w:r>
      <w:r>
        <w:rPr/>
        <w:t xml:space="preserve">The latency model components shall be similar to Rel-18 LTM with additional latency for inter-node interaction in preparation and execution phase. FFS exact figures. </w:t>
      </w:r>
    </w:p>
    <w:p>
      <w:pPr>
        <w:pStyle w:val="Normal"/>
        <w:rPr>
          <w:lang w:val="en-US"/>
        </w:rPr>
      </w:pPr>
      <w:r>
        <w:rPr>
          <w:lang w:val="en-US"/>
        </w:rPr>
        <w:t xml:space="preserve">More time would be taken for candidate cell preparation and also for early TA acquisition (in case of without RAR option). Acceptable ranges to be arrived at [RAN 4]. 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/>
          <w:bCs/>
          <w:lang w:val="en-US"/>
        </w:rPr>
      </w:r>
    </w:p>
    <w:p>
      <w:pPr>
        <w:pStyle w:val="Heading2"/>
        <w:rPr>
          <w:b/>
          <w:b/>
          <w:bCs/>
          <w:lang w:val="en-US"/>
        </w:rPr>
      </w:pPr>
      <w:r>
        <w:rPr/>
        <w:t>2.7 Stage-2 Flow Diagram</w:t>
      </w:r>
    </w:p>
    <w:p>
      <w:pPr>
        <w:pStyle w:val="Normal"/>
        <w:rPr>
          <w:b/>
          <w:b/>
          <w:bCs/>
          <w:lang w:val="en-US"/>
        </w:rPr>
      </w:pPr>
      <w:r>
        <w:rPr>
          <w:b/>
          <w:bCs/>
          <w:lang w:val="en-US"/>
        </w:rPr>
      </w:r>
    </w:p>
    <w:p>
      <w:pPr>
        <w:pStyle w:val="Normal"/>
        <w:rPr>
          <w:b/>
          <w:b/>
          <w:bCs/>
          <w:lang w:val="en-US"/>
        </w:rPr>
      </w:pPr>
      <w:r>
        <w:rPr>
          <w:b/>
          <w:bCs/>
          <w:lang w:val="en-US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1400" cy="7278370"/>
            <wp:effectExtent l="0" t="0" r="0" b="0"/>
            <wp:wrapSquare wrapText="largest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rPr>
          <w:lang w:val="en-US"/>
        </w:rPr>
      </w:pPr>
      <w:r>
        <w:rPr>
          <w:lang w:val="en-US"/>
        </w:rPr>
      </w:r>
    </w:p>
    <w:p>
      <w:pPr>
        <w:pStyle w:val="Heading1"/>
        <w:rPr/>
      </w:pPr>
      <w:r>
        <w:rPr/>
        <w:t>3</w:t>
        <w:tab/>
        <w:t>Conclusion</w:t>
      </w:r>
    </w:p>
    <w:p>
      <w:pPr>
        <w:pStyle w:val="Normal"/>
        <w:rPr/>
      </w:pPr>
      <w:r>
        <w:rPr/>
        <w:t>This document has made the following proposals: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eastAsia="en-GB"/>
        </w:rPr>
        <w:t>Proposal 1:</w:t>
      </w:r>
      <w:r>
        <w:rPr>
          <w:lang w:eastAsia="en-GB"/>
        </w:rPr>
        <w:t xml:space="preserve"> Cell group configuration of each candidate cell to be sent in the RRC Reconfiguration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val="en-US" w:eastAsia="en-GB"/>
        </w:rPr>
        <w:t xml:space="preserve">Proposal  2 : </w:t>
      </w:r>
      <w:r>
        <w:rPr>
          <w:lang w:val="en-US" w:eastAsia="en-GB"/>
        </w:rPr>
        <w:t>Rel-19 UE, if configured for Rel-19 LTM, must support inter-CU and intra-CU LTM HO.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val="en-US" w:eastAsia="en-GB"/>
        </w:rPr>
        <w:t xml:space="preserve">Proposal  3 : </w:t>
      </w:r>
      <w:r>
        <w:rPr>
          <w:lang w:val="en-US" w:eastAsia="en-GB"/>
        </w:rPr>
        <w:t xml:space="preserve">Any Rel-19 Configuration should support Inter-CU HO and Intra-CU HO. 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/>
          <w:bCs/>
          <w:lang w:val="en-US" w:eastAsia="en-GB"/>
        </w:rPr>
        <w:t xml:space="preserve">Proposal </w:t>
      </w:r>
      <w:r>
        <w:rPr>
          <w:lang w:val="en-US" w:eastAsia="en-GB"/>
        </w:rPr>
        <w:t xml:space="preserve"> </w:t>
      </w:r>
      <w:r>
        <w:rPr>
          <w:b/>
          <w:bCs/>
          <w:lang w:val="en-US" w:eastAsia="en-GB"/>
        </w:rPr>
        <w:t>4:</w:t>
      </w:r>
      <w:r>
        <w:rPr>
          <w:lang w:val="en-US" w:eastAsia="en-GB"/>
        </w:rPr>
        <w:t xml:space="preserve"> The candidate cell configuration could be per CU Identity, instead of having a unique ID across the cells. 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val="en-US" w:eastAsia="en-GB"/>
        </w:rPr>
        <w:t xml:space="preserve">Proposal  5: </w:t>
      </w:r>
      <w:r>
        <w:rPr>
          <w:lang w:val="en-US" w:eastAsia="en-GB"/>
        </w:rPr>
        <w:t>Early-TA acquisition can have an option where candidates could send RAR directly to the UE</w:t>
      </w:r>
    </w:p>
    <w:p>
      <w:pPr>
        <w:pStyle w:val="Normal"/>
        <w:jc w:val="both"/>
        <w:rPr>
          <w:b/>
          <w:b/>
          <w:bCs/>
          <w:lang w:eastAsia="en-GB"/>
        </w:rPr>
      </w:pPr>
      <w:r>
        <w:rPr>
          <w:b/>
          <w:bCs/>
          <w:lang w:val="en-US" w:eastAsia="en-GB"/>
        </w:rPr>
        <w:t xml:space="preserve">Proposal  6: </w:t>
      </w:r>
      <w:r>
        <w:rPr>
          <w:lang w:val="en-US" w:eastAsia="en-GB"/>
        </w:rPr>
        <w:t>For Intra-CU HO, TA acquisition would happen without RAR, as in Rel-18. For inter-CU, it may or may not come as a part of MAC-CE.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b/>
          <w:bCs/>
          <w:lang w:val="en-US"/>
        </w:rPr>
        <w:t xml:space="preserve">Proposal 7: </w:t>
      </w:r>
      <w:r>
        <w:rPr>
          <w:lang w:val="en-US"/>
        </w:rPr>
        <w:t>UE must be informed whether to wait for RAR or not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lang w:val="en-US"/>
        </w:rPr>
        <w:t>Option 1 : RRC Reconfiguration must contain this information per candidate cell</w:t>
      </w:r>
    </w:p>
    <w:p>
      <w:pPr>
        <w:pStyle w:val="Normal"/>
        <w:jc w:val="both"/>
        <w:rPr>
          <w:b/>
          <w:b/>
          <w:bCs/>
          <w:lang w:val="en-US"/>
        </w:rPr>
      </w:pPr>
      <w:r>
        <w:rPr>
          <w:lang w:val="en-US"/>
        </w:rPr>
        <w:t>Option 2 : Based on CU identity per candidate cell as per Proposal 4, UE would understand whether to wait for RAR or not.</w:t>
      </w:r>
    </w:p>
    <w:p>
      <w:pPr>
        <w:pStyle w:val="Normal"/>
        <w:rPr>
          <w:b/>
          <w:b/>
          <w:bCs/>
          <w:lang w:val="en-US"/>
        </w:rPr>
      </w:pPr>
      <w:r>
        <w:rPr>
          <w:b/>
          <w:bCs/>
        </w:rPr>
        <w:t xml:space="preserve">Proposal  8: </w:t>
      </w:r>
      <w:r>
        <w:rPr/>
        <w:t xml:space="preserve">The latency model components shall be similar to Rel-18 LTM with </w:t>
      </w:r>
      <w:r>
        <w:rPr>
          <w:b/>
          <w:bCs/>
          <w:lang w:val="en-US" w:eastAsia="en-GB"/>
        </w:rPr>
        <w:t>a</w:t>
      </w:r>
      <w:r>
        <w:rPr>
          <w:lang w:val="en-US" w:eastAsia="en-GB"/>
        </w:rPr>
        <w:t xml:space="preserve">dditional latency for inter-node interaction in preparation and execution phase. FFS exact figures. </w:t>
      </w:r>
    </w:p>
    <w:p>
      <w:pPr>
        <w:pStyle w:val="Heading1"/>
        <w:rPr/>
      </w:pPr>
      <w:r>
        <w:rPr/>
        <w:t>References</w:t>
      </w:r>
    </w:p>
    <w:p>
      <w:pPr>
        <w:pStyle w:val="Normal"/>
        <w:rPr/>
      </w:pPr>
      <w:r>
        <w:rPr/>
        <w:t>[1] Revised Work Item: NR mobility enhancements Phase 4. RP-240299, Apple Inc, China Telecom</w:t>
      </w:r>
    </w:p>
    <w:p>
      <w:pPr>
        <w:pStyle w:val="Normal"/>
        <w:rPr/>
      </w:pPr>
      <w:r>
        <w:rPr/>
        <w:t>[2] LTM enhancements for Inter-CU mobility, R2_2403238, CEWiT</w:t>
      </w:r>
    </w:p>
    <w:p>
      <w:pPr>
        <w:pStyle w:val="Normal"/>
        <w:rPr/>
      </w:pPr>
      <w:r>
        <w:rPr/>
        <w:t>[3] Report from session on V2X/SL, R19 NES and MOB, 3GPP TSG-RAN WG2 Meeting #125bis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suppressAutoHyphens w:val="true"/>
        <w:bidi w:val="0"/>
        <w:spacing w:before="0" w:after="180"/>
        <w:jc w:val="left"/>
        <w:rPr/>
      </w:pPr>
      <w:r>
        <w:rPr/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133" w:right="1133" w:gutter="0" w:header="850" w:top="1416" w:footer="340" w:bottom="1133"/>
      <w:pgNumType w:fmt="decimal"/>
      <w:formProt w:val="false"/>
      <w:textDirection w:val="lrTb"/>
      <w:docGrid w:type="default" w:linePitch="10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Helvetica">
    <w:altName w:val="Arial"/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2"/>
    <w:family w:val="auto"/>
    <w:pitch w:val="default"/>
  </w:font>
  <w:font w:name="Calibri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1490" w:hanging="113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"/>
      <w:lvlJc w:val="left"/>
      <w:pPr>
        <w:tabs>
          <w:tab w:val="num" w:pos="0"/>
        </w:tabs>
        <w:ind w:left="480" w:hanging="480"/>
      </w:pPr>
      <w:rPr>
        <w:rFonts w:ascii="Wingdings" w:hAnsi="Wingdings" w:cs="Wingdings" w:hint="default"/>
      </w:rPr>
    </w:lvl>
    <w:lvl w:ilvl="1">
      <w:start w:val="0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Calibri" w:hAnsi="Calibri" w:cs="Calibri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4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92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0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84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320" w:hanging="48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embedSystemFonts/>
  <w:defaultTabStop w:val="284"/>
  <w:autoHyphenation w:val="true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en-GB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18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Heading1">
    <w:name w:val="Heading 1"/>
    <w:next w:val="Normal"/>
    <w:qFormat/>
    <w:pPr>
      <w:keepNext w:val="true"/>
      <w:keepLines/>
      <w:widowControl/>
      <w:pBdr>
        <w:top w:val="single" w:sz="12" w:space="3" w:color="000000"/>
      </w:pBdr>
      <w:suppressAutoHyphens w:val="true"/>
      <w:bidi w:val="0"/>
      <w:spacing w:before="240" w:after="180"/>
      <w:ind w:left="1134" w:hanging="1134"/>
      <w:jc w:val="left"/>
      <w:outlineLvl w:val="0"/>
    </w:pPr>
    <w:rPr>
      <w:rFonts w:ascii="Arial" w:hAnsi="Arial" w:eastAsia="Times New Roman" w:cs="Times New Roman"/>
      <w:color w:val="auto"/>
      <w:kern w:val="0"/>
      <w:sz w:val="36"/>
      <w:szCs w:val="20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il"/>
      </w:pBdr>
      <w:spacing w:before="180" w:after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 w:after="18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/>
  </w:style>
  <w:style w:type="paragraph" w:styleId="Heading7">
    <w:name w:val="Heading 7"/>
    <w:basedOn w:val="H6"/>
    <w:next w:val="Normal"/>
    <w:qFormat/>
    <w:pPr>
      <w:outlineLvl w:val="6"/>
    </w:pPr>
    <w:rPr/>
  </w:style>
  <w:style w:type="paragraph" w:styleId="Heading8">
    <w:name w:val="Heading 8"/>
    <w:basedOn w:val="Heading1"/>
    <w:next w:val="Normal"/>
    <w:qFormat/>
    <w:pPr>
      <w:ind w:left="0" w:hanging="0"/>
      <w:outlineLvl w:val="7"/>
    </w:pPr>
    <w:rPr/>
  </w:style>
  <w:style w:type="paragraph" w:styleId="Heading9">
    <w:name w:val="Heading 9"/>
    <w:basedOn w:val="Heading8"/>
    <w:next w:val="Normal"/>
    <w:qFormat/>
    <w:pPr>
      <w:outlineLvl w:val="8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GSM" w:customStyle="1">
    <w:name w:val="ZGSM"/>
    <w:qFormat/>
    <w:rPr/>
  </w:style>
  <w:style w:type="character" w:styleId="HeaderChar" w:customStyle="1">
    <w:name w:val="Header Char"/>
    <w:link w:val="Header"/>
    <w:qFormat/>
    <w:rsid w:val="00cd4c7b"/>
    <w:rPr>
      <w:rFonts w:ascii="Arial" w:hAnsi="Arial"/>
      <w:b/>
      <w:sz w:val="18"/>
      <w:lang w:val="en-GB" w:eastAsia="ja-JP" w:bidi="ar-SA"/>
    </w:rPr>
  </w:style>
  <w:style w:type="character" w:styleId="InternetLink">
    <w:name w:val="Hyperlink"/>
    <w:rsid w:val="0056573f"/>
    <w:rPr>
      <w:color w:val="0000FF"/>
      <w:u w:val="single"/>
    </w:rPr>
  </w:style>
  <w:style w:type="character" w:styleId="DocumentMapChar" w:customStyle="1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character" w:styleId="BalloonTextChar" w:customStyle="1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qFormat/>
    <w:rsid w:val="00de25d2"/>
    <w:rPr>
      <w:color w:val="605E5C"/>
      <w:shd w:fill="E1DFDD" w:val="clear"/>
    </w:rPr>
  </w:style>
  <w:style w:type="character" w:styleId="BodyTextChar" w:customStyle="1">
    <w:name w:val="Body Text Char"/>
    <w:basedOn w:val="DefaultParagraphFont"/>
    <w:qFormat/>
    <w:rsid w:val="008e6930"/>
    <w:rPr>
      <w:rFonts w:eastAsia="MS Mincho"/>
      <w:sz w:val="24"/>
      <w:lang w:eastAsia="en-US"/>
    </w:rPr>
  </w:style>
  <w:style w:type="character" w:styleId="ListParagraphChar" w:customStyle="1">
    <w:name w:val="List Paragraph Char"/>
    <w:basedOn w:val="DefaultParagraphFont"/>
    <w:link w:val="ListParagraph"/>
    <w:uiPriority w:val="34"/>
    <w:qFormat/>
    <w:locked/>
    <w:rsid w:val="008e6930"/>
    <w:rPr>
      <w:lang w:eastAsia="en-US"/>
    </w:rPr>
  </w:style>
  <w:style w:type="character" w:styleId="Heading2Char" w:customStyle="1">
    <w:name w:val="Heading 2 Char"/>
    <w:basedOn w:val="DefaultParagraphFont"/>
    <w:link w:val="Heading2"/>
    <w:qFormat/>
    <w:rsid w:val="008e6930"/>
    <w:rPr>
      <w:rFonts w:ascii="Arial" w:hAnsi="Arial"/>
      <w:sz w:val="32"/>
      <w:lang w:eastAsia="en-US"/>
    </w:rPr>
  </w:style>
  <w:style w:type="character" w:styleId="Annotationreference">
    <w:name w:val="annotation reference"/>
    <w:basedOn w:val="DefaultParagraphFont"/>
    <w:uiPriority w:val="99"/>
    <w:qFormat/>
    <w:rsid w:val="008e6930"/>
    <w:rPr>
      <w:sz w:val="16"/>
      <w:szCs w:val="16"/>
    </w:rPr>
  </w:style>
  <w:style w:type="character" w:styleId="CommentTextChar" w:customStyle="1">
    <w:name w:val="Comment Text Char"/>
    <w:basedOn w:val="DefaultParagraphFont"/>
    <w:link w:val="Annotationtext"/>
    <w:uiPriority w:val="99"/>
    <w:qFormat/>
    <w:rsid w:val="008e6930"/>
    <w:rPr>
      <w:lang w:eastAsia="en-US"/>
    </w:rPr>
  </w:style>
  <w:style w:type="character" w:styleId="CommentSubjectChar" w:customStyle="1">
    <w:name w:val="Comment Subject Char"/>
    <w:basedOn w:val="CommentTextChar"/>
    <w:link w:val="Annotationsubject"/>
    <w:qFormat/>
    <w:rsid w:val="008e6930"/>
    <w:rPr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qFormat/>
    <w:rsid w:val="008e6930"/>
    <w:rPr>
      <w:color w:val="2B579A"/>
      <w:shd w:fill="E1DFDD" w:val="clear"/>
    </w:rPr>
  </w:style>
  <w:style w:type="character" w:styleId="Normaltextrun" w:customStyle="1">
    <w:name w:val="normaltextrun"/>
    <w:basedOn w:val="DefaultParagraphFont"/>
    <w:qFormat/>
    <w:rsid w:val="00473466"/>
    <w:rPr/>
  </w:style>
  <w:style w:type="character" w:styleId="FootnoteCharacters" w:customStyle="1">
    <w:name w:val="Footnote Characters"/>
    <w:qFormat/>
    <w:rPr/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NumberingSymbols" w:customStyle="1">
    <w:name w:val="Numbering Symbols"/>
    <w:qFormat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link w:val="BodyTextChar"/>
    <w:unhideWhenUsed/>
    <w:qFormat/>
    <w:rsid w:val="008e6930"/>
    <w:pPr>
      <w:widowControl w:val="false"/>
      <w:spacing w:lineRule="auto" w:line="252" w:before="0" w:after="120"/>
      <w:jc w:val="both"/>
    </w:pPr>
    <w:rPr>
      <w:rFonts w:eastAsia="MS Mincho"/>
      <w:sz w:val="24"/>
    </w:rPr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ohit Devanagari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H6" w:customStyle="1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ntents9">
    <w:name w:val="TOC 9"/>
    <w:basedOn w:val="Contents8"/>
    <w:semiHidden/>
    <w:pPr>
      <w:ind w:left="1418" w:hanging="1418"/>
    </w:pPr>
    <w:rPr/>
  </w:style>
  <w:style w:type="paragraph" w:styleId="Contents8">
    <w:name w:val="TOC 8"/>
    <w:basedOn w:val="Contents1"/>
    <w:semiHidden/>
    <w:pPr>
      <w:spacing w:before="180" w:after="180"/>
      <w:ind w:left="2693" w:hanging="2693"/>
    </w:pPr>
    <w:rPr>
      <w:b/>
    </w:rPr>
  </w:style>
  <w:style w:type="paragraph" w:styleId="Contents1">
    <w:name w:val="TOC 1"/>
    <w:semiHidden/>
    <w:pPr>
      <w:keepNext w:val="true"/>
      <w:keepLines/>
      <w:widowControl w:val="false"/>
      <w:tabs>
        <w:tab w:val="clear" w:pos="284"/>
        <w:tab w:val="right" w:pos="9639" w:leader="dot"/>
      </w:tabs>
      <w:suppressAutoHyphens w:val="true"/>
      <w:bidi w:val="0"/>
      <w:spacing w:before="120" w:after="0"/>
      <w:ind w:left="567" w:right="425" w:hanging="567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en-GB" w:eastAsia="en-US" w:bidi="ar-SA"/>
    </w:rPr>
  </w:style>
  <w:style w:type="paragraph" w:styleId="EQ" w:customStyle="1">
    <w:name w:val="EQ"/>
    <w:basedOn w:val="Normal"/>
    <w:next w:val="Normal"/>
    <w:qFormat/>
    <w:pPr>
      <w:keepLines/>
      <w:tabs>
        <w:tab w:val="clear" w:pos="284"/>
        <w:tab w:val="center" w:pos="4536" w:leader="none"/>
        <w:tab w:val="right" w:pos="9072" w:leader="none"/>
      </w:tabs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link w:val="HeaderChar"/>
    <w:pPr>
      <w:widowControl w:val="false"/>
      <w:suppressAutoHyphens w:val="true"/>
      <w:overflowPunct w:val="false"/>
      <w:bidi w:val="0"/>
      <w:spacing w:before="0" w:after="0"/>
      <w:jc w:val="left"/>
      <w:textAlignment w:val="baseline"/>
    </w:pPr>
    <w:rPr>
      <w:rFonts w:ascii="Arial" w:hAnsi="Arial" w:eastAsia="Times New Roman" w:cs="Times New Roman"/>
      <w:b/>
      <w:color w:val="auto"/>
      <w:kern w:val="0"/>
      <w:sz w:val="18"/>
      <w:szCs w:val="20"/>
      <w:lang w:val="en-GB" w:eastAsia="ja-JP" w:bidi="ar-SA"/>
    </w:rPr>
  </w:style>
  <w:style w:type="paragraph" w:styleId="ZD" w:customStyle="1">
    <w:name w:val="ZD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en-GB" w:eastAsia="en-US" w:bidi="ar-SA"/>
    </w:rPr>
  </w:style>
  <w:style w:type="paragraph" w:styleId="Contents5">
    <w:name w:val="TOC 5"/>
    <w:basedOn w:val="Contents4"/>
    <w:semiHidden/>
    <w:pPr>
      <w:ind w:left="1701" w:hanging="1701"/>
    </w:pPr>
    <w:rPr/>
  </w:style>
  <w:style w:type="paragraph" w:styleId="Contents4">
    <w:name w:val="TOC 4"/>
    <w:basedOn w:val="Contents3"/>
    <w:semiHidden/>
    <w:pPr>
      <w:ind w:left="1418" w:hanging="1418"/>
    </w:pPr>
    <w:rPr/>
  </w:style>
  <w:style w:type="paragraph" w:styleId="Contents3">
    <w:name w:val="TOC 3"/>
    <w:basedOn w:val="Contents2"/>
    <w:semiHidden/>
    <w:pPr>
      <w:ind w:left="1134" w:hanging="1134"/>
    </w:pPr>
    <w:rPr/>
  </w:style>
  <w:style w:type="paragraph" w:styleId="Contents2">
    <w:name w:val="TOC 2"/>
    <w:basedOn w:val="Contents1"/>
    <w:semiHidden/>
    <w:pPr>
      <w:keepNext w:val="false"/>
      <w:spacing w:before="0" w:after="0"/>
      <w:ind w:left="851" w:right="425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T" w:customStyle="1">
    <w:name w:val="TT"/>
    <w:basedOn w:val="Heading1"/>
    <w:next w:val="Normal"/>
    <w:qFormat/>
    <w:pPr>
      <w:outlineLvl w:val="9"/>
    </w:pPr>
    <w:rPr/>
  </w:style>
  <w:style w:type="paragraph" w:styleId="NF" w:customStyle="1">
    <w:name w:val="NF"/>
    <w:basedOn w:val="NO"/>
    <w:qFormat/>
    <w:pPr>
      <w:keepNext w:val="true"/>
      <w:spacing w:before="0" w:after="0"/>
    </w:pPr>
    <w:rPr>
      <w:rFonts w:ascii="Arial" w:hAnsi="Arial"/>
      <w:sz w:val="18"/>
    </w:rPr>
  </w:style>
  <w:style w:type="paragraph" w:styleId="NO" w:customStyle="1">
    <w:name w:val="NO"/>
    <w:basedOn w:val="Normal"/>
    <w:qFormat/>
    <w:pPr>
      <w:keepLines/>
      <w:ind w:left="1135" w:hanging="851"/>
    </w:pPr>
    <w:rPr/>
  </w:style>
  <w:style w:type="paragraph" w:styleId="PL" w:customStyle="1">
    <w:name w:val="PL"/>
    <w:qFormat/>
    <w:pPr>
      <w:widowControl/>
      <w:tabs>
        <w:tab w:val="clear" w:pos="284"/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  <w:suppressAutoHyphens w:val="true"/>
      <w:bidi w:val="0"/>
      <w:spacing w:before="0" w:after="0"/>
      <w:jc w:val="left"/>
    </w:pPr>
    <w:rPr>
      <w:rFonts w:ascii="Courier New" w:hAnsi="Courier New" w:eastAsia="Times New Roman" w:cs="Times New Roman"/>
      <w:color w:val="auto"/>
      <w:kern w:val="0"/>
      <w:sz w:val="16"/>
      <w:szCs w:val="20"/>
      <w:lang w:val="en-GB" w:eastAsia="en-US" w:bidi="ar-SA"/>
    </w:rPr>
  </w:style>
  <w:style w:type="paragraph" w:styleId="TAR" w:customStyle="1">
    <w:name w:val="TAR"/>
    <w:basedOn w:val="TAL"/>
    <w:qFormat/>
    <w:pPr>
      <w:jc w:val="right"/>
    </w:pPr>
    <w:rPr/>
  </w:style>
  <w:style w:type="paragraph" w:styleId="TAL" w:customStyle="1">
    <w:name w:val="TAL"/>
    <w:basedOn w:val="Normal"/>
    <w:qFormat/>
    <w:pPr>
      <w:keepNext w:val="true"/>
      <w:keepLines/>
      <w:spacing w:before="0" w:after="0"/>
    </w:pPr>
    <w:rPr>
      <w:rFonts w:ascii="Arial" w:hAnsi="Arial"/>
      <w:sz w:val="18"/>
    </w:rPr>
  </w:style>
  <w:style w:type="paragraph" w:styleId="TAH" w:customStyle="1">
    <w:name w:val="TAH"/>
    <w:basedOn w:val="TAC"/>
    <w:qFormat/>
    <w:pPr/>
    <w:rPr>
      <w:b/>
    </w:rPr>
  </w:style>
  <w:style w:type="paragraph" w:styleId="TAC" w:customStyle="1">
    <w:name w:val="TAC"/>
    <w:basedOn w:val="TAL"/>
    <w:qFormat/>
    <w:pPr>
      <w:jc w:val="center"/>
    </w:pPr>
    <w:rPr/>
  </w:style>
  <w:style w:type="paragraph" w:styleId="LD" w:customStyle="1">
    <w:name w:val="LD"/>
    <w:qFormat/>
    <w:pPr>
      <w:keepNext w:val="true"/>
      <w:keepLines/>
      <w:widowControl/>
      <w:suppressAutoHyphens w:val="true"/>
      <w:bidi w:val="0"/>
      <w:spacing w:lineRule="exact" w:line="18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EX" w:customStyle="1">
    <w:name w:val="EX"/>
    <w:basedOn w:val="Normal"/>
    <w:qFormat/>
    <w:pPr>
      <w:keepLines/>
      <w:ind w:left="1702" w:hanging="1418"/>
    </w:pPr>
    <w:rPr/>
  </w:style>
  <w:style w:type="paragraph" w:styleId="FP" w:customStyle="1">
    <w:name w:val="FP"/>
    <w:basedOn w:val="Normal"/>
    <w:qFormat/>
    <w:pPr>
      <w:spacing w:before="0" w:after="0"/>
    </w:pPr>
    <w:rPr/>
  </w:style>
  <w:style w:type="paragraph" w:styleId="NW" w:customStyle="1">
    <w:name w:val="NW"/>
    <w:basedOn w:val="NO"/>
    <w:qFormat/>
    <w:pPr>
      <w:spacing w:before="0" w:after="0"/>
    </w:pPr>
    <w:rPr/>
  </w:style>
  <w:style w:type="paragraph" w:styleId="EW" w:customStyle="1">
    <w:name w:val="EW"/>
    <w:basedOn w:val="EX"/>
    <w:qFormat/>
    <w:pPr>
      <w:spacing w:before="0" w:after="0"/>
    </w:pPr>
    <w:rPr/>
  </w:style>
  <w:style w:type="paragraph" w:styleId="B1" w:customStyle="1">
    <w:name w:val="B1"/>
    <w:basedOn w:val="Normal"/>
    <w:qFormat/>
    <w:pPr>
      <w:ind w:left="568" w:hanging="284"/>
    </w:pPr>
    <w:rPr/>
  </w:style>
  <w:style w:type="paragraph" w:styleId="Contents6">
    <w:name w:val="TOC 6"/>
    <w:basedOn w:val="Contents5"/>
    <w:next w:val="Normal"/>
    <w:semiHidden/>
    <w:pPr>
      <w:ind w:left="1985" w:hanging="1985"/>
    </w:pPr>
    <w:rPr/>
  </w:style>
  <w:style w:type="paragraph" w:styleId="Contents7">
    <w:name w:val="TOC 7"/>
    <w:basedOn w:val="Contents6"/>
    <w:next w:val="Normal"/>
    <w:semiHidden/>
    <w:pPr>
      <w:ind w:left="2268" w:hanging="2268"/>
    </w:pPr>
    <w:rPr/>
  </w:style>
  <w:style w:type="paragraph" w:styleId="EditorsNote" w:customStyle="1">
    <w:name w:val="Editor's Note"/>
    <w:basedOn w:val="NO"/>
    <w:qFormat/>
    <w:pPr/>
    <w:rPr>
      <w:color w:val="FF0000"/>
    </w:rPr>
  </w:style>
  <w:style w:type="paragraph" w:styleId="TH" w:customStyle="1">
    <w:name w:val="TH"/>
    <w:basedOn w:val="Normal"/>
    <w:qFormat/>
    <w:pPr>
      <w:keepNext w:val="true"/>
      <w:keepLines/>
      <w:spacing w:before="60" w:after="180"/>
      <w:jc w:val="center"/>
    </w:pPr>
    <w:rPr>
      <w:rFonts w:ascii="Arial" w:hAnsi="Arial"/>
      <w:b/>
    </w:rPr>
  </w:style>
  <w:style w:type="paragraph" w:styleId="ZA" w:customStyle="1">
    <w:name w:val="ZA"/>
    <w:qFormat/>
    <w:pPr>
      <w:widowControl w:val="false"/>
      <w:pBdr>
        <w:bottom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40"/>
      <w:szCs w:val="20"/>
      <w:lang w:val="en-GB" w:eastAsia="en-US" w:bidi="ar-SA"/>
    </w:rPr>
  </w:style>
  <w:style w:type="paragraph" w:styleId="ZB" w:customStyle="1">
    <w:name w:val="ZB"/>
    <w:qFormat/>
    <w:pPr>
      <w:widowControl w:val="false"/>
      <w:suppressAutoHyphens w:val="true"/>
      <w:bidi w:val="0"/>
      <w:spacing w:before="0" w:after="0"/>
      <w:ind w:right="28" w:hanging="0"/>
      <w:jc w:val="right"/>
    </w:pPr>
    <w:rPr>
      <w:rFonts w:ascii="Arial" w:hAnsi="Arial" w:eastAsia="Times New Roman" w:cs="Times New Roman"/>
      <w:i/>
      <w:color w:val="auto"/>
      <w:kern w:val="0"/>
      <w:sz w:val="20"/>
      <w:szCs w:val="20"/>
      <w:lang w:val="en-GB" w:eastAsia="en-US" w:bidi="ar-SA"/>
    </w:rPr>
  </w:style>
  <w:style w:type="paragraph" w:styleId="ZT" w:customStyle="1">
    <w:name w:val="ZT"/>
    <w:qFormat/>
    <w:pPr>
      <w:widowControl w:val="false"/>
      <w:suppressAutoHyphens w:val="true"/>
      <w:bidi w:val="0"/>
      <w:spacing w:lineRule="atLeast" w:line="240" w:before="0" w:after="0"/>
      <w:jc w:val="right"/>
    </w:pPr>
    <w:rPr>
      <w:rFonts w:ascii="Arial" w:hAnsi="Arial" w:eastAsia="Times New Roman" w:cs="Times New Roman"/>
      <w:b/>
      <w:color w:val="auto"/>
      <w:kern w:val="0"/>
      <w:sz w:val="34"/>
      <w:szCs w:val="20"/>
      <w:lang w:val="en-GB" w:eastAsia="en-US" w:bidi="ar-SA"/>
    </w:rPr>
  </w:style>
  <w:style w:type="paragraph" w:styleId="ZU" w:customStyle="1">
    <w:name w:val="ZU"/>
    <w:qFormat/>
    <w:pPr>
      <w:widowControl w:val="false"/>
      <w:pBdr>
        <w:top w:val="single" w:sz="12" w:space="1" w:color="000000"/>
      </w:pBdr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AN" w:customStyle="1">
    <w:name w:val="TAN"/>
    <w:basedOn w:val="TAL"/>
    <w:qFormat/>
    <w:pPr>
      <w:ind w:left="851" w:hanging="851"/>
    </w:pPr>
    <w:rPr/>
  </w:style>
  <w:style w:type="paragraph" w:styleId="ZH" w:customStyle="1">
    <w:name w:val="ZH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TF" w:customStyle="1">
    <w:name w:val="TF"/>
    <w:basedOn w:val="TH"/>
    <w:qFormat/>
    <w:pPr>
      <w:keepNext w:val="false"/>
      <w:spacing w:before="0" w:after="240"/>
    </w:pPr>
    <w:rPr/>
  </w:style>
  <w:style w:type="paragraph" w:styleId="ZG" w:customStyle="1">
    <w:name w:val="ZG"/>
    <w:qFormat/>
    <w:pPr>
      <w:widowControl w:val="false"/>
      <w:suppressAutoHyphens w:val="true"/>
      <w:bidi w:val="0"/>
      <w:spacing w:before="0" w:after="0"/>
      <w:jc w:val="right"/>
    </w:pPr>
    <w:rPr>
      <w:rFonts w:ascii="Arial" w:hAnsi="Arial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B2" w:customStyle="1">
    <w:name w:val="B2"/>
    <w:basedOn w:val="Normal"/>
    <w:qFormat/>
    <w:pPr>
      <w:ind w:left="851" w:hanging="284"/>
    </w:pPr>
    <w:rPr/>
  </w:style>
  <w:style w:type="paragraph" w:styleId="B3" w:customStyle="1">
    <w:name w:val="B3"/>
    <w:basedOn w:val="Normal"/>
    <w:qFormat/>
    <w:pPr>
      <w:ind w:left="1135" w:hanging="284"/>
    </w:pPr>
    <w:rPr/>
  </w:style>
  <w:style w:type="paragraph" w:styleId="B4" w:customStyle="1">
    <w:name w:val="B4"/>
    <w:basedOn w:val="Normal"/>
    <w:qFormat/>
    <w:pPr>
      <w:ind w:left="1418" w:hanging="284"/>
    </w:pPr>
    <w:rPr/>
  </w:style>
  <w:style w:type="paragraph" w:styleId="B5" w:customStyle="1">
    <w:name w:val="B5"/>
    <w:basedOn w:val="Normal"/>
    <w:qFormat/>
    <w:pPr>
      <w:ind w:left="1702" w:hanging="284"/>
    </w:pPr>
    <w:rPr/>
  </w:style>
  <w:style w:type="paragraph" w:styleId="ZTD" w:customStyle="1">
    <w:name w:val="ZTD"/>
    <w:basedOn w:val="ZB"/>
    <w:qFormat/>
    <w:pPr/>
    <w:rPr>
      <w:i w:val="false"/>
      <w:sz w:val="40"/>
    </w:rPr>
  </w:style>
  <w:style w:type="paragraph" w:styleId="ZV" w:customStyle="1">
    <w:name w:val="ZV"/>
    <w:basedOn w:val="ZU"/>
    <w:qFormat/>
    <w:pPr/>
    <w:rPr/>
  </w:style>
  <w:style w:type="paragraph" w:styleId="TAJ" w:customStyle="1">
    <w:name w:val="TAJ"/>
    <w:basedOn w:val="TH"/>
    <w:qFormat/>
    <w:pPr/>
    <w:rPr/>
  </w:style>
  <w:style w:type="paragraph" w:styleId="Guidance" w:customStyle="1">
    <w:name w:val="Guidance"/>
    <w:basedOn w:val="Normal"/>
    <w:qFormat/>
    <w:pPr/>
    <w:rPr>
      <w:i/>
      <w:color w:val="0000FF"/>
    </w:rPr>
  </w:style>
  <w:style w:type="paragraph" w:styleId="CRCoverPage" w:customStyle="1">
    <w:name w:val="CR Cover Page"/>
    <w:qFormat/>
    <w:rsid w:val="00cd4c7b"/>
    <w:pPr>
      <w:widowControl/>
      <w:suppressAutoHyphens w:val="true"/>
      <w:bidi w:val="0"/>
      <w:spacing w:before="0" w:after="120"/>
      <w:jc w:val="left"/>
    </w:pPr>
    <w:rPr>
      <w:rFonts w:ascii="Arial" w:hAnsi="Arial" w:eastAsia="MS Mincho" w:cs="Times New Roman"/>
      <w:color w:val="auto"/>
      <w:kern w:val="0"/>
      <w:sz w:val="20"/>
      <w:szCs w:val="20"/>
      <w:lang w:val="en-GB" w:eastAsia="en-US" w:bidi="ar-SA"/>
    </w:rPr>
  </w:style>
  <w:style w:type="paragraph" w:styleId="DocumentMap">
    <w:name w:val="Document Map"/>
    <w:basedOn w:val="Normal"/>
    <w:link w:val="DocumentMapChar"/>
    <w:qFormat/>
    <w:rsid w:val="009d74a6"/>
    <w:pPr>
      <w:spacing w:before="0" w:after="0"/>
    </w:pPr>
    <w:rPr>
      <w:sz w:val="24"/>
      <w:szCs w:val="24"/>
    </w:rPr>
  </w:style>
  <w:style w:type="paragraph" w:styleId="BalloonText">
    <w:name w:val="Balloon Text"/>
    <w:basedOn w:val="Normal"/>
    <w:link w:val="BalloonTextChar"/>
    <w:qFormat/>
    <w:rsid w:val="00b27303"/>
    <w:pPr>
      <w:spacing w:before="0" w:after="0"/>
    </w:pPr>
    <w:rPr>
      <w:rFonts w:ascii="Helvetica" w:hAnsi="Helvetica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8e6930"/>
    <w:pPr>
      <w:spacing w:before="0" w:after="18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8e6930"/>
    <w:pPr>
      <w:spacing w:beforeAutospacing="1" w:afterAutospacing="1"/>
    </w:pPr>
    <w:rPr>
      <w:sz w:val="24"/>
      <w:szCs w:val="24"/>
      <w:lang w:val="en-US"/>
    </w:rPr>
  </w:style>
  <w:style w:type="paragraph" w:styleId="Annotationtext">
    <w:name w:val="annotation text"/>
    <w:basedOn w:val="Normal"/>
    <w:link w:val="CommentTextChar"/>
    <w:uiPriority w:val="99"/>
    <w:qFormat/>
    <w:rsid w:val="008e6930"/>
    <w:pPr/>
    <w:rPr/>
  </w:style>
  <w:style w:type="paragraph" w:styleId="Annotationsubject">
    <w:name w:val="annotation subject"/>
    <w:basedOn w:val="Annotationtext"/>
    <w:next w:val="Annotationtext"/>
    <w:link w:val="CommentSubjectChar"/>
    <w:qFormat/>
    <w:rsid w:val="008e6930"/>
    <w:pPr/>
    <w:rPr>
      <w:b/>
      <w:bCs/>
    </w:rPr>
  </w:style>
  <w:style w:type="paragraph" w:styleId="Revision">
    <w:name w:val="Revision"/>
    <w:uiPriority w:val="99"/>
    <w:semiHidden/>
    <w:qFormat/>
    <w:rsid w:val="0047346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en-GB" w:eastAsia="en-US" w:bidi="ar-SA"/>
    </w:rPr>
  </w:style>
  <w:style w:type="paragraph" w:styleId="Doctext2" w:customStyle="1">
    <w:name w:val="Doc-text2"/>
    <w:basedOn w:val="Normal"/>
    <w:qFormat/>
    <w:pPr>
      <w:tabs>
        <w:tab w:val="clear" w:pos="284"/>
        <w:tab w:val="left" w:pos="1622" w:leader="none"/>
      </w:tabs>
      <w:spacing w:before="0" w:after="0"/>
      <w:ind w:left="1622" w:hanging="363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8e693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<Relationship Id="rId14" Type="http://schemas.openxmlformats.org/officeDocument/2006/relationships/customXml" Target="../customXml/item2.xml"/><Relationship Id="rId15" Type="http://schemas.openxmlformats.org/officeDocument/2006/relationships/customXml" Target="../customXml/item3.xml"/><Relationship Id="rId16" Type="http://schemas.openxmlformats.org/officeDocument/2006/relationships/customXml" Target="../customXml/item4.xml"/><Relationship Id="rId17" Type="http://schemas.openxmlformats.org/officeDocument/2006/relationships/customXml" Target="../customXml/item5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_rels/item5.xml.rels><?xml version="1.0" encoding="UTF-8"?>
<Relationships xmlns="http://schemas.openxmlformats.org/package/2006/relationships"><Relationship Id="rId1" Type="http://schemas.openxmlformats.org/officeDocument/2006/relationships/customXmlProps" Target="itemProps5.xml"/>
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5AIRPNAIUNRU-859666464-13270</_dlc_DocId>
    <_dlc_DocIdUrl xmlns="71c5aaf6-e6ce-465b-b873-5148d2a4c105">
      <Url>https://nokia.sharepoint.com/sites/c5g/e2earch/_layouts/15/DocIdRedir.aspx?ID=5AIRPNAIUNRU-859666464-13270</Url>
      <Description>5AIRPNAIUNRU-859666464-13270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LibreOffice/7.3.7.2$Linux_X86_64 LibreOffice_project/30$Build-2</Application>
  <AppVersion>15.0000</AppVersion>
  <Pages>4</Pages>
  <Words>984</Words>
  <Characters>4829</Characters>
  <CharactersWithSpaces>5753</CharactersWithSpaces>
  <Paragraphs>72</Paragraphs>
  <Company>Nokia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2024-05-09T12:03:00Z</dcterms:created>
  <dc:creator>Benoist</dc:creator>
  <dc:description/>
  <dc:language>en-IN</dc:language>
  <cp:lastModifiedBy/>
  <dcterms:modified xsi:type="dcterms:W3CDTF">2024-05-10T14:42:12Z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GrammarlyDocumentId">
    <vt:lpwstr>79c12c8bba29cef3d5d7f0e1e61395ef32839d147b719e2043c595d86f6d140a</vt:lpwstr>
  </property>
  <property fmtid="{D5CDD505-2E9C-101B-9397-08002B2CF9AE}" pid="4" name="_dlc_DocIdItemGuid">
    <vt:lpwstr>38c4e378-ee0e-4f04-9184-88da06115dc6</vt:lpwstr>
  </property>
</Properties>
</file>