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068C3823"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6435DE">
        <w:rPr>
          <w:rFonts w:ascii="Arial" w:eastAsia="MS Mincho" w:hAnsi="Arial"/>
          <w:b/>
          <w:sz w:val="24"/>
          <w:szCs w:val="24"/>
          <w:lang w:eastAsia="x-none"/>
        </w:rPr>
        <w:t>6</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B83F79">
        <w:rPr>
          <w:rFonts w:ascii="Arial" w:eastAsia="MS Mincho" w:hAnsi="Arial"/>
          <w:b/>
          <w:sz w:val="24"/>
          <w:szCs w:val="24"/>
          <w:lang w:eastAsia="x-none"/>
        </w:rPr>
        <w:t>04507</w:t>
      </w:r>
    </w:p>
    <w:p w14:paraId="7791F180" w14:textId="32A36488" w:rsidR="00A32E79" w:rsidRPr="00A32E79" w:rsidRDefault="006435DE"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Fukuoka</w:t>
      </w:r>
      <w:r w:rsidR="00570984">
        <w:rPr>
          <w:rFonts w:ascii="Arial" w:eastAsia="MS Mincho" w:hAnsi="Arial"/>
          <w:b/>
          <w:sz w:val="24"/>
          <w:szCs w:val="24"/>
          <w:lang w:eastAsia="x-none"/>
        </w:rPr>
        <w:t xml:space="preserve">, </w:t>
      </w:r>
      <w:r>
        <w:rPr>
          <w:rFonts w:ascii="Arial" w:eastAsia="MS Mincho" w:hAnsi="Arial"/>
          <w:b/>
          <w:sz w:val="24"/>
          <w:szCs w:val="24"/>
          <w:lang w:eastAsia="x-none"/>
        </w:rPr>
        <w:t>Japan</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20</w:t>
      </w:r>
      <w:r w:rsidR="00F84150">
        <w:rPr>
          <w:rFonts w:ascii="Arial" w:eastAsia="MS Mincho" w:hAnsi="Arial"/>
          <w:b/>
          <w:sz w:val="24"/>
          <w:szCs w:val="24"/>
          <w:lang w:eastAsia="x-none"/>
        </w:rPr>
        <w:t>-</w:t>
      </w:r>
      <w:r>
        <w:rPr>
          <w:rFonts w:ascii="Arial" w:eastAsia="MS Mincho" w:hAnsi="Arial"/>
          <w:b/>
          <w:sz w:val="24"/>
          <w:szCs w:val="24"/>
          <w:lang w:eastAsia="x-none"/>
        </w:rPr>
        <w:t>24</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63C95ABB"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464C6">
        <w:rPr>
          <w:rFonts w:ascii="Arial" w:eastAsia="PMingLiU" w:hAnsi="Arial" w:cs="Arial"/>
          <w:b/>
          <w:sz w:val="24"/>
          <w:szCs w:val="24"/>
          <w:lang w:eastAsia="zh-CN"/>
        </w:rPr>
        <w:t>8.2.2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E920BDA"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6435DE">
        <w:rPr>
          <w:rFonts w:ascii="Arial" w:eastAsia="PMingLiU" w:hAnsi="Arial" w:cs="Arial"/>
          <w:b/>
          <w:sz w:val="24"/>
          <w:szCs w:val="24"/>
          <w:lang w:eastAsia="zh-CN"/>
        </w:rPr>
        <w:t>Control and user plane modelling for</w:t>
      </w:r>
      <w:r w:rsidR="00954B71">
        <w:rPr>
          <w:rFonts w:ascii="Arial" w:eastAsia="PMingLiU" w:hAnsi="Arial" w:cs="Arial"/>
          <w:b/>
          <w:sz w:val="24"/>
          <w:szCs w:val="24"/>
          <w:lang w:eastAsia="zh-CN"/>
        </w:rPr>
        <w:t xml:space="preserve"> ambient IoT</w:t>
      </w:r>
      <w:r w:rsidR="006435DE">
        <w:rPr>
          <w:rFonts w:ascii="Arial" w:eastAsia="PMingLiU" w:hAnsi="Arial" w:cs="Arial"/>
          <w:b/>
          <w:sz w:val="24"/>
          <w:szCs w:val="24"/>
          <w:lang w:eastAsia="zh-CN"/>
        </w:rPr>
        <w:t xml:space="preserve"> interface</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665D2721"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7464C6">
        <w:rPr>
          <w:rFonts w:ascii="Calibri" w:eastAsia="PMingLiU" w:hAnsi="Calibri"/>
          <w:sz w:val="22"/>
          <w:szCs w:val="22"/>
          <w:lang w:eastAsia="zh-TW"/>
        </w:rPr>
        <w:t xml:space="preserve">expands upon the “baseline procedure” developed for </w:t>
      </w:r>
      <w:proofErr w:type="spellStart"/>
      <w:r w:rsidR="007464C6">
        <w:rPr>
          <w:rFonts w:ascii="Calibri" w:eastAsia="PMingLiU" w:hAnsi="Calibri"/>
          <w:sz w:val="22"/>
          <w:szCs w:val="22"/>
          <w:lang w:eastAsia="zh-TW"/>
        </w:rPr>
        <w:t>AIoT</w:t>
      </w:r>
      <w:proofErr w:type="spellEnd"/>
      <w:r w:rsidR="007464C6">
        <w:rPr>
          <w:rFonts w:ascii="Calibri" w:eastAsia="PMingLiU" w:hAnsi="Calibri"/>
          <w:sz w:val="22"/>
          <w:szCs w:val="22"/>
          <w:lang w:eastAsia="zh-TW"/>
        </w:rPr>
        <w:t xml:space="preserve"> at RAN2#125bis</w:t>
      </w:r>
      <w:r w:rsidR="0089612D">
        <w:rPr>
          <w:rFonts w:ascii="Calibri" w:eastAsia="PMingLiU" w:hAnsi="Calibri"/>
          <w:sz w:val="22"/>
          <w:szCs w:val="22"/>
          <w:lang w:eastAsia="zh-TW"/>
        </w:rPr>
        <w:t>.</w:t>
      </w:r>
      <w:r w:rsidR="007464C6">
        <w:rPr>
          <w:rFonts w:ascii="Calibri" w:eastAsia="PMingLiU" w:hAnsi="Calibri"/>
          <w:sz w:val="22"/>
          <w:szCs w:val="22"/>
          <w:lang w:eastAsia="zh-TW"/>
        </w:rPr>
        <w:t xml:space="preserve">  An approach to the “plane” modelling is proposed, in which the control and user planes are not distinguished in terms of having different protocol stacks; we also take some steps towards a description of the </w:t>
      </w:r>
      <w:proofErr w:type="spellStart"/>
      <w:r w:rsidR="007464C6">
        <w:rPr>
          <w:rFonts w:ascii="Calibri" w:eastAsia="PMingLiU" w:hAnsi="Calibri"/>
          <w:sz w:val="22"/>
          <w:szCs w:val="22"/>
          <w:lang w:eastAsia="zh-TW"/>
        </w:rPr>
        <w:t>AIoT</w:t>
      </w:r>
      <w:proofErr w:type="spellEnd"/>
      <w:r w:rsidR="007464C6">
        <w:rPr>
          <w:rFonts w:ascii="Calibri" w:eastAsia="PMingLiU" w:hAnsi="Calibri"/>
          <w:sz w:val="22"/>
          <w:szCs w:val="22"/>
          <w:lang w:eastAsia="zh-TW"/>
        </w:rPr>
        <w:t xml:space="preserve"> MAC protocol.</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783B62EE"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CA5D64">
        <w:rPr>
          <w:rFonts w:eastAsia="PMingLiU"/>
          <w:lang w:eastAsia="zh-TW"/>
        </w:rPr>
        <w:t>Baseline procedure</w:t>
      </w:r>
    </w:p>
    <w:p w14:paraId="63609586" w14:textId="6333C5C9" w:rsidR="008D2107" w:rsidRDefault="00CA5D6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RAN2#125bis concluded that the “baseline” procedure for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data transfer is a three-step process as described in [1]:</w:t>
      </w:r>
    </w:p>
    <w:p w14:paraId="72D2E187" w14:textId="38A40176" w:rsidR="00CA5D64" w:rsidRDefault="00CA5D64" w:rsidP="00CA5D64">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Step A: Based on the service request, the reader sends the Initial Trigger Message indicating device(s) that need to respond; Details FFS</w:t>
      </w:r>
    </w:p>
    <w:p w14:paraId="489831F2" w14:textId="19D3E840" w:rsidR="00CA5D64" w:rsidRDefault="00CA5D64" w:rsidP="00CA5D64">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Step B: Triggered device(s) performs the random access-like procedure, if needed; Details FFS</w:t>
      </w:r>
    </w:p>
    <w:p w14:paraId="15F1B833" w14:textId="311921A5" w:rsidR="00CA5D64" w:rsidRDefault="00CA5D64" w:rsidP="00CA5D64">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 xml:space="preserve">Step C: The device may perform the data communication with the reader as </w:t>
      </w:r>
      <w:proofErr w:type="gramStart"/>
      <w:r>
        <w:rPr>
          <w:rFonts w:ascii="Calibri" w:eastAsia="PMingLiU" w:hAnsi="Calibri"/>
          <w:sz w:val="22"/>
          <w:szCs w:val="22"/>
          <w:lang w:eastAsia="zh-TW"/>
        </w:rPr>
        <w:t>needed,:</w:t>
      </w:r>
      <w:proofErr w:type="gramEnd"/>
      <w:r>
        <w:rPr>
          <w:rFonts w:ascii="Calibri" w:eastAsia="PMingLiU" w:hAnsi="Calibri"/>
          <w:sz w:val="22"/>
          <w:szCs w:val="22"/>
          <w:lang w:eastAsia="zh-TW"/>
        </w:rPr>
        <w:t xml:space="preserve"> Details FFS</w:t>
      </w:r>
    </w:p>
    <w:p w14:paraId="42A75241" w14:textId="548FD3CD" w:rsidR="00CA5D64" w:rsidRDefault="00CA5D64" w:rsidP="00CA5D64">
      <w:pPr>
        <w:spacing w:after="240"/>
        <w:rPr>
          <w:rFonts w:ascii="Calibri" w:eastAsia="PMingLiU" w:hAnsi="Calibri"/>
          <w:sz w:val="22"/>
          <w:szCs w:val="22"/>
          <w:lang w:eastAsia="zh-TW"/>
        </w:rPr>
      </w:pPr>
      <w:r>
        <w:rPr>
          <w:rFonts w:ascii="Calibri" w:eastAsia="PMingLiU" w:hAnsi="Calibri"/>
          <w:sz w:val="22"/>
          <w:szCs w:val="22"/>
          <w:lang w:eastAsia="zh-TW"/>
        </w:rPr>
        <w:t>The understanding seems to be that step A is the control plane (a “paging-like” operation) and step C is the user plane (some combination of read/write operations).  This modelling is accurate in the sense that bringing the device into contact in step A is a control operation without data transfer</w:t>
      </w:r>
      <w:r w:rsidR="00182027">
        <w:rPr>
          <w:rFonts w:ascii="Calibri" w:eastAsia="PMingLiU" w:hAnsi="Calibri"/>
          <w:sz w:val="22"/>
          <w:szCs w:val="22"/>
          <w:lang w:eastAsia="zh-TW"/>
        </w:rPr>
        <w:t xml:space="preserve"> (barring a future decision to introduce data into the initial trigger message)</w:t>
      </w:r>
      <w:r>
        <w:rPr>
          <w:rFonts w:ascii="Calibri" w:eastAsia="PMingLiU" w:hAnsi="Calibri"/>
          <w:sz w:val="22"/>
          <w:szCs w:val="22"/>
          <w:lang w:eastAsia="zh-TW"/>
        </w:rPr>
        <w:t>, while step C may transfer actual application data</w:t>
      </w:r>
      <w:r w:rsidR="00182027">
        <w:rPr>
          <w:rFonts w:ascii="Calibri" w:eastAsia="PMingLiU" w:hAnsi="Calibri"/>
          <w:sz w:val="22"/>
          <w:szCs w:val="22"/>
          <w:lang w:eastAsia="zh-TW"/>
        </w:rPr>
        <w:t xml:space="preserve"> and does not include additional control information (beyond that needed for the data operation itself)</w:t>
      </w:r>
      <w:r>
        <w:rPr>
          <w:rFonts w:ascii="Calibri" w:eastAsia="PMingLiU" w:hAnsi="Calibri"/>
          <w:sz w:val="22"/>
          <w:szCs w:val="22"/>
          <w:lang w:eastAsia="zh-TW"/>
        </w:rPr>
        <w:t>; however, we suggest that a common model for the transactions may make more sense than separated control and user plane modelling.</w:t>
      </w:r>
    </w:p>
    <w:p w14:paraId="41E8B9F5" w14:textId="695C602F" w:rsidR="00CA5D64" w:rsidRDefault="00CA5D64" w:rsidP="00CA5D64">
      <w:pPr>
        <w:pStyle w:val="Heading2"/>
        <w:rPr>
          <w:rFonts w:eastAsia="PMingLiU"/>
          <w:lang w:eastAsia="zh-TW"/>
        </w:rPr>
      </w:pPr>
      <w:r>
        <w:rPr>
          <w:rFonts w:eastAsia="PMingLiU"/>
          <w:lang w:eastAsia="zh-TW"/>
        </w:rPr>
        <w:t>2.2</w:t>
      </w:r>
      <w:r>
        <w:rPr>
          <w:rFonts w:eastAsia="PMingLiU"/>
          <w:lang w:eastAsia="zh-TW"/>
        </w:rPr>
        <w:tab/>
        <w:t>Protocol stacks</w:t>
      </w:r>
    </w:p>
    <w:p w14:paraId="4E67CC43" w14:textId="4C588103" w:rsidR="00CA5D64" w:rsidRDefault="00CA5D64" w:rsidP="00CA5D64">
      <w:pPr>
        <w:spacing w:after="240"/>
        <w:rPr>
          <w:rFonts w:ascii="Calibri" w:eastAsia="PMingLiU" w:hAnsi="Calibri"/>
          <w:sz w:val="22"/>
          <w:szCs w:val="22"/>
          <w:lang w:eastAsia="zh-TW"/>
        </w:rPr>
      </w:pPr>
      <w:r>
        <w:rPr>
          <w:rFonts w:ascii="Calibri" w:eastAsia="PMingLiU" w:hAnsi="Calibri"/>
          <w:sz w:val="22"/>
          <w:szCs w:val="22"/>
          <w:lang w:eastAsia="zh-TW"/>
        </w:rPr>
        <w:t xml:space="preserve">There is clear interest in simplifying the protocol stacks for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as compared to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for the sake of specification and device simplicity (and to some extent reader simplicity, although the reader should be less complexity-sensitive than the device).</w:t>
      </w:r>
      <w:r w:rsidR="00614627">
        <w:rPr>
          <w:rFonts w:ascii="Calibri" w:eastAsia="PMingLiU" w:hAnsi="Calibri"/>
          <w:sz w:val="22"/>
          <w:szCs w:val="22"/>
          <w:lang w:eastAsia="zh-TW"/>
        </w:rPr>
        <w:t xml:space="preserve">  </w:t>
      </w:r>
      <w:proofErr w:type="gramStart"/>
      <w:r w:rsidR="00614627">
        <w:rPr>
          <w:rFonts w:ascii="Calibri" w:eastAsia="PMingLiU" w:hAnsi="Calibri"/>
          <w:sz w:val="22"/>
          <w:szCs w:val="22"/>
          <w:lang w:eastAsia="zh-TW"/>
        </w:rPr>
        <w:t>In particular, we</w:t>
      </w:r>
      <w:proofErr w:type="gramEnd"/>
      <w:r w:rsidR="00614627">
        <w:rPr>
          <w:rFonts w:ascii="Calibri" w:eastAsia="PMingLiU" w:hAnsi="Calibri"/>
          <w:sz w:val="22"/>
          <w:szCs w:val="22"/>
          <w:lang w:eastAsia="zh-TW"/>
        </w:rPr>
        <w:t xml:space="preserve"> do not identify a need for a dedicated control plane stack to transfer signalling in a different way from application data; the “initial trigger” message and the read and write messages can be modelled in a consistent way as operations of a single protocol layer.</w:t>
      </w:r>
    </w:p>
    <w:p w14:paraId="70241FD6" w14:textId="4C443D45" w:rsidR="00614627" w:rsidRDefault="00614627" w:rsidP="00CA5D64">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Model the protocol stack for steps A and C of the baseline procedure as a single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layer over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PHY, with the MAC layer handling each step as a discrete operation.</w:t>
      </w:r>
    </w:p>
    <w:p w14:paraId="75DA0534" w14:textId="29D43E03" w:rsidR="003D59ED" w:rsidRDefault="003D59ED" w:rsidP="00CA5D64">
      <w:pPr>
        <w:spacing w:after="240"/>
        <w:rPr>
          <w:rFonts w:ascii="Calibri" w:eastAsia="PMingLiU" w:hAnsi="Calibri"/>
          <w:sz w:val="22"/>
          <w:szCs w:val="22"/>
          <w:lang w:eastAsia="zh-TW"/>
        </w:rPr>
      </w:pPr>
      <w:r>
        <w:rPr>
          <w:rFonts w:ascii="Calibri" w:eastAsia="PMingLiU" w:hAnsi="Calibri"/>
          <w:sz w:val="22"/>
          <w:szCs w:val="22"/>
          <w:lang w:eastAsia="zh-TW"/>
        </w:rPr>
        <w:lastRenderedPageBreak/>
        <w:t>Note that this proposal is intended to exclude the need for an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RRC” protocol to transfer the initial trigger message.  (We leave open the potential need for an additional AS protocol to transfer </w:t>
      </w:r>
      <w:proofErr w:type="gramStart"/>
      <w:r>
        <w:rPr>
          <w:rFonts w:ascii="Calibri" w:eastAsia="PMingLiU" w:hAnsi="Calibri"/>
          <w:sz w:val="22"/>
          <w:szCs w:val="22"/>
          <w:lang w:eastAsia="zh-TW"/>
        </w:rPr>
        <w:t>upper-layer</w:t>
      </w:r>
      <w:proofErr w:type="gramEnd"/>
      <w:r>
        <w:rPr>
          <w:rFonts w:ascii="Calibri" w:eastAsia="PMingLiU" w:hAnsi="Calibri"/>
          <w:sz w:val="22"/>
          <w:szCs w:val="22"/>
          <w:lang w:eastAsia="zh-TW"/>
        </w:rPr>
        <w:t xml:space="preserve"> information, but see the companion document in [2] for discussion of this issue.)</w:t>
      </w:r>
    </w:p>
    <w:p w14:paraId="6D7B618B" w14:textId="6CD7D580" w:rsidR="003D59ED" w:rsidRPr="003D59ED" w:rsidRDefault="003D59ED" w:rsidP="00CA5D64">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initial trigger message is transferred by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(not by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RRC or similar protocol).</w:t>
      </w:r>
    </w:p>
    <w:p w14:paraId="290E2E51" w14:textId="47CBF099" w:rsidR="00614627" w:rsidRDefault="00614627" w:rsidP="00CA5D64">
      <w:pPr>
        <w:spacing w:after="240"/>
        <w:rPr>
          <w:rFonts w:ascii="Calibri" w:eastAsia="PMingLiU" w:hAnsi="Calibri"/>
          <w:sz w:val="22"/>
          <w:szCs w:val="22"/>
          <w:lang w:eastAsia="zh-TW"/>
        </w:rPr>
      </w:pPr>
      <w:r>
        <w:rPr>
          <w:rFonts w:ascii="Calibri" w:eastAsia="PMingLiU" w:hAnsi="Calibri"/>
          <w:sz w:val="22"/>
          <w:szCs w:val="22"/>
          <w:lang w:eastAsia="zh-TW"/>
        </w:rPr>
        <w:t>The resulting protocol stacks are almost trivial, as shown in figure 1.</w:t>
      </w:r>
    </w:p>
    <w:p w14:paraId="034C99B7" w14:textId="6F3FB901" w:rsidR="00614627" w:rsidRDefault="00614627" w:rsidP="00614627">
      <w:pPr>
        <w:keepNext/>
        <w:spacing w:after="240"/>
        <w:jc w:val="center"/>
      </w:pPr>
      <w:r>
        <w:object w:dxaOrig="5810" w:dyaOrig="1130" w14:anchorId="00419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56.25pt" o:ole="">
            <v:imagedata r:id="rId8" o:title=""/>
          </v:shape>
          <o:OLEObject Type="Embed" ProgID="Visio.Drawing.15" ShapeID="_x0000_i1025" DrawAspect="Content" ObjectID="_1776788970" r:id="rId9"/>
        </w:object>
      </w:r>
    </w:p>
    <w:p w14:paraId="06E90E6C" w14:textId="1D90E0B4" w:rsidR="00614627" w:rsidRDefault="00614627" w:rsidP="00614627">
      <w:pPr>
        <w:pStyle w:val="Caption"/>
        <w:jc w:val="center"/>
      </w:pPr>
      <w:r>
        <w:t xml:space="preserve">Figure </w:t>
      </w:r>
      <w:r>
        <w:fldChar w:fldCharType="begin"/>
      </w:r>
      <w:r>
        <w:instrText xml:space="preserve"> SEQ Figure \* ARABIC </w:instrText>
      </w:r>
      <w:r>
        <w:fldChar w:fldCharType="separate"/>
      </w:r>
      <w:r w:rsidR="00B82B77">
        <w:rPr>
          <w:noProof/>
        </w:rPr>
        <w:t>1</w:t>
      </w:r>
      <w:r>
        <w:fldChar w:fldCharType="end"/>
      </w:r>
      <w:r>
        <w:t xml:space="preserve">: </w:t>
      </w:r>
      <w:proofErr w:type="spellStart"/>
      <w:r>
        <w:t>AIoT</w:t>
      </w:r>
      <w:proofErr w:type="spellEnd"/>
      <w:r>
        <w:t xml:space="preserve"> protocol stacks</w:t>
      </w:r>
    </w:p>
    <w:p w14:paraId="1E69A906" w14:textId="566896A3" w:rsidR="00614627" w:rsidRDefault="00614627" w:rsidP="00614627">
      <w:pPr>
        <w:pStyle w:val="Heading2"/>
        <w:rPr>
          <w:rFonts w:eastAsia="PMingLiU"/>
          <w:lang w:eastAsia="zh-TW"/>
        </w:rPr>
      </w:pPr>
      <w:r>
        <w:rPr>
          <w:rFonts w:eastAsia="PMingLiU"/>
          <w:lang w:eastAsia="zh-TW"/>
        </w:rPr>
        <w:t>2.3</w:t>
      </w:r>
      <w:r>
        <w:rPr>
          <w:rFonts w:eastAsia="PMingLiU"/>
          <w:lang w:eastAsia="zh-TW"/>
        </w:rPr>
        <w:tab/>
        <w:t>MAC protocol modelling</w:t>
      </w:r>
    </w:p>
    <w:p w14:paraId="63A873AE" w14:textId="7870C275" w:rsidR="00614627" w:rsidRDefault="00614627" w:rsidP="00614627">
      <w:pPr>
        <w:spacing w:after="240"/>
        <w:rPr>
          <w:rFonts w:ascii="Calibri" w:eastAsia="PMingLiU" w:hAnsi="Calibri"/>
          <w:sz w:val="22"/>
          <w:szCs w:val="22"/>
          <w:lang w:eastAsia="zh-TW"/>
        </w:rPr>
      </w:pPr>
      <w:r>
        <w:rPr>
          <w:rFonts w:ascii="Calibri" w:eastAsia="PMingLiU" w:hAnsi="Calibri"/>
          <w:sz w:val="22"/>
          <w:szCs w:val="22"/>
          <w:lang w:eastAsia="zh-TW"/>
        </w:rPr>
        <w:t xml:space="preserve">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the MAC protocol transfers PDUs that may comprise a mix of user plane data and MAC CEs.  From an informal and organizational perspective, the whole protocol, including the control elements, is thought of as part of the user plane, but this model has no real normative impact.  In terms of the operations performed by the endpoints, MAC CEs give rise to “control-like” behaviour instead of transfer of user data to upper layers.</w:t>
      </w:r>
    </w:p>
    <w:p w14:paraId="0A06B8F4" w14:textId="4215DABE" w:rsidR="00614627" w:rsidRDefault="00614627" w:rsidP="00614627">
      <w:pPr>
        <w:spacing w:after="240"/>
        <w:rPr>
          <w:rFonts w:ascii="Calibri" w:eastAsia="PMingLiU" w:hAnsi="Calibri"/>
          <w:sz w:val="22"/>
          <w:szCs w:val="22"/>
          <w:lang w:eastAsia="zh-TW"/>
        </w:rPr>
      </w:pPr>
      <w:r>
        <w:rPr>
          <w:rFonts w:ascii="Calibri" w:eastAsia="PMingLiU" w:hAnsi="Calibri"/>
          <w:sz w:val="22"/>
          <w:szCs w:val="22"/>
          <w:lang w:eastAsia="zh-TW"/>
        </w:rPr>
        <w:t xml:space="preserve">By the same token,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layer can be understood as having “control” and “user” components integrated into a single protocol.  The initial trigger message, for example, could be considered as a MAC CE or a similar “control” object, while the read/write operations </w:t>
      </w:r>
      <w:r w:rsidR="003D59ED">
        <w:rPr>
          <w:rFonts w:ascii="Calibri" w:eastAsia="PMingLiU" w:hAnsi="Calibri"/>
          <w:sz w:val="22"/>
          <w:szCs w:val="22"/>
          <w:lang w:eastAsia="zh-TW"/>
        </w:rPr>
        <w:t>may require a mix of control and user information (e.g., control information identifying a storage location and/or data type of the application data)</w:t>
      </w:r>
      <w:r w:rsidR="00F043F3">
        <w:rPr>
          <w:rFonts w:ascii="Calibri" w:eastAsia="PMingLiU" w:hAnsi="Calibri"/>
          <w:sz w:val="22"/>
          <w:szCs w:val="22"/>
          <w:lang w:eastAsia="zh-TW"/>
        </w:rPr>
        <w:t>.</w:t>
      </w:r>
    </w:p>
    <w:p w14:paraId="453D920E" w14:textId="174A3EB9" w:rsidR="00F043F3" w:rsidRDefault="00F043F3" w:rsidP="00614627">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initial trigger message is modelled as a MAC CE.</w:t>
      </w:r>
    </w:p>
    <w:p w14:paraId="54C0CBCE" w14:textId="51E82846" w:rsidR="00F043F3" w:rsidRDefault="00F043F3" w:rsidP="00614627">
      <w:pPr>
        <w:spacing w:after="240"/>
        <w:rPr>
          <w:rFonts w:ascii="Calibri" w:eastAsia="PMingLiU" w:hAnsi="Calibri"/>
          <w:sz w:val="22"/>
          <w:szCs w:val="22"/>
          <w:lang w:eastAsia="zh-TW"/>
        </w:rPr>
      </w:pPr>
      <w:r>
        <w:rPr>
          <w:rFonts w:ascii="Calibri" w:eastAsia="PMingLiU" w:hAnsi="Calibri"/>
          <w:sz w:val="22"/>
          <w:szCs w:val="22"/>
          <w:lang w:eastAsia="zh-TW"/>
        </w:rPr>
        <w:t>For the read and write operations, the modelling should be driven by functionality.  We understand that “write” is a single message with a potential ack, and “read” comprises a request, a response, and a potential ack (details are further discussed in [3]).  The “write request” and “read response” messages contain application and/or upper-layer data, while the “read request” message and the acks (if needed) consist only of control information.</w:t>
      </w:r>
    </w:p>
    <w:p w14:paraId="763CCC62" w14:textId="089350D1" w:rsidR="00F043F3" w:rsidRDefault="00F043F3" w:rsidP="00614627">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read operation is triggered by a read request MAC CE, and the read response message contains </w:t>
      </w:r>
      <w:r w:rsidR="00B82B77">
        <w:rPr>
          <w:rFonts w:ascii="Calibri" w:eastAsia="PMingLiU" w:hAnsi="Calibri"/>
          <w:sz w:val="22"/>
          <w:szCs w:val="22"/>
          <w:lang w:eastAsia="zh-TW"/>
        </w:rPr>
        <w:t>at least</w:t>
      </w:r>
      <w:r>
        <w:rPr>
          <w:rFonts w:ascii="Calibri" w:eastAsia="PMingLiU" w:hAnsi="Calibri"/>
          <w:sz w:val="22"/>
          <w:szCs w:val="22"/>
          <w:lang w:eastAsia="zh-TW"/>
        </w:rPr>
        <w:t xml:space="preserve"> a data payload</w:t>
      </w:r>
      <w:r w:rsidR="00B82B77">
        <w:rPr>
          <w:rFonts w:ascii="Calibri" w:eastAsia="PMingLiU" w:hAnsi="Calibri"/>
          <w:sz w:val="22"/>
          <w:szCs w:val="22"/>
          <w:lang w:eastAsia="zh-TW"/>
        </w:rPr>
        <w:t xml:space="preserve"> (along with rudimentary control information such as payload length)</w:t>
      </w:r>
      <w:r>
        <w:rPr>
          <w:rFonts w:ascii="Calibri" w:eastAsia="PMingLiU" w:hAnsi="Calibri"/>
          <w:sz w:val="22"/>
          <w:szCs w:val="22"/>
          <w:lang w:eastAsia="zh-TW"/>
        </w:rPr>
        <w:t>.</w:t>
      </w:r>
    </w:p>
    <w:p w14:paraId="5B6D5F37" w14:textId="4DC27BE0" w:rsidR="00F043F3" w:rsidRDefault="00F043F3" w:rsidP="00614627">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write </w:t>
      </w:r>
      <w:r w:rsidR="00B82B77">
        <w:rPr>
          <w:rFonts w:ascii="Calibri" w:eastAsia="PMingLiU" w:hAnsi="Calibri"/>
          <w:sz w:val="22"/>
          <w:szCs w:val="22"/>
          <w:lang w:eastAsia="zh-TW"/>
        </w:rPr>
        <w:t>operation is triggered by a write request message containing a combination of control fields and a data payload.</w:t>
      </w:r>
    </w:p>
    <w:p w14:paraId="455B6CE7" w14:textId="27604648" w:rsidR="00B82B77" w:rsidRDefault="00B82B77" w:rsidP="00614627">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Acknowledgements for the read and write operations, if needed, are realised as MAC CEs.</w:t>
      </w:r>
    </w:p>
    <w:p w14:paraId="2C79DE3C" w14:textId="1FF57B0B" w:rsidR="00B82B77" w:rsidRDefault="00B82B77" w:rsidP="00614627">
      <w:pPr>
        <w:spacing w:after="240"/>
        <w:rPr>
          <w:rFonts w:ascii="Calibri" w:eastAsia="PMingLiU" w:hAnsi="Calibri"/>
          <w:sz w:val="22"/>
          <w:szCs w:val="22"/>
          <w:lang w:eastAsia="zh-TW"/>
        </w:rPr>
      </w:pPr>
      <w:r>
        <w:rPr>
          <w:rFonts w:ascii="Calibri" w:eastAsia="PMingLiU" w:hAnsi="Calibri"/>
          <w:sz w:val="22"/>
          <w:szCs w:val="22"/>
          <w:lang w:eastAsia="zh-TW"/>
        </w:rPr>
        <w:t xml:space="preserve">The foregoing proposals might suggest a separation between MAC data PDUs and MAC CEs, as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but the write operation as described in P5 blurs the line between the two.  We suggest that it is more expedient to simply have a MAC PDU format with the write control fields and a payload, and whether to consider it as a data PDU with extra fields or a MAC CE with encapsulated data is a terminological question.  An overview of the format might be as shown in figure 2.</w:t>
      </w:r>
    </w:p>
    <w:p w14:paraId="2E05D9DC" w14:textId="0785D923" w:rsidR="00B82B77" w:rsidRPr="00B82B77" w:rsidRDefault="00B82B77" w:rsidP="00B82B77">
      <w:pPr>
        <w:keepNext/>
        <w:spacing w:after="240"/>
        <w:jc w:val="center"/>
        <w:rPr>
          <w:rFonts w:ascii="Calibri" w:eastAsia="PMingLiU" w:hAnsi="Calibri"/>
          <w:sz w:val="22"/>
          <w:szCs w:val="22"/>
          <w:lang w:eastAsia="zh-TW"/>
        </w:rPr>
      </w:pPr>
      <w:r>
        <w:object w:dxaOrig="11570" w:dyaOrig="410" w14:anchorId="79BEB0C3">
          <v:shape id="_x0000_i1026" type="#_x0000_t75" style="width:482.25pt;height:17.25pt" o:ole="">
            <v:imagedata r:id="rId10" o:title=""/>
          </v:shape>
          <o:OLEObject Type="Embed" ProgID="Visio.Drawing.15" ShapeID="_x0000_i1026" DrawAspect="Content" ObjectID="_1776788971" r:id="rId11"/>
        </w:object>
      </w:r>
    </w:p>
    <w:p w14:paraId="0B6C23AE" w14:textId="2E0223D8" w:rsidR="00B82B77" w:rsidRDefault="00B82B77" w:rsidP="00B82B7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Potential format for a MAC write </w:t>
      </w:r>
      <w:proofErr w:type="gramStart"/>
      <w:r>
        <w:t>request</w:t>
      </w:r>
      <w:proofErr w:type="gramEnd"/>
    </w:p>
    <w:p w14:paraId="3019DBB1" w14:textId="0943F04D" w:rsidR="00B82B77" w:rsidRDefault="00B82B77" w:rsidP="00B82B77">
      <w:p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The figure should be understood as </w:t>
      </w:r>
      <w:r w:rsidR="006A7E59">
        <w:rPr>
          <w:rFonts w:ascii="Calibri" w:eastAsia="PMingLiU" w:hAnsi="Calibri"/>
          <w:sz w:val="22"/>
          <w:szCs w:val="22"/>
          <w:lang w:eastAsia="zh-TW"/>
        </w:rPr>
        <w:t>only illustrative</w:t>
      </w:r>
      <w:r>
        <w:rPr>
          <w:rFonts w:ascii="Calibri" w:eastAsia="PMingLiU" w:hAnsi="Calibri"/>
          <w:sz w:val="22"/>
          <w:szCs w:val="22"/>
          <w:lang w:eastAsia="zh-TW"/>
        </w:rPr>
        <w:t xml:space="preserve">; the sequence number may or may not be needed (depending on future decisions about in-order delivery, reliability, etc.), the address could instead be an IE identifier or similar structural </w:t>
      </w:r>
      <w:r w:rsidR="006A7E59">
        <w:rPr>
          <w:rFonts w:ascii="Calibri" w:eastAsia="PMingLiU" w:hAnsi="Calibri"/>
          <w:sz w:val="22"/>
          <w:szCs w:val="22"/>
          <w:lang w:eastAsia="zh-TW"/>
        </w:rPr>
        <w:t>indicator, and additional fields are conceivable (e.g., for security or any other functions that turn out to be necessary)</w:t>
      </w:r>
      <w:r>
        <w:rPr>
          <w:rFonts w:ascii="Calibri" w:eastAsia="PMingLiU" w:hAnsi="Calibri"/>
          <w:sz w:val="22"/>
          <w:szCs w:val="22"/>
          <w:lang w:eastAsia="zh-TW"/>
        </w:rPr>
        <w:t>.</w:t>
      </w:r>
      <w:r w:rsidR="006A7E59">
        <w:rPr>
          <w:rFonts w:ascii="Calibri" w:eastAsia="PMingLiU" w:hAnsi="Calibri"/>
          <w:sz w:val="22"/>
          <w:szCs w:val="22"/>
          <w:lang w:eastAsia="zh-TW"/>
        </w:rPr>
        <w:t xml:space="preserve">  The “write indicator” in the first field indicates to the receiver that this is a write request (a kind of “PDU type” field).</w:t>
      </w:r>
      <w:r w:rsidR="00182027">
        <w:rPr>
          <w:rFonts w:ascii="Calibri" w:eastAsia="PMingLiU" w:hAnsi="Calibri"/>
          <w:sz w:val="22"/>
          <w:szCs w:val="22"/>
          <w:lang w:eastAsia="zh-TW"/>
        </w:rPr>
        <w:t xml:space="preserve">  The same leading field can be used to indicate other operations (read request, ack if necessary, etc.).</w:t>
      </w:r>
    </w:p>
    <w:p w14:paraId="3B1A7BD4" w14:textId="770FA671" w:rsidR="006A7E59" w:rsidRDefault="006A7E59" w:rsidP="00B82B77">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Different MAC operations are distinguished by a leading field in the PDU (that could be considered as a “PDU type”).</w:t>
      </w:r>
    </w:p>
    <w:p w14:paraId="0B285EF4" w14:textId="334EBA59" w:rsidR="00182027" w:rsidRDefault="00182027" w:rsidP="00B82B77">
      <w:pPr>
        <w:spacing w:after="240"/>
        <w:rPr>
          <w:rFonts w:ascii="Calibri" w:eastAsia="PMingLiU" w:hAnsi="Calibri"/>
          <w:sz w:val="22"/>
          <w:szCs w:val="22"/>
          <w:lang w:eastAsia="zh-TW"/>
        </w:rPr>
      </w:pPr>
      <w:r>
        <w:rPr>
          <w:rFonts w:ascii="Calibri" w:eastAsia="PMingLiU" w:hAnsi="Calibri"/>
          <w:sz w:val="22"/>
          <w:szCs w:val="22"/>
          <w:lang w:eastAsia="zh-TW"/>
        </w:rPr>
        <w:t>In keeping with the theme of not distinguishing the control and user planes, the initial trigger message could be framed as another form of the same basic MAC format, with a different “PDU type” leading field and appropriate control fields.  Whether a payload is needed in the initial trigger message depends on future decisions about the “paging” procedure.</w:t>
      </w:r>
    </w:p>
    <w:p w14:paraId="055A3DD7" w14:textId="05847B36" w:rsidR="00182027" w:rsidRPr="00182027" w:rsidRDefault="00182027" w:rsidP="00B82B77">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The initial trigger message is modelled as a MAC PDU with a distinguishing value of the leading “PDU type” field.  FFS if it includes a payload.</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21A5E145" w14:textId="77777777" w:rsidR="00B83F79" w:rsidRDefault="00B83F79" w:rsidP="00B83F79">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Model the protocol stack for steps A and C of the baseline procedure as a single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layer over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PHY, with the MAC layer handling each step as a discrete operation.</w:t>
      </w:r>
    </w:p>
    <w:p w14:paraId="73BFE61C" w14:textId="77777777" w:rsidR="00B83F79" w:rsidRDefault="00B83F79" w:rsidP="00B83F79">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initial trigger message is transferred by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(not by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RRC or similar protocol).</w:t>
      </w:r>
    </w:p>
    <w:p w14:paraId="23EBBC68" w14:textId="77777777" w:rsidR="00B83F79" w:rsidRDefault="00B83F79" w:rsidP="00B83F79">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initial trigger message is modelled as a MAC CE.</w:t>
      </w:r>
    </w:p>
    <w:p w14:paraId="2A074BC9" w14:textId="45521887" w:rsidR="00B83F79" w:rsidRPr="00B83F79" w:rsidRDefault="00B83F79" w:rsidP="00B83F79">
      <w:r>
        <w:rPr>
          <w:rFonts w:ascii="Calibri" w:eastAsia="PMingLiU" w:hAnsi="Calibri"/>
          <w:b/>
          <w:bCs/>
          <w:sz w:val="22"/>
          <w:szCs w:val="22"/>
          <w:lang w:eastAsia="zh-TW"/>
        </w:rPr>
        <w:t>Proposal 4:</w:t>
      </w:r>
      <w:r>
        <w:rPr>
          <w:rFonts w:ascii="Calibri" w:eastAsia="PMingLiU" w:hAnsi="Calibri"/>
          <w:sz w:val="22"/>
          <w:szCs w:val="22"/>
          <w:lang w:eastAsia="zh-TW"/>
        </w:rPr>
        <w:t xml:space="preserve"> The read operation is triggered by a read request MAC CE, and the read response message</w:t>
      </w:r>
      <w:r>
        <w:rPr>
          <w:rFonts w:ascii="Calibri" w:eastAsia="PMingLiU" w:hAnsi="Calibri"/>
          <w:sz w:val="22"/>
          <w:szCs w:val="22"/>
          <w:lang w:eastAsia="zh-TW"/>
        </w:rPr>
        <w:t xml:space="preserve"> </w:t>
      </w:r>
      <w:r>
        <w:rPr>
          <w:rFonts w:ascii="Calibri" w:eastAsia="PMingLiU" w:hAnsi="Calibri"/>
          <w:sz w:val="22"/>
          <w:szCs w:val="22"/>
          <w:lang w:eastAsia="zh-TW"/>
        </w:rPr>
        <w:t>contains at least a data payload (along with rudimentary control information such as payload length).</w:t>
      </w:r>
    </w:p>
    <w:p w14:paraId="74F33682" w14:textId="77777777" w:rsidR="00B83F79" w:rsidRDefault="00B83F79" w:rsidP="00B83F79">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write operation is triggered by a write request message containing a combination of control fields and a data payload.</w:t>
      </w:r>
    </w:p>
    <w:p w14:paraId="317F06EC" w14:textId="77777777" w:rsidR="00B83F79" w:rsidRDefault="00B83F79" w:rsidP="00B83F79">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Acknowledgements for the read and write operations, if needed, are realised as MAC CEs.</w:t>
      </w:r>
    </w:p>
    <w:p w14:paraId="71396293" w14:textId="77777777" w:rsidR="00B83F79" w:rsidRDefault="00B83F79" w:rsidP="00B83F79">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Different MAC operations are distinguished by a leading field in the PDU (that could be considered as a “PDU type”).</w:t>
      </w:r>
    </w:p>
    <w:p w14:paraId="41878F3F" w14:textId="77777777" w:rsidR="00B83F79" w:rsidRDefault="00B83F79" w:rsidP="00B83F79">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The initial trigger message is modelled as a MAC PDU with a distinguishing value of the leading “PDU type” field.  FFS if it includes a payload.</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D2CC04A" w14:textId="2259D8C9" w:rsidR="006624D2"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[1] </w:t>
      </w:r>
      <w:r w:rsidR="00CA5D64">
        <w:rPr>
          <w:rFonts w:ascii="Calibri" w:eastAsia="PMingLiU" w:hAnsi="Calibri"/>
          <w:sz w:val="22"/>
          <w:szCs w:val="22"/>
          <w:lang w:eastAsia="zh-TW"/>
        </w:rPr>
        <w:t>Chair notes, RAN2#125bis</w:t>
      </w:r>
    </w:p>
    <w:bookmarkEnd w:id="2"/>
    <w:bookmarkEnd w:id="3"/>
    <w:bookmarkEnd w:id="4"/>
    <w:bookmarkEnd w:id="5"/>
    <w:bookmarkEnd w:id="6"/>
    <w:bookmarkEnd w:id="7"/>
    <w:p w14:paraId="79A92772" w14:textId="6AB9DF5D" w:rsidR="00455B3B" w:rsidRDefault="003D59ED" w:rsidP="006624D2">
      <w:pPr>
        <w:spacing w:after="240"/>
        <w:rPr>
          <w:rFonts w:ascii="Calibri" w:eastAsia="PMingLiU" w:hAnsi="Calibri"/>
          <w:sz w:val="22"/>
          <w:szCs w:val="22"/>
          <w:lang w:eastAsia="zh-TW"/>
        </w:rPr>
      </w:pPr>
      <w:r>
        <w:rPr>
          <w:rFonts w:ascii="Calibri" w:eastAsia="PMingLiU" w:hAnsi="Calibri"/>
          <w:sz w:val="22"/>
          <w:szCs w:val="22"/>
          <w:lang w:eastAsia="zh-TW"/>
        </w:rPr>
        <w:t>[2] R2-24</w:t>
      </w:r>
      <w:r w:rsidR="00B83F79">
        <w:rPr>
          <w:rFonts w:ascii="Calibri" w:eastAsia="PMingLiU" w:hAnsi="Calibri"/>
          <w:sz w:val="22"/>
          <w:szCs w:val="22"/>
          <w:lang w:eastAsia="zh-TW"/>
        </w:rPr>
        <w:t>04508</w:t>
      </w:r>
      <w:r>
        <w:rPr>
          <w:rFonts w:ascii="Calibri" w:eastAsia="PMingLiU" w:hAnsi="Calibri"/>
          <w:sz w:val="22"/>
          <w:szCs w:val="22"/>
          <w:lang w:eastAsia="zh-TW"/>
        </w:rPr>
        <w:t xml:space="preserve">, “Transfer of upper-layer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information”, MediaTek Inc., RAN2#126</w:t>
      </w:r>
    </w:p>
    <w:p w14:paraId="049EEC43" w14:textId="70E69989" w:rsidR="00F043F3" w:rsidRDefault="00F043F3" w:rsidP="006624D2">
      <w:pPr>
        <w:spacing w:after="240"/>
        <w:rPr>
          <w:rFonts w:ascii="Calibri" w:eastAsia="PMingLiU" w:hAnsi="Calibri"/>
          <w:sz w:val="22"/>
          <w:szCs w:val="22"/>
          <w:lang w:eastAsia="zh-TW"/>
        </w:rPr>
      </w:pPr>
      <w:r>
        <w:rPr>
          <w:rFonts w:ascii="Calibri" w:eastAsia="PMingLiU" w:hAnsi="Calibri"/>
          <w:sz w:val="22"/>
          <w:szCs w:val="22"/>
          <w:lang w:eastAsia="zh-TW"/>
        </w:rPr>
        <w:t>[3] R2-24</w:t>
      </w:r>
      <w:r w:rsidR="00B83F79">
        <w:rPr>
          <w:rFonts w:ascii="Calibri" w:eastAsia="PMingLiU" w:hAnsi="Calibri"/>
          <w:sz w:val="22"/>
          <w:szCs w:val="22"/>
          <w:lang w:eastAsia="zh-TW"/>
        </w:rPr>
        <w:t>04501</w:t>
      </w:r>
      <w:r>
        <w:rPr>
          <w:rFonts w:ascii="Calibri" w:eastAsia="PMingLiU" w:hAnsi="Calibri"/>
          <w:sz w:val="22"/>
          <w:szCs w:val="22"/>
          <w:lang w:eastAsia="zh-TW"/>
        </w:rPr>
        <w:t>,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read and write operations”, MediaTek Inc., RAN2#126</w:t>
      </w:r>
    </w:p>
    <w:sectPr w:rsidR="00F043F3"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86FA4" w14:textId="77777777" w:rsidR="00C4478F" w:rsidRDefault="00C4478F">
      <w:pPr>
        <w:spacing w:after="0"/>
      </w:pPr>
      <w:r>
        <w:separator/>
      </w:r>
    </w:p>
  </w:endnote>
  <w:endnote w:type="continuationSeparator" w:id="0">
    <w:p w14:paraId="33112A95" w14:textId="77777777" w:rsidR="00C4478F" w:rsidRDefault="00C4478F">
      <w:pPr>
        <w:spacing w:after="0"/>
      </w:pPr>
      <w:r>
        <w:continuationSeparator/>
      </w:r>
    </w:p>
  </w:endnote>
  <w:endnote w:type="continuationNotice" w:id="1">
    <w:p w14:paraId="4629BC8C" w14:textId="77777777" w:rsidR="00C4478F" w:rsidRDefault="00C44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94E86" w14:textId="77777777" w:rsidR="00C4478F" w:rsidRDefault="00C4478F">
      <w:pPr>
        <w:spacing w:after="0"/>
      </w:pPr>
      <w:r>
        <w:separator/>
      </w:r>
    </w:p>
  </w:footnote>
  <w:footnote w:type="continuationSeparator" w:id="0">
    <w:p w14:paraId="36D7F2A5" w14:textId="77777777" w:rsidR="00C4478F" w:rsidRDefault="00C4478F">
      <w:pPr>
        <w:spacing w:after="0"/>
      </w:pPr>
      <w:r>
        <w:continuationSeparator/>
      </w:r>
    </w:p>
  </w:footnote>
  <w:footnote w:type="continuationNotice" w:id="1">
    <w:p w14:paraId="14257280" w14:textId="77777777" w:rsidR="00C4478F" w:rsidRDefault="00C44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7"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AA2967"/>
    <w:multiLevelType w:val="hybridMultilevel"/>
    <w:tmpl w:val="04AA5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8"/>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9"/>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7"/>
  </w:num>
  <w:num w:numId="27" w16cid:durableId="943154110">
    <w:abstractNumId w:val="19"/>
  </w:num>
  <w:num w:numId="28" w16cid:durableId="590508564">
    <w:abstractNumId w:val="32"/>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6"/>
  </w:num>
  <w:num w:numId="34" w16cid:durableId="1347367270">
    <w:abstractNumId w:val="9"/>
  </w:num>
  <w:num w:numId="35" w16cid:durableId="1509325865">
    <w:abstractNumId w:val="30"/>
  </w:num>
  <w:num w:numId="36" w16cid:durableId="74672777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27"/>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E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27"/>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A7E59"/>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C6"/>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62F"/>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B77"/>
    <w:rsid w:val="00B82F34"/>
    <w:rsid w:val="00B82FC4"/>
    <w:rsid w:val="00B83600"/>
    <w:rsid w:val="00B83BB2"/>
    <w:rsid w:val="00B83F79"/>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78F"/>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D64"/>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3F3"/>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702089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073439">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996028">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1193</Words>
  <Characters>6801</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2024-05-10T02:39:00Z</dcterms:created>
  <dcterms:modified xsi:type="dcterms:W3CDTF">2024-05-10T02:39:00Z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