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</w:t>
            </w:r>
            <w:proofErr w:type="gramStart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 xml:space="preserve">including ASN.1 </w:t>
            </w:r>
            <w:proofErr w:type="gramStart"/>
            <w:r w:rsidR="00801010"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Other</w:t>
            </w:r>
            <w:proofErr w:type="gramEnd"/>
            <w:r w:rsidRPr="00B314A6">
              <w:rPr>
                <w:rFonts w:cs="Arial"/>
                <w:sz w:val="16"/>
                <w:szCs w:val="16"/>
              </w:rPr>
              <w:t xml:space="preserve">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 far as possible with following in the following order, except NTN related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4910C5" w:rsidRPr="006761E5" w14:paraId="51D73B43" w14:textId="77777777" w:rsidTr="00237BFA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4910C5" w:rsidRDefault="004910C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4910C5" w:rsidRPr="00C271DF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4910C5" w:rsidRPr="004B4550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4910C5" w:rsidRPr="005A1743" w:rsidRDefault="004910C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4910C5" w:rsidRPr="004C627C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78930C78" w:rsidR="004910C5" w:rsidRPr="006761E5" w:rsidRDefault="00E8466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0800-0900 [402][Huawei]</w:t>
            </w:r>
          </w:p>
        </w:tc>
      </w:tr>
      <w:tr w:rsidR="004910C5" w:rsidRPr="006761E5" w14:paraId="19A53AC9" w14:textId="77777777" w:rsidTr="00EE50F4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</w:t>
            </w:r>
            <w:proofErr w:type="gramStart"/>
            <w:r w:rsidRPr="00B314A6">
              <w:rPr>
                <w:rFonts w:cs="Arial"/>
                <w:sz w:val="16"/>
                <w:szCs w:val="16"/>
              </w:rPr>
              <w:t>items</w:t>
            </w:r>
            <w:proofErr w:type="gramEnd"/>
          </w:p>
          <w:p w14:paraId="249C5071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4910C5" w:rsidRPr="006761E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DC08" w14:textId="77777777" w:rsidR="004910C5" w:rsidRPr="00B71893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4910C5" w:rsidRPr="00931BE1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@14:55-15:15 CB for Rel-18 </w:t>
            </w:r>
            <w:proofErr w:type="spellStart"/>
            <w:r w:rsidRPr="00963D2A">
              <w:rPr>
                <w:rFonts w:cs="Arial"/>
                <w:b/>
                <w:bCs/>
                <w:sz w:val="16"/>
                <w:szCs w:val="16"/>
              </w:rPr>
              <w:t>MIMOevo</w:t>
            </w:r>
            <w:proofErr w:type="spellEnd"/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1E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86809E7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A50BE1C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5699EDD2" w14:textId="77777777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Pr="00001C8E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sectPr w:rsidR="005C4C12" w:rsidRPr="00001C8E" w:rsidSect="00116057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35BE" w14:textId="77777777" w:rsidR="00EC793D" w:rsidRDefault="00EC793D">
      <w:r>
        <w:separator/>
      </w:r>
    </w:p>
    <w:p w14:paraId="72288C4B" w14:textId="77777777" w:rsidR="00EC793D" w:rsidRDefault="00EC793D"/>
  </w:endnote>
  <w:endnote w:type="continuationSeparator" w:id="0">
    <w:p w14:paraId="0DF60784" w14:textId="77777777" w:rsidR="00EC793D" w:rsidRDefault="00EC793D">
      <w:r>
        <w:continuationSeparator/>
      </w:r>
    </w:p>
    <w:p w14:paraId="328B024F" w14:textId="77777777" w:rsidR="00EC793D" w:rsidRDefault="00EC793D"/>
  </w:endnote>
  <w:endnote w:type="continuationNotice" w:id="1">
    <w:p w14:paraId="69AD0F41" w14:textId="77777777" w:rsidR="00EC793D" w:rsidRDefault="00EC79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5A1E" w14:textId="77777777" w:rsidR="00EC793D" w:rsidRDefault="00EC793D">
      <w:r>
        <w:separator/>
      </w:r>
    </w:p>
    <w:p w14:paraId="51C13898" w14:textId="77777777" w:rsidR="00EC793D" w:rsidRDefault="00EC793D"/>
  </w:footnote>
  <w:footnote w:type="continuationSeparator" w:id="0">
    <w:p w14:paraId="5FAE8939" w14:textId="77777777" w:rsidR="00EC793D" w:rsidRDefault="00EC793D">
      <w:r>
        <w:continuationSeparator/>
      </w:r>
    </w:p>
    <w:p w14:paraId="45D33F6D" w14:textId="77777777" w:rsidR="00EC793D" w:rsidRDefault="00EC793D"/>
  </w:footnote>
  <w:footnote w:type="continuationNotice" w:id="1">
    <w:p w14:paraId="12114FDF" w14:textId="77777777" w:rsidR="00EC793D" w:rsidRDefault="00EC793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6" type="#_x0000_t75" style="width:31pt;height:2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77222">
    <w:abstractNumId w:val="9"/>
  </w:num>
  <w:num w:numId="2" w16cid:durableId="1665039296">
    <w:abstractNumId w:val="10"/>
  </w:num>
  <w:num w:numId="3" w16cid:durableId="1486970214">
    <w:abstractNumId w:val="2"/>
  </w:num>
  <w:num w:numId="4" w16cid:durableId="188640449">
    <w:abstractNumId w:val="11"/>
  </w:num>
  <w:num w:numId="5" w16cid:durableId="1446997222">
    <w:abstractNumId w:val="7"/>
  </w:num>
  <w:num w:numId="6" w16cid:durableId="2066559816">
    <w:abstractNumId w:val="0"/>
  </w:num>
  <w:num w:numId="7" w16cid:durableId="1958484643">
    <w:abstractNumId w:val="8"/>
  </w:num>
  <w:num w:numId="8" w16cid:durableId="623928223">
    <w:abstractNumId w:val="5"/>
  </w:num>
  <w:num w:numId="9" w16cid:durableId="1432697226">
    <w:abstractNumId w:val="1"/>
  </w:num>
  <w:num w:numId="10" w16cid:durableId="1832745643">
    <w:abstractNumId w:val="6"/>
  </w:num>
  <w:num w:numId="11" w16cid:durableId="2113625343">
    <w:abstractNumId w:val="4"/>
  </w:num>
  <w:num w:numId="12" w16cid:durableId="1783764613">
    <w:abstractNumId w:val="12"/>
  </w:num>
  <w:num w:numId="13" w16cid:durableId="5100276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AA07B-6041-4FFA-BE6D-910C9F2C4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2024-04-16T02:39:00Z</dcterms:created>
  <dcterms:modified xsi:type="dcterms:W3CDTF">2024-04-16T02:39:00Z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