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803CE" w14:textId="70C65B8D" w:rsidR="009E6BAA"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w:t>
      </w:r>
      <w:r w:rsidR="00FD1BBA">
        <w:rPr>
          <w:rFonts w:eastAsia="SimSun" w:cs="Arial"/>
          <w:b/>
          <w:kern w:val="0"/>
          <w:sz w:val="28"/>
          <w:szCs w:val="28"/>
          <w:lang w:val="en-US" w:eastAsia="en-US"/>
        </w:rPr>
        <w:t>12</w:t>
      </w:r>
      <w:r w:rsidR="0040391B">
        <w:rPr>
          <w:rFonts w:eastAsia="SimSun" w:cs="Arial"/>
          <w:b/>
          <w:kern w:val="0"/>
          <w:sz w:val="28"/>
          <w:szCs w:val="28"/>
          <w:lang w:val="en-US" w:eastAsia="en-US"/>
        </w:rPr>
        <w:t>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8077F2" w:rsidRPr="008077F2">
        <w:rPr>
          <w:rFonts w:eastAsia="SimSun" w:cs="Arial"/>
          <w:b/>
          <w:kern w:val="0"/>
          <w:sz w:val="28"/>
          <w:szCs w:val="28"/>
          <w:lang w:val="en-US" w:eastAsia="en-US"/>
        </w:rPr>
        <w:t>R2-2400747</w:t>
      </w:r>
    </w:p>
    <w:p w14:paraId="05E6E841" w14:textId="473CF44C" w:rsidR="009E6BAA" w:rsidRDefault="0040391B">
      <w:pPr>
        <w:keepLines/>
        <w:widowControl/>
        <w:tabs>
          <w:tab w:val="left" w:pos="567"/>
        </w:tabs>
        <w:adjustRightInd w:val="0"/>
        <w:snapToGrid w:val="0"/>
        <w:spacing w:after="0" w:line="276" w:lineRule="auto"/>
        <w:jc w:val="left"/>
        <w:rPr>
          <w:rFonts w:cs="Arial"/>
          <w:b/>
          <w:bCs/>
          <w:kern w:val="0"/>
          <w:sz w:val="28"/>
          <w:szCs w:val="28"/>
        </w:rPr>
      </w:pPr>
      <w:r w:rsidRPr="0040391B">
        <w:rPr>
          <w:rFonts w:eastAsia="SimSun" w:cs="Arial"/>
          <w:b/>
          <w:kern w:val="0"/>
          <w:sz w:val="28"/>
          <w:szCs w:val="28"/>
          <w:lang w:val="en-US" w:eastAsia="en-US"/>
        </w:rPr>
        <w:t>Athens, Greece, Feb. 26th – Mar. 1st, 2024</w:t>
      </w:r>
      <w:r w:rsidR="006770B6">
        <w:rPr>
          <w:rFonts w:cs="Arial"/>
          <w:b/>
          <w:bCs/>
          <w:color w:val="D9D9D9" w:themeColor="background1" w:themeShade="D9"/>
          <w:kern w:val="0"/>
          <w:sz w:val="20"/>
          <w:szCs w:val="28"/>
        </w:rPr>
        <w:t xml:space="preserve"> </w:t>
      </w:r>
    </w:p>
    <w:p w14:paraId="0668C71B" w14:textId="2952DF24" w:rsidR="009E6BAA"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r w:rsidR="002A464C">
        <w:rPr>
          <w:rFonts w:cs="Arial"/>
          <w:b/>
          <w:bCs/>
          <w:snapToGrid w:val="0"/>
          <w:kern w:val="0"/>
          <w:sz w:val="28"/>
          <w:szCs w:val="28"/>
        </w:rPr>
        <w:t>, CMCC</w:t>
      </w:r>
    </w:p>
    <w:p w14:paraId="7CAB00D7" w14:textId="46E60AA7" w:rsidR="009E6BAA"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40391B">
        <w:rPr>
          <w:rFonts w:cs="Arial"/>
          <w:b/>
          <w:bCs/>
          <w:snapToGrid w:val="0"/>
          <w:kern w:val="0"/>
          <w:sz w:val="28"/>
          <w:szCs w:val="28"/>
        </w:rPr>
        <w:t>2RX capability</w:t>
      </w:r>
      <w:r>
        <w:rPr>
          <w:rFonts w:cs="Arial"/>
          <w:b/>
          <w:bCs/>
          <w:snapToGrid w:val="0"/>
          <w:kern w:val="0"/>
          <w:sz w:val="28"/>
          <w:szCs w:val="28"/>
        </w:rPr>
        <w:t xml:space="preserve"> </w:t>
      </w:r>
      <w:r w:rsidR="0040391B">
        <w:rPr>
          <w:rFonts w:cs="Arial"/>
          <w:b/>
          <w:bCs/>
          <w:snapToGrid w:val="0"/>
          <w:kern w:val="0"/>
          <w:sz w:val="28"/>
          <w:szCs w:val="28"/>
        </w:rPr>
        <w:t>for XR</w:t>
      </w:r>
    </w:p>
    <w:p w14:paraId="474C347C" w14:textId="5A7FB578"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w:t>
      </w:r>
      <w:r w:rsidR="0040391B">
        <w:rPr>
          <w:rFonts w:cs="Arial"/>
          <w:b/>
          <w:bCs/>
          <w:snapToGrid w:val="0"/>
          <w:kern w:val="0"/>
          <w:sz w:val="28"/>
          <w:szCs w:val="28"/>
        </w:rPr>
        <w:t>24.2.1</w:t>
      </w:r>
    </w:p>
    <w:p w14:paraId="518666F7" w14:textId="77777777" w:rsidR="009E6BAA"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C28FD7B"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6EA4E4B3" w14:textId="77777777" w:rsidR="0040391B" w:rsidRDefault="00000000" w:rsidP="006770B6">
      <w:pPr>
        <w:pStyle w:val="NormalWeb"/>
        <w:spacing w:before="75" w:beforeAutospacing="0" w:after="75" w:afterAutospacing="0" w:line="315" w:lineRule="atLeast"/>
        <w:rPr>
          <w:rFonts w:cs="Arial"/>
          <w:color w:val="000000"/>
          <w:sz w:val="21"/>
        </w:rPr>
      </w:pPr>
      <w:r>
        <w:rPr>
          <w:rFonts w:cs="Arial"/>
          <w:color w:val="000000"/>
          <w:sz w:val="21"/>
        </w:rPr>
        <w:t xml:space="preserve">At </w:t>
      </w:r>
      <w:r w:rsidR="0040391B">
        <w:rPr>
          <w:rFonts w:cs="Arial"/>
          <w:color w:val="000000"/>
          <w:sz w:val="21"/>
        </w:rPr>
        <w:t>RAN#102 the following way forward was agreed for specification of 2RX relaxation for XR UEs:</w:t>
      </w:r>
    </w:p>
    <w:p w14:paraId="3FED7015" w14:textId="5891969C" w:rsidR="009E6BAA" w:rsidRDefault="00000000" w:rsidP="006770B6">
      <w:pPr>
        <w:pStyle w:val="NormalWeb"/>
        <w:spacing w:before="75" w:beforeAutospacing="0" w:after="75" w:afterAutospacing="0" w:line="315" w:lineRule="atLeast"/>
        <w:rPr>
          <w:rFonts w:cs="Arial"/>
          <w:bCs/>
          <w:color w:val="000000"/>
        </w:rPr>
      </w:pPr>
      <w:r>
        <w:rPr>
          <w:rFonts w:cs="Arial"/>
          <w:bCs/>
          <w:color w:val="000000"/>
        </w:rPr>
        <w:t xml:space="preserve"> </w:t>
      </w:r>
    </w:p>
    <w:tbl>
      <w:tblPr>
        <w:tblStyle w:val="TableGrid"/>
        <w:tblW w:w="0" w:type="auto"/>
        <w:tblLook w:val="04A0" w:firstRow="1" w:lastRow="0" w:firstColumn="1" w:lastColumn="0" w:noHBand="0" w:noVBand="1"/>
      </w:tblPr>
      <w:tblGrid>
        <w:gridCol w:w="9771"/>
      </w:tblGrid>
      <w:tr w:rsidR="006770B6" w14:paraId="7174AFEC" w14:textId="77777777" w:rsidTr="006770B6">
        <w:tc>
          <w:tcPr>
            <w:tcW w:w="9771" w:type="dxa"/>
          </w:tcPr>
          <w:p w14:paraId="003FE146" w14:textId="77777777" w:rsidR="0040391B" w:rsidRPr="0040391B" w:rsidRDefault="0040391B" w:rsidP="0040391B">
            <w:pPr>
              <w:widowControl/>
              <w:numPr>
                <w:ilvl w:val="0"/>
                <w:numId w:val="11"/>
              </w:numPr>
              <w:ind w:left="360"/>
              <w:contextualSpacing/>
              <w:jc w:val="left"/>
              <w:rPr>
                <w:rFonts w:ascii="Calibri" w:eastAsia="Calibri" w:hAnsi="Calibri"/>
                <w:kern w:val="0"/>
                <w:sz w:val="22"/>
                <w:szCs w:val="22"/>
                <w:lang w:val="en-US"/>
              </w:rPr>
            </w:pPr>
            <w:r w:rsidRPr="0040391B">
              <w:rPr>
                <w:rFonts w:ascii="Calibri" w:eastAsia="Calibri" w:hAnsi="Calibri"/>
                <w:b/>
                <w:bCs/>
                <w:kern w:val="0"/>
                <w:sz w:val="22"/>
                <w:szCs w:val="22"/>
                <w:u w:val="single"/>
                <w:lang w:val="en-US"/>
              </w:rPr>
              <w:t>Task RAN2 and RAN3</w:t>
            </w:r>
            <w:r w:rsidRPr="0040391B">
              <w:rPr>
                <w:rFonts w:ascii="Calibri" w:eastAsia="Calibri" w:hAnsi="Calibri"/>
                <w:kern w:val="0"/>
                <w:sz w:val="22"/>
                <w:szCs w:val="22"/>
                <w:lang w:val="en-US"/>
              </w:rPr>
              <w:t xml:space="preserve"> to develop signaling support for ‘2Rx non-REDCAP XR devices’, send corresponding Release-18 draft CR(s) to RAN#103:</w:t>
            </w:r>
          </w:p>
          <w:p w14:paraId="2DB1F51A" w14:textId="77777777" w:rsidR="0040391B" w:rsidRPr="0040391B" w:rsidRDefault="0040391B" w:rsidP="0040391B">
            <w:pPr>
              <w:widowControl/>
              <w:numPr>
                <w:ilvl w:val="0"/>
                <w:numId w:val="12"/>
              </w:numPr>
              <w:ind w:left="720"/>
              <w:contextualSpacing/>
              <w:jc w:val="left"/>
              <w:rPr>
                <w:rFonts w:ascii="Calibri" w:eastAsia="Calibri" w:hAnsi="Calibri"/>
                <w:kern w:val="0"/>
                <w:sz w:val="22"/>
                <w:szCs w:val="22"/>
                <w:highlight w:val="yellow"/>
                <w:lang w:val="en-US"/>
              </w:rPr>
            </w:pPr>
            <w:r w:rsidRPr="0040391B">
              <w:rPr>
                <w:rFonts w:ascii="Calibri" w:eastAsia="Calibri" w:hAnsi="Calibri"/>
                <w:kern w:val="0"/>
                <w:sz w:val="22"/>
                <w:szCs w:val="22"/>
                <w:highlight w:val="yellow"/>
                <w:lang w:val="en-US"/>
              </w:rPr>
              <w:t>A new dedicated UE capability indication per band and setting of corresponding existing UE capability(</w:t>
            </w:r>
            <w:proofErr w:type="spellStart"/>
            <w:r w:rsidRPr="0040391B">
              <w:rPr>
                <w:rFonts w:ascii="Calibri" w:eastAsia="Calibri" w:hAnsi="Calibri"/>
                <w:kern w:val="0"/>
                <w:sz w:val="22"/>
                <w:szCs w:val="22"/>
                <w:highlight w:val="yellow"/>
                <w:lang w:val="en-US"/>
              </w:rPr>
              <w:t>ies</w:t>
            </w:r>
            <w:proofErr w:type="spellEnd"/>
            <w:r w:rsidRPr="0040391B">
              <w:rPr>
                <w:rFonts w:ascii="Calibri" w:eastAsia="Calibri" w:hAnsi="Calibri"/>
                <w:kern w:val="0"/>
                <w:sz w:val="22"/>
                <w:szCs w:val="22"/>
                <w:highlight w:val="yellow"/>
                <w:lang w:val="en-US"/>
              </w:rPr>
              <w:t>). [RAN2]</w:t>
            </w:r>
            <w:r w:rsidRPr="0040391B">
              <w:rPr>
                <w:rFonts w:ascii="Calibri" w:eastAsia="Calibri" w:hAnsi="Calibri"/>
                <w:kern w:val="0"/>
                <w:sz w:val="22"/>
                <w:szCs w:val="22"/>
                <w:highlight w:val="yellow"/>
                <w:lang w:val="en-US"/>
              </w:rPr>
              <w:br/>
            </w:r>
            <w:r w:rsidRPr="0040391B">
              <w:rPr>
                <w:rFonts w:ascii="Calibri" w:eastAsia="Calibri" w:hAnsi="Calibri"/>
                <w:i/>
                <w:iCs/>
                <w:kern w:val="0"/>
                <w:sz w:val="22"/>
                <w:szCs w:val="22"/>
                <w:highlight w:val="yellow"/>
                <w:lang w:val="en-US"/>
              </w:rPr>
              <w:t>Note: no need is foreseen to add an indication to Msg1 or Msg3.</w:t>
            </w:r>
          </w:p>
          <w:p w14:paraId="1F14A28B" w14:textId="77777777" w:rsidR="0040391B" w:rsidRPr="0040391B" w:rsidRDefault="0040391B" w:rsidP="0040391B">
            <w:pPr>
              <w:widowControl/>
              <w:numPr>
                <w:ilvl w:val="0"/>
                <w:numId w:val="12"/>
              </w:numPr>
              <w:ind w:left="720"/>
              <w:contextualSpacing/>
              <w:jc w:val="left"/>
              <w:rPr>
                <w:rFonts w:ascii="Calibri" w:eastAsia="Calibri" w:hAnsi="Calibri"/>
                <w:kern w:val="0"/>
                <w:sz w:val="22"/>
                <w:szCs w:val="22"/>
                <w:highlight w:val="yellow"/>
                <w:lang w:val="en-US"/>
              </w:rPr>
            </w:pPr>
            <w:r w:rsidRPr="0040391B">
              <w:rPr>
                <w:rFonts w:ascii="Calibri" w:eastAsia="Calibri" w:hAnsi="Calibri"/>
                <w:kern w:val="0"/>
                <w:sz w:val="22"/>
                <w:szCs w:val="22"/>
                <w:highlight w:val="yellow"/>
                <w:lang w:val="en-US"/>
              </w:rPr>
              <w:t xml:space="preserve">Indication in SIB, to be used to re-direct to another frequency layer, or to bar the device altogether. [RAN2] </w:t>
            </w:r>
          </w:p>
          <w:p w14:paraId="75AC63EB" w14:textId="77777777" w:rsidR="0040391B" w:rsidRPr="0040391B" w:rsidRDefault="0040391B" w:rsidP="0040391B">
            <w:pPr>
              <w:widowControl/>
              <w:numPr>
                <w:ilvl w:val="0"/>
                <w:numId w:val="12"/>
              </w:numPr>
              <w:ind w:left="720"/>
              <w:contextualSpacing/>
              <w:jc w:val="left"/>
              <w:rPr>
                <w:rFonts w:ascii="Calibri" w:eastAsia="Calibri" w:hAnsi="Calibri"/>
                <w:kern w:val="0"/>
                <w:sz w:val="22"/>
                <w:szCs w:val="22"/>
                <w:lang w:val="en-US"/>
              </w:rPr>
            </w:pPr>
            <w:r w:rsidRPr="0040391B">
              <w:rPr>
                <w:rFonts w:ascii="Calibri" w:eastAsia="Calibri" w:hAnsi="Calibri"/>
                <w:kern w:val="0"/>
                <w:sz w:val="22"/>
                <w:szCs w:val="22"/>
                <w:lang w:val="en-US"/>
              </w:rPr>
              <w:t xml:space="preserve">SPID indication from the Core Network to </w:t>
            </w:r>
            <w:proofErr w:type="spellStart"/>
            <w:r w:rsidRPr="0040391B">
              <w:rPr>
                <w:rFonts w:ascii="Calibri" w:eastAsia="Calibri" w:hAnsi="Calibri"/>
                <w:kern w:val="0"/>
                <w:sz w:val="22"/>
                <w:szCs w:val="22"/>
                <w:lang w:val="en-US"/>
              </w:rPr>
              <w:t>gNB</w:t>
            </w:r>
            <w:proofErr w:type="spellEnd"/>
            <w:r w:rsidRPr="0040391B">
              <w:rPr>
                <w:rFonts w:ascii="Calibri" w:eastAsia="Calibri" w:hAnsi="Calibri"/>
                <w:kern w:val="0"/>
                <w:sz w:val="22"/>
                <w:szCs w:val="22"/>
                <w:lang w:val="en-US"/>
              </w:rPr>
              <w:t>. [RAN3]</w:t>
            </w:r>
          </w:p>
          <w:p w14:paraId="71821BC4" w14:textId="77777777" w:rsidR="0040391B" w:rsidRPr="0040391B" w:rsidRDefault="0040391B" w:rsidP="0040391B">
            <w:pPr>
              <w:widowControl/>
              <w:numPr>
                <w:ilvl w:val="0"/>
                <w:numId w:val="12"/>
              </w:numPr>
              <w:ind w:left="720"/>
              <w:contextualSpacing/>
              <w:jc w:val="left"/>
              <w:rPr>
                <w:rFonts w:ascii="Calibri" w:eastAsia="Calibri" w:hAnsi="Calibri"/>
                <w:kern w:val="0"/>
                <w:sz w:val="22"/>
                <w:szCs w:val="22"/>
                <w:lang w:val="en-US"/>
              </w:rPr>
            </w:pPr>
            <w:r w:rsidRPr="0040391B">
              <w:rPr>
                <w:rFonts w:ascii="Calibri" w:eastAsia="Calibri" w:hAnsi="Calibri"/>
                <w:kern w:val="0"/>
                <w:sz w:val="22"/>
                <w:szCs w:val="22"/>
                <w:lang w:val="en-US"/>
              </w:rPr>
              <w:t xml:space="preserve">N2-NGAP indication for ‘2Rx non-REDCAP XR devices’ from </w:t>
            </w:r>
            <w:proofErr w:type="spellStart"/>
            <w:r w:rsidRPr="0040391B">
              <w:rPr>
                <w:rFonts w:ascii="Calibri" w:eastAsia="Calibri" w:hAnsi="Calibri"/>
                <w:kern w:val="0"/>
                <w:sz w:val="22"/>
                <w:szCs w:val="22"/>
                <w:lang w:val="en-US"/>
              </w:rPr>
              <w:t>gNB</w:t>
            </w:r>
            <w:proofErr w:type="spellEnd"/>
            <w:r w:rsidRPr="0040391B">
              <w:rPr>
                <w:rFonts w:ascii="Calibri" w:eastAsia="Calibri" w:hAnsi="Calibri"/>
                <w:kern w:val="0"/>
                <w:sz w:val="22"/>
                <w:szCs w:val="22"/>
                <w:lang w:val="en-US"/>
              </w:rPr>
              <w:t xml:space="preserve"> to Core Network to take action based on operator policy. [RAN3]  </w:t>
            </w:r>
          </w:p>
          <w:p w14:paraId="27700F89" w14:textId="77777777" w:rsidR="0040391B" w:rsidRPr="0040391B" w:rsidRDefault="0040391B" w:rsidP="0040391B">
            <w:pPr>
              <w:widowControl/>
              <w:ind w:left="720"/>
              <w:contextualSpacing/>
              <w:jc w:val="left"/>
              <w:rPr>
                <w:rFonts w:ascii="Calibri" w:eastAsia="Calibri" w:hAnsi="Calibri"/>
                <w:kern w:val="0"/>
                <w:sz w:val="22"/>
                <w:szCs w:val="22"/>
                <w:lang w:val="en-US"/>
              </w:rPr>
            </w:pPr>
          </w:p>
          <w:p w14:paraId="1110D2D0" w14:textId="77777777" w:rsidR="0040391B" w:rsidRPr="0040391B" w:rsidRDefault="0040391B" w:rsidP="0040391B">
            <w:pPr>
              <w:widowControl/>
              <w:numPr>
                <w:ilvl w:val="0"/>
                <w:numId w:val="11"/>
              </w:numPr>
              <w:ind w:left="360"/>
              <w:contextualSpacing/>
              <w:jc w:val="left"/>
              <w:rPr>
                <w:rFonts w:ascii="Calibri" w:eastAsia="Calibri" w:hAnsi="Calibri"/>
                <w:kern w:val="0"/>
                <w:sz w:val="22"/>
                <w:szCs w:val="22"/>
                <w:lang w:val="en-US"/>
              </w:rPr>
            </w:pPr>
            <w:r w:rsidRPr="0040391B">
              <w:rPr>
                <w:rFonts w:ascii="Calibri" w:eastAsia="Calibri" w:hAnsi="Calibri"/>
                <w:b/>
                <w:bCs/>
                <w:kern w:val="0"/>
                <w:sz w:val="22"/>
                <w:szCs w:val="22"/>
                <w:u w:val="single"/>
                <w:lang w:val="en-US"/>
              </w:rPr>
              <w:t>Task RAN4</w:t>
            </w:r>
            <w:r w:rsidRPr="0040391B">
              <w:rPr>
                <w:rFonts w:ascii="Calibri" w:eastAsia="Calibri" w:hAnsi="Calibri"/>
                <w:kern w:val="0"/>
                <w:sz w:val="22"/>
                <w:szCs w:val="22"/>
                <w:lang w:val="en-US"/>
              </w:rPr>
              <w:t xml:space="preserve"> to develop Release-18 draft CR(s) to RAN#103 for ‘2Rx non-REDCAP XR devices’:</w:t>
            </w:r>
          </w:p>
          <w:p w14:paraId="4D743972" w14:textId="080BB768" w:rsidR="0040391B" w:rsidRPr="0040391B" w:rsidRDefault="0040391B" w:rsidP="0040391B">
            <w:pPr>
              <w:widowControl/>
              <w:numPr>
                <w:ilvl w:val="0"/>
                <w:numId w:val="12"/>
              </w:numPr>
              <w:ind w:left="720"/>
              <w:contextualSpacing/>
              <w:jc w:val="left"/>
              <w:rPr>
                <w:rFonts w:ascii="Calibri" w:eastAsia="Calibri" w:hAnsi="Calibri"/>
                <w:kern w:val="0"/>
                <w:sz w:val="22"/>
                <w:szCs w:val="22"/>
                <w:lang w:val="en-US"/>
              </w:rPr>
            </w:pPr>
            <w:r w:rsidRPr="0040391B">
              <w:rPr>
                <w:rFonts w:ascii="Calibri" w:eastAsia="Calibri" w:hAnsi="Calibri"/>
                <w:kern w:val="0"/>
                <w:sz w:val="22"/>
                <w:szCs w:val="22"/>
                <w:lang w:val="en-US"/>
              </w:rPr>
              <w:t xml:space="preserve">Capture the definition of 2Rx non-REDCAP XR devices in [38.101-1] using the definition from RAN#101 (c.f. </w:t>
            </w:r>
            <w:hyperlink r:id="rId8" w:history="1">
              <w:r w:rsidRPr="004211C1">
                <w:rPr>
                  <w:rStyle w:val="Hyperlink"/>
                  <w:rFonts w:ascii="Calibri" w:eastAsia="Calibri" w:hAnsi="Calibri"/>
                  <w:kern w:val="0"/>
                  <w:sz w:val="22"/>
                  <w:szCs w:val="22"/>
                  <w:lang w:eastAsia="en-US"/>
                </w:rPr>
                <w:t>RP-232657</w:t>
              </w:r>
            </w:hyperlink>
            <w:r w:rsidRPr="0040391B">
              <w:rPr>
                <w:rFonts w:ascii="Calibri" w:eastAsia="Calibri" w:hAnsi="Calibri"/>
                <w:kern w:val="0"/>
                <w:sz w:val="22"/>
                <w:szCs w:val="22"/>
                <w:lang w:val="en-US"/>
              </w:rPr>
              <w:t>)</w:t>
            </w:r>
          </w:p>
          <w:p w14:paraId="7ECCB9FB" w14:textId="77777777" w:rsidR="0040391B" w:rsidRPr="0040391B" w:rsidRDefault="0040391B" w:rsidP="0040391B">
            <w:pPr>
              <w:widowControl/>
              <w:numPr>
                <w:ilvl w:val="0"/>
                <w:numId w:val="12"/>
              </w:numPr>
              <w:ind w:left="720"/>
              <w:contextualSpacing/>
              <w:jc w:val="left"/>
              <w:rPr>
                <w:rFonts w:ascii="Calibri" w:eastAsia="Calibri" w:hAnsi="Calibri"/>
                <w:kern w:val="0"/>
                <w:sz w:val="22"/>
                <w:szCs w:val="22"/>
                <w:lang w:val="en-US"/>
              </w:rPr>
            </w:pPr>
            <w:r w:rsidRPr="0040391B">
              <w:rPr>
                <w:rFonts w:ascii="Calibri" w:eastAsia="Calibri" w:hAnsi="Calibri"/>
                <w:kern w:val="0"/>
                <w:sz w:val="22"/>
                <w:szCs w:val="22"/>
                <w:lang w:val="en-US"/>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0F07BDC9" w14:textId="77777777" w:rsidR="0040391B" w:rsidRPr="0040391B" w:rsidRDefault="0040391B" w:rsidP="0040391B">
            <w:pPr>
              <w:widowControl/>
              <w:ind w:left="720"/>
              <w:contextualSpacing/>
              <w:jc w:val="left"/>
              <w:rPr>
                <w:rFonts w:ascii="Calibri" w:eastAsia="Calibri" w:hAnsi="Calibri"/>
                <w:kern w:val="0"/>
                <w:sz w:val="22"/>
                <w:szCs w:val="22"/>
                <w:lang w:val="en-US"/>
              </w:rPr>
            </w:pPr>
          </w:p>
          <w:p w14:paraId="37087534" w14:textId="77777777" w:rsidR="0040391B" w:rsidRPr="0040391B" w:rsidRDefault="0040391B" w:rsidP="0040391B">
            <w:pPr>
              <w:widowControl/>
              <w:numPr>
                <w:ilvl w:val="0"/>
                <w:numId w:val="11"/>
              </w:numPr>
              <w:ind w:left="360"/>
              <w:contextualSpacing/>
              <w:jc w:val="left"/>
              <w:rPr>
                <w:rFonts w:ascii="Calibri" w:eastAsia="Calibri" w:hAnsi="Calibri"/>
                <w:kern w:val="0"/>
                <w:sz w:val="22"/>
                <w:szCs w:val="22"/>
              </w:rPr>
            </w:pPr>
            <w:r w:rsidRPr="0040391B">
              <w:rPr>
                <w:rFonts w:ascii="Calibri" w:eastAsia="Calibri" w:hAnsi="Calibri"/>
                <w:b/>
                <w:bCs/>
                <w:kern w:val="0"/>
                <w:sz w:val="22"/>
                <w:szCs w:val="22"/>
                <w:u w:val="single"/>
                <w:lang w:val="en-US"/>
              </w:rPr>
              <w:t>TSG-RAN#103 in March:</w:t>
            </w:r>
            <w:r w:rsidRPr="0040391B">
              <w:rPr>
                <w:rFonts w:ascii="Calibri" w:eastAsia="Calibri" w:hAnsi="Calibri"/>
                <w:kern w:val="0"/>
                <w:sz w:val="22"/>
                <w:szCs w:val="22"/>
                <w:lang w:val="en-US"/>
              </w:rPr>
              <w:t xml:space="preserve"> </w:t>
            </w:r>
          </w:p>
          <w:p w14:paraId="5A8513AC" w14:textId="77777777" w:rsidR="0040391B" w:rsidRPr="0040391B" w:rsidRDefault="0040391B" w:rsidP="0040391B">
            <w:pPr>
              <w:widowControl/>
              <w:numPr>
                <w:ilvl w:val="0"/>
                <w:numId w:val="13"/>
              </w:numPr>
              <w:contextualSpacing/>
              <w:jc w:val="left"/>
              <w:rPr>
                <w:rFonts w:ascii="Calibri" w:eastAsia="Calibri" w:hAnsi="Calibri"/>
                <w:kern w:val="0"/>
                <w:sz w:val="22"/>
                <w:szCs w:val="22"/>
              </w:rPr>
            </w:pPr>
            <w:r w:rsidRPr="0040391B">
              <w:rPr>
                <w:rFonts w:ascii="Calibri" w:eastAsia="Calibri" w:hAnsi="Calibri"/>
                <w:kern w:val="0"/>
                <w:sz w:val="22"/>
                <w:szCs w:val="22"/>
                <w:highlight w:val="yellow"/>
                <w:lang w:val="en-US"/>
              </w:rPr>
              <w:t>Consider approving the draft CRs from RAN2</w:t>
            </w:r>
            <w:r w:rsidRPr="0040391B">
              <w:rPr>
                <w:rFonts w:ascii="Calibri" w:eastAsia="Calibri" w:hAnsi="Calibri"/>
                <w:kern w:val="0"/>
                <w:sz w:val="22"/>
                <w:szCs w:val="22"/>
                <w:lang w:val="en-US"/>
              </w:rPr>
              <w:t>, RAN3 and RAN4 for Release-18</w:t>
            </w:r>
          </w:p>
          <w:p w14:paraId="16F94AA2" w14:textId="77777777" w:rsidR="0040391B" w:rsidRPr="0040391B" w:rsidRDefault="0040391B" w:rsidP="0040391B">
            <w:pPr>
              <w:widowControl/>
              <w:numPr>
                <w:ilvl w:val="0"/>
                <w:numId w:val="13"/>
              </w:numPr>
              <w:contextualSpacing/>
              <w:jc w:val="left"/>
              <w:rPr>
                <w:rFonts w:ascii="Calibri" w:eastAsia="Calibri" w:hAnsi="Calibri"/>
                <w:kern w:val="0"/>
                <w:sz w:val="22"/>
                <w:szCs w:val="22"/>
              </w:rPr>
            </w:pPr>
            <w:r w:rsidRPr="0040391B">
              <w:rPr>
                <w:rFonts w:ascii="Calibri" w:eastAsia="Calibri" w:hAnsi="Calibri"/>
                <w:kern w:val="0"/>
                <w:sz w:val="22"/>
                <w:szCs w:val="22"/>
                <w:lang w:val="en-US"/>
              </w:rPr>
              <w:t xml:space="preserve">Consider approving Release-19 work to be conducted on detailed OTA work for ‘2Rx non-REDCAP XR </w:t>
            </w:r>
            <w:proofErr w:type="gramStart"/>
            <w:r w:rsidRPr="0040391B">
              <w:rPr>
                <w:rFonts w:ascii="Calibri" w:eastAsia="Calibri" w:hAnsi="Calibri"/>
                <w:kern w:val="0"/>
                <w:sz w:val="22"/>
                <w:szCs w:val="22"/>
                <w:lang w:val="en-US"/>
              </w:rPr>
              <w:t>devices’</w:t>
            </w:r>
            <w:proofErr w:type="gramEnd"/>
            <w:r w:rsidRPr="0040391B">
              <w:rPr>
                <w:rFonts w:ascii="Calibri" w:eastAsia="Calibri" w:hAnsi="Calibri"/>
                <w:kern w:val="0"/>
                <w:sz w:val="22"/>
                <w:szCs w:val="22"/>
                <w:lang w:val="en-US"/>
              </w:rPr>
              <w:t>.</w:t>
            </w:r>
          </w:p>
          <w:p w14:paraId="2227F1D1" w14:textId="54A69D9C" w:rsidR="006770B6" w:rsidRPr="0040391B" w:rsidRDefault="0040391B" w:rsidP="0040391B">
            <w:pPr>
              <w:widowControl/>
              <w:numPr>
                <w:ilvl w:val="0"/>
                <w:numId w:val="13"/>
              </w:numPr>
              <w:contextualSpacing/>
              <w:jc w:val="left"/>
              <w:rPr>
                <w:rFonts w:ascii="Calibri" w:eastAsia="Calibri" w:hAnsi="Calibri"/>
                <w:kern w:val="0"/>
                <w:sz w:val="22"/>
                <w:szCs w:val="22"/>
              </w:rPr>
            </w:pPr>
            <w:r w:rsidRPr="0040391B">
              <w:rPr>
                <w:rFonts w:ascii="Calibri" w:hAnsi="Calibri"/>
                <w:sz w:val="22"/>
                <w:szCs w:val="22"/>
                <w:lang w:val="en-US"/>
              </w:rPr>
              <w:t xml:space="preserve">Points 1) and 2) represent a package, each one is dependent on the other moving forward.  </w:t>
            </w:r>
            <w:r w:rsidRPr="0040391B">
              <w:rPr>
                <w:rFonts w:ascii="Calibri" w:hAnsi="Calibri"/>
                <w:sz w:val="22"/>
                <w:szCs w:val="22"/>
                <w:lang w:val="en-US"/>
              </w:rPr>
              <w:br/>
            </w:r>
          </w:p>
        </w:tc>
      </w:tr>
    </w:tbl>
    <w:p w14:paraId="4F7E99C9" w14:textId="76F8955A" w:rsidR="006770B6" w:rsidRDefault="006770B6" w:rsidP="006770B6">
      <w:pPr>
        <w:pStyle w:val="NormalWeb"/>
        <w:spacing w:before="75" w:beforeAutospacing="0" w:after="75" w:afterAutospacing="0" w:line="315" w:lineRule="atLeast"/>
        <w:rPr>
          <w:rFonts w:eastAsia="MS Mincho"/>
          <w:bCs/>
          <w:sz w:val="20"/>
          <w:szCs w:val="24"/>
        </w:rPr>
      </w:pPr>
      <w:r>
        <w:rPr>
          <w:rFonts w:eastAsia="MS Mincho"/>
          <w:bCs/>
          <w:sz w:val="20"/>
          <w:szCs w:val="24"/>
        </w:rPr>
        <w:t xml:space="preserve">In this contribution, </w:t>
      </w:r>
      <w:r w:rsidR="0040391B">
        <w:rPr>
          <w:rFonts w:eastAsia="MS Mincho"/>
          <w:bCs/>
          <w:sz w:val="20"/>
          <w:szCs w:val="24"/>
        </w:rPr>
        <w:t xml:space="preserve">we discuss the RAN2 specific issues of the above agreement and propose a way forward to meet the RAN plenary agreements per </w:t>
      </w:r>
      <w:proofErr w:type="gramStart"/>
      <w:r w:rsidR="0040391B">
        <w:rPr>
          <w:rFonts w:eastAsia="MS Mincho"/>
          <w:bCs/>
          <w:sz w:val="20"/>
          <w:szCs w:val="24"/>
        </w:rPr>
        <w:t xml:space="preserve">above </w:t>
      </w:r>
      <w:r>
        <w:rPr>
          <w:rFonts w:eastAsia="MS Mincho"/>
          <w:bCs/>
          <w:sz w:val="20"/>
          <w:szCs w:val="24"/>
        </w:rPr>
        <w:t>.</w:t>
      </w:r>
      <w:proofErr w:type="gramEnd"/>
      <w:r>
        <w:rPr>
          <w:rFonts w:eastAsia="MS Mincho"/>
          <w:bCs/>
          <w:sz w:val="20"/>
          <w:szCs w:val="24"/>
        </w:rPr>
        <w:t xml:space="preserve"> </w:t>
      </w:r>
    </w:p>
    <w:p w14:paraId="12F1B9D0" w14:textId="52CF7541" w:rsidR="009E6BAA" w:rsidRDefault="00421DC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76EDE8BA" w14:textId="4494A2B3" w:rsidR="0093562F" w:rsidRDefault="0040391B" w:rsidP="0093562F">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UE capability indication for 2RX XR devices</w:t>
      </w:r>
    </w:p>
    <w:p w14:paraId="29132FB6" w14:textId="281861C6" w:rsidR="00097C02" w:rsidRDefault="0040391B" w:rsidP="0093562F">
      <w:r>
        <w:t xml:space="preserve">2RX exception for devices has been specified in the past in RAN2 for NR devices. This includes exception for vehicular UEs specified for NR. However, in contrast to the vehicular UEs where the 2RX exception is implicitly indicated via the UE’s MIMO layer capabilities, RAN2 now needs to specify the 2RX exception for XR devices with an explicit capability indication which is to be included on a per band basis. </w:t>
      </w:r>
    </w:p>
    <w:p w14:paraId="20C30C45" w14:textId="47C5E3AC" w:rsidR="0040391B" w:rsidRPr="0040391B" w:rsidRDefault="0040391B" w:rsidP="0093562F">
      <w:pPr>
        <w:rPr>
          <w:b/>
          <w:bCs/>
        </w:rPr>
      </w:pPr>
      <w:r w:rsidRPr="0040391B">
        <w:rPr>
          <w:b/>
          <w:bCs/>
        </w:rPr>
        <w:t>Observation 1: Unlike the specification of 2RX exception for vehicular UEs, RAN2 needs to specify an explicit per-band indication of 2RX exception for XR UEs</w:t>
      </w:r>
    </w:p>
    <w:p w14:paraId="49833529" w14:textId="68CC985D" w:rsidR="006C5C8A" w:rsidRDefault="0040391B" w:rsidP="006C5C8A">
      <w:r>
        <w:t xml:space="preserve">It should be noted that the exception for 2RX is only allowed </w:t>
      </w:r>
      <w:r w:rsidR="006C5C8A">
        <w:t xml:space="preserve">if the UE is a </w:t>
      </w:r>
      <w:r>
        <w:t>Non-REDCAP UE</w:t>
      </w:r>
      <w:r w:rsidR="006C5C8A">
        <w:t xml:space="preserve"> and an XR device that is a wearable. </w:t>
      </w:r>
    </w:p>
    <w:p w14:paraId="2753CB84" w14:textId="206DC1F4" w:rsidR="0040391B" w:rsidRDefault="0040391B" w:rsidP="0040391B">
      <w:r>
        <w:t>I</w:t>
      </w:r>
      <w:r w:rsidR="001A566B">
        <w:t xml:space="preserve">n order to ensure the above conditions, we need to specify some requirements on the UE when it is allowed to </w:t>
      </w:r>
      <w:r w:rsidR="00FD14D9">
        <w:t>indicate</w:t>
      </w:r>
      <w:r w:rsidR="001A566B">
        <w:t xml:space="preserve"> the </w:t>
      </w:r>
      <w:r w:rsidR="00FD14D9">
        <w:t>2RX XR capability</w:t>
      </w:r>
      <w:r w:rsidR="001A566B">
        <w:t>. For the requirement that this is only applicable to non-</w:t>
      </w:r>
      <w:proofErr w:type="spellStart"/>
      <w:r w:rsidR="001A566B">
        <w:t>RedCap</w:t>
      </w:r>
      <w:proofErr w:type="spellEnd"/>
      <w:r w:rsidR="001A566B">
        <w:t xml:space="preserve"> UEs, it is straightforward to specify a requirement that the UE is only allowed to signal the new 2RX indication if it </w:t>
      </w:r>
      <w:r w:rsidR="00FD14D9">
        <w:t xml:space="preserve">is a </w:t>
      </w:r>
      <w:r w:rsidR="001A566B">
        <w:t>non-</w:t>
      </w:r>
      <w:proofErr w:type="spellStart"/>
      <w:r w:rsidR="001A566B">
        <w:t>RedCap</w:t>
      </w:r>
      <w:proofErr w:type="spellEnd"/>
      <w:r w:rsidR="001A566B">
        <w:t xml:space="preserve"> UE (i.e. neither a Rel-17 nor a Rel-18 </w:t>
      </w:r>
      <w:proofErr w:type="spellStart"/>
      <w:r w:rsidR="001A566B">
        <w:t>RedCap</w:t>
      </w:r>
      <w:proofErr w:type="spellEnd"/>
      <w:r w:rsidR="001A566B">
        <w:t xml:space="preserve"> </w:t>
      </w:r>
      <w:r w:rsidR="00FD14D9">
        <w:t>indication should be indicated simultaneously</w:t>
      </w:r>
      <w:r w:rsidR="001A566B">
        <w:t xml:space="preserve">). </w:t>
      </w:r>
    </w:p>
    <w:p w14:paraId="4E77EF3F" w14:textId="3DE530D5" w:rsidR="0040391B" w:rsidRDefault="001A566B" w:rsidP="0093562F">
      <w:pPr>
        <w:rPr>
          <w:b/>
          <w:bCs/>
          <w:i/>
          <w:iCs/>
        </w:rPr>
      </w:pPr>
      <w:r w:rsidRPr="00FD14D9">
        <w:rPr>
          <w:b/>
          <w:bCs/>
        </w:rPr>
        <w:t xml:space="preserve">Proposal 1: </w:t>
      </w:r>
      <w:r w:rsidR="00FD14D9" w:rsidRPr="00FD14D9">
        <w:rPr>
          <w:b/>
          <w:bCs/>
        </w:rPr>
        <w:t>A</w:t>
      </w:r>
      <w:r w:rsidRPr="00FD14D9">
        <w:rPr>
          <w:b/>
          <w:bCs/>
        </w:rPr>
        <w:t xml:space="preserve"> UE indicating 2 RX capability for XR in any band shall not in</w:t>
      </w:r>
      <w:r w:rsidR="00FD14D9" w:rsidRPr="00FD14D9">
        <w:rPr>
          <w:b/>
          <w:bCs/>
        </w:rPr>
        <w:t xml:space="preserve">clude </w:t>
      </w:r>
      <w:r w:rsidR="00FD14D9" w:rsidRPr="00FD14D9">
        <w:rPr>
          <w:b/>
          <w:bCs/>
          <w:i/>
          <w:iCs/>
        </w:rPr>
        <w:t>supportOfRedCap-r17</w:t>
      </w:r>
      <w:r w:rsidR="00FD14D9" w:rsidRPr="00FD14D9">
        <w:rPr>
          <w:b/>
          <w:bCs/>
        </w:rPr>
        <w:t xml:space="preserve"> or </w:t>
      </w:r>
      <w:r w:rsidR="00FD14D9" w:rsidRPr="00FD14D9">
        <w:rPr>
          <w:b/>
          <w:bCs/>
          <w:i/>
          <w:iCs/>
        </w:rPr>
        <w:t>supportOfERedCap-r18</w:t>
      </w:r>
    </w:p>
    <w:p w14:paraId="76C9373C" w14:textId="77777777" w:rsidR="004211C1" w:rsidRDefault="00732E64" w:rsidP="0093562F">
      <w:r w:rsidRPr="00732E64">
        <w:t>Then</w:t>
      </w:r>
      <w:r>
        <w:t xml:space="preserve">, the second requirement is that this exception is only applicable to </w:t>
      </w:r>
      <w:r w:rsidR="004211C1">
        <w:t xml:space="preserve">a subset of </w:t>
      </w:r>
      <w:r>
        <w:t>XR devices</w:t>
      </w:r>
      <w:r w:rsidR="004211C1">
        <w:t xml:space="preserve"> which are: </w:t>
      </w:r>
    </w:p>
    <w:p w14:paraId="06199218" w14:textId="77777777" w:rsidR="004211C1" w:rsidRDefault="004211C1" w:rsidP="004211C1">
      <w:pPr>
        <w:pStyle w:val="ListParagraph"/>
        <w:numPr>
          <w:ilvl w:val="0"/>
          <w:numId w:val="12"/>
        </w:numPr>
        <w:ind w:firstLineChars="0"/>
      </w:pPr>
      <w:r>
        <w:t>Intended to be worn on the human head;</w:t>
      </w:r>
    </w:p>
    <w:p w14:paraId="71C08EDF" w14:textId="0BFE0586" w:rsidR="004211C1" w:rsidRDefault="004211C1" w:rsidP="004211C1">
      <w:pPr>
        <w:pStyle w:val="ListParagraph"/>
        <w:numPr>
          <w:ilvl w:val="0"/>
          <w:numId w:val="12"/>
        </w:numPr>
        <w:ind w:firstLineChars="0"/>
      </w:pPr>
      <w:r>
        <w:t>When in use, is intended to be supported</w:t>
      </w:r>
      <w:r w:rsidRPr="004211C1">
        <w:t xml:space="preserve"> only by/behind the ears and by a nose-bridge resulting in a constrained form factor with limited volume available for Rx chains;</w:t>
      </w:r>
    </w:p>
    <w:p w14:paraId="27CD5F97" w14:textId="486E82E4" w:rsidR="00732E64" w:rsidRDefault="00654A7F" w:rsidP="004211C1">
      <w:r>
        <w:t xml:space="preserve">The definition of the form factor for the devices to which this is applicable is going to be captured in RAN4. However, the intention </w:t>
      </w:r>
      <w:r w:rsidR="006C5C8A">
        <w:t>is that</w:t>
      </w:r>
      <w:r>
        <w:t xml:space="preserve"> this is applicable only to a subset of devices that are XR capable.  </w:t>
      </w:r>
      <w:r w:rsidR="00732E64">
        <w:t xml:space="preserve">Although XR as a feature has been developed under Rel-18, there is no single capability that makes a device XR device. So, it is unclear how we can mandate the new capability only for </w:t>
      </w:r>
      <w:r w:rsidR="004211C1">
        <w:t xml:space="preserve">a subset of </w:t>
      </w:r>
      <w:r w:rsidR="00732E64">
        <w:t>XR devices.</w:t>
      </w:r>
      <w:r w:rsidR="004211C1">
        <w:t xml:space="preserve"> One option is that the relaxation is applicable to any device that comes within the definition of the XR wearable devices which will be</w:t>
      </w:r>
      <w:r w:rsidR="00DE0C11">
        <w:t xml:space="preserve"> fully</w:t>
      </w:r>
      <w:r w:rsidR="004211C1">
        <w:t xml:space="preserve"> specified in RAN4 specifications. Another option is that</w:t>
      </w:r>
      <w:r w:rsidR="00732E64">
        <w:t xml:space="preserve"> the new class of 2RX XR exception should be allowed </w:t>
      </w:r>
      <w:r w:rsidR="004211C1">
        <w:t xml:space="preserve">for the XR wearable devices </w:t>
      </w:r>
      <w:r w:rsidR="00732E64">
        <w:t>only if at least one of the XR features specified in Rel-18 is supported by the UE at the same time.</w:t>
      </w:r>
      <w:r w:rsidR="004211C1">
        <w:t xml:space="preserve"> RAN2 can discuss and decide on one of these options. </w:t>
      </w:r>
      <w:r w:rsidR="00732E64">
        <w:t xml:space="preserve"> </w:t>
      </w:r>
    </w:p>
    <w:p w14:paraId="5C4BD60F" w14:textId="371634FE" w:rsidR="004211C1" w:rsidRDefault="0042153E" w:rsidP="0093562F">
      <w:pPr>
        <w:rPr>
          <w:b/>
          <w:bCs/>
        </w:rPr>
      </w:pPr>
      <w:r w:rsidRPr="0042153E">
        <w:rPr>
          <w:b/>
          <w:bCs/>
        </w:rPr>
        <w:t xml:space="preserve">Proposal 2: </w:t>
      </w:r>
      <w:r w:rsidR="004211C1">
        <w:rPr>
          <w:b/>
          <w:bCs/>
        </w:rPr>
        <w:t xml:space="preserve">RAN2 to decide </w:t>
      </w:r>
      <w:r w:rsidR="008077F2">
        <w:rPr>
          <w:b/>
          <w:bCs/>
        </w:rPr>
        <w:t>between</w:t>
      </w:r>
      <w:r w:rsidR="004211C1">
        <w:rPr>
          <w:b/>
          <w:bCs/>
        </w:rPr>
        <w:t xml:space="preserve">: </w:t>
      </w:r>
    </w:p>
    <w:p w14:paraId="1769CBA4" w14:textId="0C504146" w:rsidR="004211C1" w:rsidRDefault="004211C1" w:rsidP="004211C1">
      <w:pPr>
        <w:ind w:left="420"/>
        <w:rPr>
          <w:b/>
          <w:bCs/>
        </w:rPr>
      </w:pPr>
      <w:r w:rsidRPr="002A464C">
        <w:rPr>
          <w:b/>
          <w:bCs/>
          <w:u w:val="single"/>
        </w:rPr>
        <w:t>Option a)</w:t>
      </w:r>
      <w:r>
        <w:rPr>
          <w:b/>
          <w:bCs/>
        </w:rPr>
        <w:t xml:space="preserve"> The 2 RX relaxation is applicable </w:t>
      </w:r>
      <w:r w:rsidRPr="006C5C8A">
        <w:rPr>
          <w:b/>
          <w:bCs/>
          <w:u w:val="single"/>
        </w:rPr>
        <w:t>to any device</w:t>
      </w:r>
      <w:r>
        <w:rPr>
          <w:b/>
          <w:bCs/>
        </w:rPr>
        <w:t xml:space="preserve"> that falls within the definition of wearable device to be captured in RAN4 (regardless of support for any XR capabilities), or;</w:t>
      </w:r>
    </w:p>
    <w:p w14:paraId="692CABCA" w14:textId="6B70D6AF" w:rsidR="0042153E" w:rsidRDefault="004211C1" w:rsidP="004211C1">
      <w:pPr>
        <w:ind w:left="420"/>
        <w:rPr>
          <w:b/>
          <w:bCs/>
        </w:rPr>
      </w:pPr>
      <w:r w:rsidRPr="002A464C">
        <w:rPr>
          <w:b/>
          <w:bCs/>
          <w:u w:val="single"/>
        </w:rPr>
        <w:t>Option b)</w:t>
      </w:r>
      <w:r>
        <w:rPr>
          <w:b/>
          <w:bCs/>
        </w:rPr>
        <w:t xml:space="preserve"> On top of the definition of a wearable device captured in RAN4, </w:t>
      </w:r>
      <w:r w:rsidR="0042153E" w:rsidRPr="0042153E">
        <w:rPr>
          <w:b/>
          <w:bCs/>
        </w:rPr>
        <w:t xml:space="preserve">A UE indicating 2 RX </w:t>
      </w:r>
      <w:r w:rsidR="0042153E" w:rsidRPr="0042153E">
        <w:rPr>
          <w:b/>
          <w:bCs/>
        </w:rPr>
        <w:lastRenderedPageBreak/>
        <w:t xml:space="preserve">capability for XR in any band, shall also indicate support for </w:t>
      </w:r>
      <w:r w:rsidR="0042153E" w:rsidRPr="0042153E">
        <w:rPr>
          <w:b/>
          <w:bCs/>
          <w:u w:val="single"/>
        </w:rPr>
        <w:t>at least one</w:t>
      </w:r>
      <w:r w:rsidR="0042153E" w:rsidRPr="0042153E">
        <w:rPr>
          <w:b/>
          <w:bCs/>
        </w:rPr>
        <w:t xml:space="preserve"> of the </w:t>
      </w:r>
      <w:r w:rsidR="006C5C8A">
        <w:rPr>
          <w:b/>
          <w:bCs/>
        </w:rPr>
        <w:t>(</w:t>
      </w:r>
      <w:r w:rsidR="0042153E" w:rsidRPr="0042153E">
        <w:rPr>
          <w:b/>
          <w:bCs/>
        </w:rPr>
        <w:t>following</w:t>
      </w:r>
      <w:r w:rsidR="006C5C8A">
        <w:rPr>
          <w:b/>
          <w:bCs/>
        </w:rPr>
        <w:t>)</w:t>
      </w:r>
      <w:r w:rsidR="0042153E" w:rsidRPr="0042153E">
        <w:rPr>
          <w:b/>
          <w:bCs/>
        </w:rPr>
        <w:t xml:space="preserve"> </w:t>
      </w:r>
      <w:r>
        <w:rPr>
          <w:b/>
          <w:bCs/>
        </w:rPr>
        <w:t xml:space="preserve">XR </w:t>
      </w:r>
      <w:r w:rsidR="0042153E" w:rsidRPr="0042153E">
        <w:rPr>
          <w:b/>
          <w:bCs/>
        </w:rPr>
        <w:t xml:space="preserve">capabilities: </w:t>
      </w:r>
    </w:p>
    <w:p w14:paraId="50293C72" w14:textId="5E000CB2" w:rsidR="0042153E" w:rsidRPr="0042153E" w:rsidRDefault="0042153E" w:rsidP="002A464C">
      <w:pPr>
        <w:ind w:left="840"/>
        <w:rPr>
          <w:b/>
          <w:bCs/>
        </w:rPr>
      </w:pPr>
      <w:r w:rsidRPr="0042153E">
        <w:rPr>
          <w:b/>
          <w:bCs/>
        </w:rPr>
        <w:t>{additionalBSR-Table-r18, delayStatusReport-r18, enhancedDRX-r18, pdu-SetDiscard-r18, psi-B</w:t>
      </w:r>
      <w:r w:rsidRPr="00323156">
        <w:rPr>
          <w:b/>
          <w:bCs/>
        </w:rPr>
        <w:t>asedDiscard-r18, ul-TrafficInfo-r18, cg-PUSCH-UTO-UCI-Ind-r18</w:t>
      </w:r>
      <w:r w:rsidRPr="00323156">
        <w:rPr>
          <w:b/>
          <w:bCs/>
          <w:vertAlign w:val="superscript"/>
        </w:rPr>
        <w:t>Note</w:t>
      </w:r>
      <w:r w:rsidRPr="00323156">
        <w:rPr>
          <w:b/>
          <w:bCs/>
        </w:rPr>
        <w:t>, multiPUSCH-ActiveConfiguredGrant-r18</w:t>
      </w:r>
      <w:r w:rsidRPr="00323156">
        <w:rPr>
          <w:b/>
          <w:bCs/>
          <w:vertAlign w:val="superscript"/>
        </w:rPr>
        <w:t>Note</w:t>
      </w:r>
      <w:r w:rsidRPr="00323156">
        <w:rPr>
          <w:b/>
          <w:bCs/>
        </w:rPr>
        <w:t>, multiPUSCH-CG-r18</w:t>
      </w:r>
      <w:r w:rsidRPr="00323156">
        <w:rPr>
          <w:b/>
          <w:bCs/>
          <w:vertAlign w:val="superscript"/>
        </w:rPr>
        <w:t>Note</w:t>
      </w:r>
      <w:r w:rsidRPr="00323156">
        <w:rPr>
          <w:b/>
          <w:bCs/>
        </w:rPr>
        <w:t>, pdcch-MonitoringResumptionAfterUL-NACK-r18</w:t>
      </w:r>
      <w:r w:rsidRPr="00323156">
        <w:rPr>
          <w:b/>
          <w:bCs/>
          <w:vertAlign w:val="superscript"/>
        </w:rPr>
        <w:t xml:space="preserve"> Note</w:t>
      </w:r>
      <w:r w:rsidRPr="00323156">
        <w:rPr>
          <w:b/>
          <w:bCs/>
        </w:rPr>
        <w:t xml:space="preserve">}   </w:t>
      </w:r>
    </w:p>
    <w:p w14:paraId="61D84CF2" w14:textId="259ACE9E" w:rsidR="00732E64" w:rsidRPr="00965C05" w:rsidRDefault="00965C05" w:rsidP="0093562F">
      <w:pPr>
        <w:rPr>
          <w:b/>
          <w:bCs/>
        </w:rPr>
      </w:pPr>
      <w:r w:rsidRPr="00965C05">
        <w:rPr>
          <w:b/>
          <w:bCs/>
        </w:rPr>
        <w:t xml:space="preserve">Note: for the band specific XR capabilities above, the requirement applies if UE indicates 2RX capability in that band. </w:t>
      </w:r>
    </w:p>
    <w:p w14:paraId="1666973B" w14:textId="460BB77F" w:rsidR="00421DC2" w:rsidRDefault="00A84B87" w:rsidP="00421DC2">
      <w:pPr>
        <w:pStyle w:val="Heading1"/>
        <w:widowControl/>
        <w:numPr>
          <w:ilvl w:val="1"/>
          <w:numId w:val="5"/>
        </w:numP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System information update to support 2RX UEs</w:t>
      </w:r>
    </w:p>
    <w:p w14:paraId="0F200707" w14:textId="32D55D85" w:rsidR="00A43B02" w:rsidRDefault="00A84B87" w:rsidP="0093562F">
      <w:pPr>
        <w:rPr>
          <w:rFonts w:cs="Arial"/>
          <w:color w:val="000000"/>
        </w:rPr>
      </w:pPr>
      <w:r>
        <w:rPr>
          <w:rFonts w:cs="Arial"/>
          <w:color w:val="000000"/>
        </w:rPr>
        <w:t xml:space="preserve">In addition to the UE capability indication, RAN2 also needs to specify the updates for </w:t>
      </w:r>
      <w:r w:rsidR="00A311B5">
        <w:rPr>
          <w:rFonts w:cs="Arial"/>
          <w:color w:val="000000"/>
        </w:rPr>
        <w:t>system information</w:t>
      </w:r>
      <w:r>
        <w:rPr>
          <w:rFonts w:cs="Arial"/>
          <w:color w:val="000000"/>
        </w:rPr>
        <w:t xml:space="preserve"> to enable the network to either bar the UE from the cell </w:t>
      </w:r>
      <w:r w:rsidR="00A311B5">
        <w:rPr>
          <w:rFonts w:cs="Arial"/>
          <w:color w:val="000000"/>
        </w:rPr>
        <w:t>and/</w:t>
      </w:r>
      <w:r>
        <w:rPr>
          <w:rFonts w:cs="Arial"/>
          <w:color w:val="000000"/>
        </w:rPr>
        <w:t xml:space="preserve">or redirect the UE to a different frequency. </w:t>
      </w:r>
      <w:r w:rsidR="00C64227">
        <w:rPr>
          <w:rFonts w:cs="Arial"/>
          <w:color w:val="000000"/>
        </w:rPr>
        <w:t xml:space="preserve">We need to first discuss the granularity of </w:t>
      </w:r>
      <w:r w:rsidR="002A464C">
        <w:rPr>
          <w:rFonts w:cs="Arial"/>
          <w:color w:val="000000"/>
        </w:rPr>
        <w:t xml:space="preserve">the </w:t>
      </w:r>
      <w:r w:rsidR="00C64227">
        <w:rPr>
          <w:rFonts w:cs="Arial"/>
          <w:color w:val="000000"/>
        </w:rPr>
        <w:t>access</w:t>
      </w:r>
      <w:r w:rsidR="002A464C">
        <w:rPr>
          <w:rFonts w:cs="Arial"/>
          <w:color w:val="000000"/>
        </w:rPr>
        <w:t xml:space="preserve"> control mechanism </w:t>
      </w:r>
      <w:r w:rsidR="00C64227">
        <w:rPr>
          <w:rFonts w:cs="Arial"/>
          <w:color w:val="000000"/>
        </w:rPr>
        <w:t xml:space="preserve">for the 2RX XR UEs (i.e. </w:t>
      </w:r>
      <w:r w:rsidR="002A464C">
        <w:rPr>
          <w:rFonts w:cs="Arial"/>
          <w:color w:val="000000"/>
        </w:rPr>
        <w:t>whether a</w:t>
      </w:r>
      <w:r w:rsidR="00C64227">
        <w:rPr>
          <w:rFonts w:cs="Arial"/>
          <w:color w:val="000000"/>
        </w:rPr>
        <w:t xml:space="preserve"> per PLMN</w:t>
      </w:r>
      <w:r w:rsidR="002A464C">
        <w:rPr>
          <w:rFonts w:cs="Arial"/>
          <w:color w:val="000000"/>
        </w:rPr>
        <w:t xml:space="preserve"> granularity is needed or if a per cell granularity is enough</w:t>
      </w:r>
      <w:r w:rsidR="00C64227">
        <w:rPr>
          <w:rFonts w:cs="Arial"/>
          <w:color w:val="000000"/>
        </w:rPr>
        <w:t>)</w:t>
      </w:r>
      <w:r w:rsidR="00A43B02">
        <w:rPr>
          <w:rFonts w:cs="Arial"/>
          <w:color w:val="000000"/>
        </w:rPr>
        <w:t xml:space="preserve">. </w:t>
      </w:r>
      <w:r w:rsidR="00C64227">
        <w:rPr>
          <w:rFonts w:cs="Arial"/>
          <w:color w:val="000000"/>
        </w:rPr>
        <w:t xml:space="preserve">It is </w:t>
      </w:r>
      <w:r w:rsidR="005640BA">
        <w:rPr>
          <w:rFonts w:cs="Arial"/>
          <w:color w:val="000000"/>
        </w:rPr>
        <w:t>likely that</w:t>
      </w:r>
      <w:r w:rsidR="00C64227">
        <w:rPr>
          <w:rFonts w:cs="Arial"/>
          <w:color w:val="000000"/>
        </w:rPr>
        <w:t xml:space="preserve"> that in case of network sharing, not all PLMNs that use the cell will have the same policy with regards to the access for the UE. So, a per PLMN access mechanism would provide more flexibility for the operators to control the access for these UEs. </w:t>
      </w:r>
    </w:p>
    <w:p w14:paraId="0853E791" w14:textId="28E04623" w:rsidR="00A43B02" w:rsidRPr="00A43B02" w:rsidRDefault="00A43B02" w:rsidP="0093562F">
      <w:pPr>
        <w:rPr>
          <w:rFonts w:cs="Arial"/>
          <w:b/>
          <w:bCs/>
          <w:color w:val="000000"/>
        </w:rPr>
      </w:pPr>
      <w:r w:rsidRPr="00A43B02">
        <w:rPr>
          <w:rFonts w:cs="Arial"/>
          <w:b/>
          <w:bCs/>
          <w:color w:val="000000"/>
        </w:rPr>
        <w:t xml:space="preserve">Proposal 3: </w:t>
      </w:r>
      <w:r w:rsidR="00C64227">
        <w:rPr>
          <w:rFonts w:cs="Arial"/>
          <w:b/>
          <w:bCs/>
          <w:color w:val="000000"/>
        </w:rPr>
        <w:t>The access control mechanism for the 2RX XR UEs should enable per PLMN granularity by broadcasting whether 2RX UEs are supported or not for each PLMN</w:t>
      </w:r>
    </w:p>
    <w:p w14:paraId="39177D23"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811AC5F" w14:textId="77777777" w:rsidR="008077F2" w:rsidRPr="008077F2" w:rsidRDefault="008077F2" w:rsidP="008077F2">
      <w:pPr>
        <w:rPr>
          <w:b/>
          <w:bCs/>
          <w:i/>
          <w:iCs/>
        </w:rPr>
      </w:pPr>
      <w:bookmarkStart w:id="6" w:name="_Toc18404543"/>
      <w:bookmarkStart w:id="7" w:name="_Toc18403976"/>
      <w:bookmarkStart w:id="8" w:name="_Toc18413612"/>
      <w:r w:rsidRPr="008077F2">
        <w:rPr>
          <w:b/>
          <w:bCs/>
        </w:rPr>
        <w:t xml:space="preserve">Proposal 1: A UE indicating 2 RX capability for XR in any band shall not include </w:t>
      </w:r>
      <w:r w:rsidRPr="008077F2">
        <w:rPr>
          <w:b/>
          <w:bCs/>
          <w:i/>
          <w:iCs/>
        </w:rPr>
        <w:t>supportOfRedCap-r17</w:t>
      </w:r>
      <w:r w:rsidRPr="008077F2">
        <w:rPr>
          <w:b/>
          <w:bCs/>
        </w:rPr>
        <w:t xml:space="preserve"> or </w:t>
      </w:r>
      <w:r w:rsidRPr="008077F2">
        <w:rPr>
          <w:b/>
          <w:bCs/>
          <w:i/>
          <w:iCs/>
        </w:rPr>
        <w:t>supportOfERedCap-r18</w:t>
      </w:r>
    </w:p>
    <w:p w14:paraId="290E68EB" w14:textId="379C1C87" w:rsidR="008077F2" w:rsidRPr="008077F2" w:rsidRDefault="008077F2" w:rsidP="008077F2">
      <w:pPr>
        <w:rPr>
          <w:b/>
          <w:bCs/>
        </w:rPr>
      </w:pPr>
      <w:r w:rsidRPr="008077F2">
        <w:rPr>
          <w:b/>
          <w:bCs/>
        </w:rPr>
        <w:t xml:space="preserve">Proposal 2: RAN2 to decide </w:t>
      </w:r>
      <w:r>
        <w:rPr>
          <w:b/>
          <w:bCs/>
        </w:rPr>
        <w:t>between</w:t>
      </w:r>
      <w:r w:rsidRPr="008077F2">
        <w:rPr>
          <w:b/>
          <w:bCs/>
        </w:rPr>
        <w:t xml:space="preserve">: </w:t>
      </w:r>
    </w:p>
    <w:p w14:paraId="28DBBFE3" w14:textId="77777777" w:rsidR="008077F2" w:rsidRPr="008077F2" w:rsidRDefault="008077F2" w:rsidP="008077F2">
      <w:pPr>
        <w:pStyle w:val="ListParagraph"/>
        <w:numPr>
          <w:ilvl w:val="0"/>
          <w:numId w:val="16"/>
        </w:numPr>
        <w:ind w:firstLineChars="0"/>
        <w:rPr>
          <w:b/>
          <w:bCs/>
        </w:rPr>
      </w:pPr>
      <w:r w:rsidRPr="008077F2">
        <w:rPr>
          <w:b/>
          <w:bCs/>
        </w:rPr>
        <w:t xml:space="preserve">Option a) The 2 RX relaxation is applicable </w:t>
      </w:r>
      <w:r w:rsidRPr="008077F2">
        <w:rPr>
          <w:b/>
          <w:bCs/>
          <w:u w:val="single"/>
        </w:rPr>
        <w:t>to any device</w:t>
      </w:r>
      <w:r w:rsidRPr="008077F2">
        <w:rPr>
          <w:b/>
          <w:bCs/>
        </w:rPr>
        <w:t xml:space="preserve"> that falls within the definition of wearable device to be captured in RAN4 (regardless of support for any XR capabilities), or;</w:t>
      </w:r>
    </w:p>
    <w:p w14:paraId="115D2A01" w14:textId="77777777" w:rsidR="008077F2" w:rsidRPr="008077F2" w:rsidRDefault="008077F2" w:rsidP="008077F2">
      <w:pPr>
        <w:pStyle w:val="ListParagraph"/>
        <w:numPr>
          <w:ilvl w:val="0"/>
          <w:numId w:val="16"/>
        </w:numPr>
        <w:ind w:firstLineChars="0"/>
        <w:rPr>
          <w:b/>
          <w:bCs/>
        </w:rPr>
      </w:pPr>
      <w:r w:rsidRPr="008077F2">
        <w:rPr>
          <w:b/>
          <w:bCs/>
        </w:rPr>
        <w:t xml:space="preserve">Option b) On top of the definition of a wearable device captured in RAN4, A UE indicating 2 RX capability for XR in any band, shall also indicate support for </w:t>
      </w:r>
      <w:r w:rsidRPr="008077F2">
        <w:rPr>
          <w:b/>
          <w:bCs/>
          <w:u w:val="single"/>
        </w:rPr>
        <w:t>at least one</w:t>
      </w:r>
      <w:r w:rsidRPr="008077F2">
        <w:rPr>
          <w:b/>
          <w:bCs/>
        </w:rPr>
        <w:t xml:space="preserve"> of the (following) XR capabilities: </w:t>
      </w:r>
    </w:p>
    <w:p w14:paraId="3E21273B" w14:textId="77777777" w:rsidR="008077F2" w:rsidRPr="00323156" w:rsidRDefault="008077F2" w:rsidP="002A464C">
      <w:pPr>
        <w:pStyle w:val="ListParagraph"/>
        <w:ind w:left="840" w:firstLineChars="0" w:firstLine="0"/>
        <w:rPr>
          <w:b/>
          <w:bCs/>
        </w:rPr>
      </w:pPr>
      <w:r w:rsidRPr="00323156">
        <w:rPr>
          <w:b/>
          <w:bCs/>
        </w:rPr>
        <w:t>{additionalBSR-Table-r18, delayStatusReport-r18, enhancedDRX-r18, pdu-SetDiscard-r18, psi-BasedDiscard-r18, ul-TrafficInfo-r18, cg-PUSCH-UTO-UCI-Ind-r18</w:t>
      </w:r>
      <w:r w:rsidRPr="00323156">
        <w:rPr>
          <w:b/>
          <w:bCs/>
          <w:vertAlign w:val="superscript"/>
        </w:rPr>
        <w:t>Note</w:t>
      </w:r>
      <w:r w:rsidRPr="00323156">
        <w:rPr>
          <w:b/>
          <w:bCs/>
        </w:rPr>
        <w:t>, multiPUSCH-ActiveConfiguredGrant-r18</w:t>
      </w:r>
      <w:r w:rsidRPr="00323156">
        <w:rPr>
          <w:b/>
          <w:bCs/>
          <w:vertAlign w:val="superscript"/>
        </w:rPr>
        <w:t>Note</w:t>
      </w:r>
      <w:r w:rsidRPr="00323156">
        <w:rPr>
          <w:b/>
          <w:bCs/>
        </w:rPr>
        <w:t>, multiPUSCH-CG-r18</w:t>
      </w:r>
      <w:r w:rsidRPr="00323156">
        <w:rPr>
          <w:b/>
          <w:bCs/>
          <w:vertAlign w:val="superscript"/>
        </w:rPr>
        <w:t>Note</w:t>
      </w:r>
      <w:r w:rsidRPr="00323156">
        <w:rPr>
          <w:b/>
          <w:bCs/>
        </w:rPr>
        <w:t>, pdcch-MonitoringResumptionAfterUL-NACK-r18</w:t>
      </w:r>
      <w:r w:rsidRPr="00323156">
        <w:rPr>
          <w:b/>
          <w:bCs/>
          <w:vertAlign w:val="superscript"/>
        </w:rPr>
        <w:t xml:space="preserve"> Note</w:t>
      </w:r>
      <w:r w:rsidRPr="00323156">
        <w:rPr>
          <w:b/>
          <w:bCs/>
        </w:rPr>
        <w:t xml:space="preserve">}   </w:t>
      </w:r>
    </w:p>
    <w:p w14:paraId="18EAC51F" w14:textId="77777777" w:rsidR="008077F2" w:rsidRPr="008077F2" w:rsidRDefault="008077F2" w:rsidP="008077F2">
      <w:pPr>
        <w:ind w:left="720"/>
        <w:rPr>
          <w:b/>
          <w:bCs/>
        </w:rPr>
      </w:pPr>
      <w:r w:rsidRPr="008077F2">
        <w:rPr>
          <w:b/>
          <w:bCs/>
        </w:rPr>
        <w:t xml:space="preserve">Note: for the band specific XR capabilities above, the requirement applies if UE indicates 2RX capability in that band. </w:t>
      </w:r>
    </w:p>
    <w:p w14:paraId="01990311" w14:textId="77777777" w:rsidR="008077F2" w:rsidRPr="008077F2" w:rsidRDefault="008077F2" w:rsidP="008077F2">
      <w:pPr>
        <w:rPr>
          <w:rFonts w:cs="Arial"/>
          <w:b/>
          <w:bCs/>
          <w:color w:val="000000"/>
        </w:rPr>
      </w:pPr>
      <w:r w:rsidRPr="008077F2">
        <w:rPr>
          <w:rFonts w:cs="Arial"/>
          <w:b/>
          <w:bCs/>
          <w:color w:val="000000"/>
        </w:rPr>
        <w:lastRenderedPageBreak/>
        <w:t>Proposal 3: The access control mechanism for the 2RX XR UEs should enable per PLMN granularity by broadcasting whether 2RX UEs are supported or not for each PLMN</w:t>
      </w:r>
    </w:p>
    <w:p w14:paraId="5A7CB3DF" w14:textId="77777777" w:rsidR="009E6BAA"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1FB7DAF" w14:textId="74497E3B" w:rsidR="009E6BAA" w:rsidRDefault="00F53C1F" w:rsidP="00F53C1F">
      <w:pPr>
        <w:pStyle w:val="NormalWeb"/>
        <w:numPr>
          <w:ilvl w:val="0"/>
          <w:numId w:val="15"/>
        </w:numPr>
        <w:spacing w:before="75" w:beforeAutospacing="0" w:after="75" w:afterAutospacing="0" w:line="315" w:lineRule="atLeast"/>
        <w:rPr>
          <w:rFonts w:cs="Arial"/>
          <w:color w:val="000000"/>
          <w:sz w:val="21"/>
        </w:rPr>
      </w:pPr>
      <w:r w:rsidRPr="00F53C1F">
        <w:rPr>
          <w:rFonts w:cs="Arial"/>
          <w:color w:val="000000"/>
          <w:sz w:val="21"/>
        </w:rPr>
        <w:t>Summary of offline session on 2Rx for XR</w:t>
      </w:r>
      <w:r>
        <w:rPr>
          <w:rFonts w:cs="Arial"/>
          <w:color w:val="000000"/>
          <w:sz w:val="21"/>
        </w:rPr>
        <w:t xml:space="preserve">, </w:t>
      </w:r>
      <w:r w:rsidR="00F261B8" w:rsidRPr="00F261B8">
        <w:rPr>
          <w:rFonts w:cs="Arial"/>
          <w:color w:val="000000"/>
          <w:sz w:val="21"/>
        </w:rPr>
        <w:t>Offline session moderator (Nokia)</w:t>
      </w:r>
      <w:r>
        <w:rPr>
          <w:rFonts w:cs="Arial"/>
          <w:color w:val="000000"/>
          <w:sz w:val="21"/>
        </w:rPr>
        <w:t>, RAN#102</w:t>
      </w:r>
    </w:p>
    <w:sectPr w:rsidR="009E6BA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87F1" w14:textId="77777777" w:rsidR="004376D2" w:rsidRDefault="004376D2">
      <w:pPr>
        <w:spacing w:line="240" w:lineRule="auto"/>
      </w:pPr>
      <w:r>
        <w:separator/>
      </w:r>
    </w:p>
  </w:endnote>
  <w:endnote w:type="continuationSeparator" w:id="0">
    <w:p w14:paraId="2C3BEF93" w14:textId="77777777" w:rsidR="004376D2" w:rsidRDefault="004376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6D5AE" w14:textId="77777777" w:rsidR="009E6BAA"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302789" w14:textId="77777777" w:rsidR="009E6BAA" w:rsidRDefault="009E6B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3D248" w14:textId="77777777" w:rsidR="009E6BAA" w:rsidRDefault="009E6BA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90D50" w14:textId="77777777" w:rsidR="00B27B8D" w:rsidRDefault="00B27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82F41" w14:textId="77777777" w:rsidR="004376D2" w:rsidRDefault="004376D2">
      <w:pPr>
        <w:spacing w:after="0"/>
      </w:pPr>
      <w:r>
        <w:separator/>
      </w:r>
    </w:p>
  </w:footnote>
  <w:footnote w:type="continuationSeparator" w:id="0">
    <w:p w14:paraId="3895E64B" w14:textId="77777777" w:rsidR="004376D2" w:rsidRDefault="004376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23DD" w14:textId="77777777" w:rsidR="00B27B8D" w:rsidRDefault="00B27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08F" w14:textId="77777777" w:rsidR="009E6BAA" w:rsidRDefault="009E6BA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61548" w14:textId="77777777" w:rsidR="00B27B8D" w:rsidRDefault="00B2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350E64"/>
    <w:multiLevelType w:val="hybridMultilevel"/>
    <w:tmpl w:val="3ECA20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0677DE"/>
    <w:multiLevelType w:val="hybridMultilevel"/>
    <w:tmpl w:val="849241DC"/>
    <w:lvl w:ilvl="0" w:tplc="6B9EE966">
      <w:numFmt w:val="bullet"/>
      <w:lvlText w:val="-"/>
      <w:lvlJc w:val="left"/>
      <w:pPr>
        <w:ind w:left="780" w:hanging="4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7D4D7C"/>
    <w:multiLevelType w:val="hybridMultilevel"/>
    <w:tmpl w:val="A1B2D920"/>
    <w:lvl w:ilvl="0" w:tplc="5FFE1272">
      <w:start w:val="6"/>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3C962B8"/>
    <w:multiLevelType w:val="hybridMultilevel"/>
    <w:tmpl w:val="DA129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7D713D"/>
    <w:multiLevelType w:val="multilevel"/>
    <w:tmpl w:val="4D7D71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C4C066D"/>
    <w:multiLevelType w:val="hybridMultilevel"/>
    <w:tmpl w:val="F8FEBE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CEE35F8"/>
    <w:multiLevelType w:val="hybridMultilevel"/>
    <w:tmpl w:val="6FC8BA0E"/>
    <w:lvl w:ilvl="0" w:tplc="6055EC99">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BA77AA2"/>
    <w:multiLevelType w:val="multilevel"/>
    <w:tmpl w:val="7BA77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7675500">
    <w:abstractNumId w:val="0"/>
  </w:num>
  <w:num w:numId="2" w16cid:durableId="1765608962">
    <w:abstractNumId w:val="10"/>
  </w:num>
  <w:num w:numId="3" w16cid:durableId="1618560055">
    <w:abstractNumId w:val="6"/>
  </w:num>
  <w:num w:numId="4" w16cid:durableId="1241677472">
    <w:abstractNumId w:val="7"/>
  </w:num>
  <w:num w:numId="5" w16cid:durableId="853423409">
    <w:abstractNumId w:val="2"/>
  </w:num>
  <w:num w:numId="6" w16cid:durableId="803891993">
    <w:abstractNumId w:val="15"/>
  </w:num>
  <w:num w:numId="7" w16cid:durableId="2080325545">
    <w:abstractNumId w:val="9"/>
  </w:num>
  <w:num w:numId="8" w16cid:durableId="1379353761">
    <w:abstractNumId w:val="5"/>
  </w:num>
  <w:num w:numId="9" w16cid:durableId="448279910">
    <w:abstractNumId w:val="4"/>
  </w:num>
  <w:num w:numId="10" w16cid:durableId="415514794">
    <w:abstractNumId w:val="11"/>
  </w:num>
  <w:num w:numId="11" w16cid:durableId="1627396147">
    <w:abstractNumId w:val="3"/>
  </w:num>
  <w:num w:numId="12" w16cid:durableId="2069957277">
    <w:abstractNumId w:val="14"/>
  </w:num>
  <w:num w:numId="13" w16cid:durableId="1590499736">
    <w:abstractNumId w:val="12"/>
  </w:num>
  <w:num w:numId="14" w16cid:durableId="1526405695">
    <w:abstractNumId w:val="1"/>
  </w:num>
  <w:num w:numId="15" w16cid:durableId="1393774976">
    <w:abstractNumId w:val="13"/>
  </w:num>
  <w:num w:numId="16" w16cid:durableId="9203370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37FC"/>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5CC7"/>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530A1"/>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C8F"/>
    <w:rsid w:val="00185CD6"/>
    <w:rsid w:val="00187A58"/>
    <w:rsid w:val="00187FEF"/>
    <w:rsid w:val="00190A8D"/>
    <w:rsid w:val="00190EA3"/>
    <w:rsid w:val="0019547D"/>
    <w:rsid w:val="00195E1F"/>
    <w:rsid w:val="00196645"/>
    <w:rsid w:val="001978AE"/>
    <w:rsid w:val="00197997"/>
    <w:rsid w:val="001A2934"/>
    <w:rsid w:val="001A384E"/>
    <w:rsid w:val="001A4015"/>
    <w:rsid w:val="001A41E0"/>
    <w:rsid w:val="001A4B68"/>
    <w:rsid w:val="001A566B"/>
    <w:rsid w:val="001A67CA"/>
    <w:rsid w:val="001A6AFD"/>
    <w:rsid w:val="001B21A1"/>
    <w:rsid w:val="001B3224"/>
    <w:rsid w:val="001B337C"/>
    <w:rsid w:val="001B5AE5"/>
    <w:rsid w:val="001B648A"/>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589"/>
    <w:rsid w:val="00277301"/>
    <w:rsid w:val="00281718"/>
    <w:rsid w:val="00282024"/>
    <w:rsid w:val="00282A2B"/>
    <w:rsid w:val="002843CF"/>
    <w:rsid w:val="002855D0"/>
    <w:rsid w:val="00285FF0"/>
    <w:rsid w:val="00290E18"/>
    <w:rsid w:val="002910B9"/>
    <w:rsid w:val="00291D54"/>
    <w:rsid w:val="00293A6E"/>
    <w:rsid w:val="00294A68"/>
    <w:rsid w:val="002961E6"/>
    <w:rsid w:val="00296A7E"/>
    <w:rsid w:val="00297A88"/>
    <w:rsid w:val="002A15B3"/>
    <w:rsid w:val="002A3038"/>
    <w:rsid w:val="002A464C"/>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3156"/>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108"/>
    <w:rsid w:val="003662B1"/>
    <w:rsid w:val="00366993"/>
    <w:rsid w:val="003709F6"/>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21E"/>
    <w:rsid w:val="003F75E0"/>
    <w:rsid w:val="004006A5"/>
    <w:rsid w:val="00401149"/>
    <w:rsid w:val="00402720"/>
    <w:rsid w:val="00402985"/>
    <w:rsid w:val="0040391B"/>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1C1"/>
    <w:rsid w:val="004214B5"/>
    <w:rsid w:val="0042153E"/>
    <w:rsid w:val="00421DC2"/>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6D2"/>
    <w:rsid w:val="00440472"/>
    <w:rsid w:val="00441EB5"/>
    <w:rsid w:val="004423E2"/>
    <w:rsid w:val="00442CB8"/>
    <w:rsid w:val="0044341B"/>
    <w:rsid w:val="00443D84"/>
    <w:rsid w:val="00444F7D"/>
    <w:rsid w:val="00445007"/>
    <w:rsid w:val="00446965"/>
    <w:rsid w:val="00446A9B"/>
    <w:rsid w:val="00446F65"/>
    <w:rsid w:val="00447FF0"/>
    <w:rsid w:val="004508D9"/>
    <w:rsid w:val="00453750"/>
    <w:rsid w:val="00453CE6"/>
    <w:rsid w:val="00454BF1"/>
    <w:rsid w:val="00456182"/>
    <w:rsid w:val="0045637C"/>
    <w:rsid w:val="00456668"/>
    <w:rsid w:val="00456CE6"/>
    <w:rsid w:val="004572C4"/>
    <w:rsid w:val="00457C38"/>
    <w:rsid w:val="0046088D"/>
    <w:rsid w:val="00460DAB"/>
    <w:rsid w:val="00460FF4"/>
    <w:rsid w:val="00461175"/>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05B3"/>
    <w:rsid w:val="0048127E"/>
    <w:rsid w:val="00482BBB"/>
    <w:rsid w:val="00483389"/>
    <w:rsid w:val="00485114"/>
    <w:rsid w:val="00485594"/>
    <w:rsid w:val="00485AE4"/>
    <w:rsid w:val="00486111"/>
    <w:rsid w:val="00486454"/>
    <w:rsid w:val="00490024"/>
    <w:rsid w:val="0049176F"/>
    <w:rsid w:val="004923EE"/>
    <w:rsid w:val="004927D7"/>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45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5DE0"/>
    <w:rsid w:val="0055689F"/>
    <w:rsid w:val="00557033"/>
    <w:rsid w:val="005601E8"/>
    <w:rsid w:val="00561349"/>
    <w:rsid w:val="00561E2F"/>
    <w:rsid w:val="00561EC5"/>
    <w:rsid w:val="00563B02"/>
    <w:rsid w:val="005640BA"/>
    <w:rsid w:val="005657FC"/>
    <w:rsid w:val="00565A48"/>
    <w:rsid w:val="00566030"/>
    <w:rsid w:val="00567054"/>
    <w:rsid w:val="00567A9A"/>
    <w:rsid w:val="005701E9"/>
    <w:rsid w:val="0057047D"/>
    <w:rsid w:val="00570B49"/>
    <w:rsid w:val="00570FEC"/>
    <w:rsid w:val="00571A8C"/>
    <w:rsid w:val="0057377D"/>
    <w:rsid w:val="00574CB1"/>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6D6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0AF"/>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5910"/>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4A7F"/>
    <w:rsid w:val="0065579F"/>
    <w:rsid w:val="0065726E"/>
    <w:rsid w:val="0065784F"/>
    <w:rsid w:val="006608AE"/>
    <w:rsid w:val="006674E5"/>
    <w:rsid w:val="00667906"/>
    <w:rsid w:val="00670351"/>
    <w:rsid w:val="006704F9"/>
    <w:rsid w:val="006706AA"/>
    <w:rsid w:val="006718B7"/>
    <w:rsid w:val="006721BE"/>
    <w:rsid w:val="00673154"/>
    <w:rsid w:val="006746B2"/>
    <w:rsid w:val="0067540D"/>
    <w:rsid w:val="006770B6"/>
    <w:rsid w:val="00677B81"/>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1F3B"/>
    <w:rsid w:val="006B2F1E"/>
    <w:rsid w:val="006B3DD7"/>
    <w:rsid w:val="006B48F1"/>
    <w:rsid w:val="006B55B7"/>
    <w:rsid w:val="006B5887"/>
    <w:rsid w:val="006B688E"/>
    <w:rsid w:val="006B756B"/>
    <w:rsid w:val="006B77ED"/>
    <w:rsid w:val="006C2861"/>
    <w:rsid w:val="006C2D21"/>
    <w:rsid w:val="006C3795"/>
    <w:rsid w:val="006C3D2E"/>
    <w:rsid w:val="006C4F30"/>
    <w:rsid w:val="006C5C8A"/>
    <w:rsid w:val="006C5EF8"/>
    <w:rsid w:val="006C60A2"/>
    <w:rsid w:val="006C60B2"/>
    <w:rsid w:val="006C6193"/>
    <w:rsid w:val="006C7119"/>
    <w:rsid w:val="006C76DA"/>
    <w:rsid w:val="006D0415"/>
    <w:rsid w:val="006D0533"/>
    <w:rsid w:val="006D1174"/>
    <w:rsid w:val="006D462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705"/>
    <w:rsid w:val="00722A01"/>
    <w:rsid w:val="00723346"/>
    <w:rsid w:val="00723530"/>
    <w:rsid w:val="00723EFA"/>
    <w:rsid w:val="00725C56"/>
    <w:rsid w:val="00725CC4"/>
    <w:rsid w:val="00726958"/>
    <w:rsid w:val="00727D4D"/>
    <w:rsid w:val="00727E00"/>
    <w:rsid w:val="00727E90"/>
    <w:rsid w:val="00731322"/>
    <w:rsid w:val="00731E30"/>
    <w:rsid w:val="00732345"/>
    <w:rsid w:val="00732E64"/>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5A49"/>
    <w:rsid w:val="00756779"/>
    <w:rsid w:val="007573D2"/>
    <w:rsid w:val="007577AC"/>
    <w:rsid w:val="00760C49"/>
    <w:rsid w:val="00761578"/>
    <w:rsid w:val="00761BE2"/>
    <w:rsid w:val="007626A2"/>
    <w:rsid w:val="007651F0"/>
    <w:rsid w:val="00765D32"/>
    <w:rsid w:val="007705A1"/>
    <w:rsid w:val="00770F43"/>
    <w:rsid w:val="00771468"/>
    <w:rsid w:val="007719AC"/>
    <w:rsid w:val="00772AD2"/>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3647"/>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077F2"/>
    <w:rsid w:val="0081138F"/>
    <w:rsid w:val="00812B2A"/>
    <w:rsid w:val="00814945"/>
    <w:rsid w:val="00814985"/>
    <w:rsid w:val="0081500E"/>
    <w:rsid w:val="008160BF"/>
    <w:rsid w:val="00816F96"/>
    <w:rsid w:val="008170EC"/>
    <w:rsid w:val="008175D4"/>
    <w:rsid w:val="008219AF"/>
    <w:rsid w:val="00823090"/>
    <w:rsid w:val="0082342B"/>
    <w:rsid w:val="00823AF8"/>
    <w:rsid w:val="008267CB"/>
    <w:rsid w:val="00827512"/>
    <w:rsid w:val="00830C96"/>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5B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3AA6"/>
    <w:rsid w:val="0089509A"/>
    <w:rsid w:val="008A4FE1"/>
    <w:rsid w:val="008A5E28"/>
    <w:rsid w:val="008B0EAE"/>
    <w:rsid w:val="008B2486"/>
    <w:rsid w:val="008B302A"/>
    <w:rsid w:val="008B4198"/>
    <w:rsid w:val="008B4609"/>
    <w:rsid w:val="008B7211"/>
    <w:rsid w:val="008B725C"/>
    <w:rsid w:val="008C1D6D"/>
    <w:rsid w:val="008C36AE"/>
    <w:rsid w:val="008C3F98"/>
    <w:rsid w:val="008C594A"/>
    <w:rsid w:val="008D0B19"/>
    <w:rsid w:val="008D1DAC"/>
    <w:rsid w:val="008D2304"/>
    <w:rsid w:val="008D23AF"/>
    <w:rsid w:val="008D3A05"/>
    <w:rsid w:val="008D3D87"/>
    <w:rsid w:val="008D3E0C"/>
    <w:rsid w:val="008D4A09"/>
    <w:rsid w:val="008D4DA1"/>
    <w:rsid w:val="008D5162"/>
    <w:rsid w:val="008D5F9D"/>
    <w:rsid w:val="008D681A"/>
    <w:rsid w:val="008D6B1A"/>
    <w:rsid w:val="008D6D38"/>
    <w:rsid w:val="008D76FE"/>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3018B"/>
    <w:rsid w:val="00930CAD"/>
    <w:rsid w:val="009333DC"/>
    <w:rsid w:val="0093373D"/>
    <w:rsid w:val="00935008"/>
    <w:rsid w:val="0093562F"/>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537A"/>
    <w:rsid w:val="00957172"/>
    <w:rsid w:val="009578D1"/>
    <w:rsid w:val="00957A33"/>
    <w:rsid w:val="0096003B"/>
    <w:rsid w:val="0096081E"/>
    <w:rsid w:val="0096137E"/>
    <w:rsid w:val="00961E92"/>
    <w:rsid w:val="00963499"/>
    <w:rsid w:val="0096459F"/>
    <w:rsid w:val="009647C5"/>
    <w:rsid w:val="00965C05"/>
    <w:rsid w:val="0096604F"/>
    <w:rsid w:val="00966280"/>
    <w:rsid w:val="009663C5"/>
    <w:rsid w:val="009678FE"/>
    <w:rsid w:val="00971DD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B3C"/>
    <w:rsid w:val="0099022D"/>
    <w:rsid w:val="009903A8"/>
    <w:rsid w:val="00991070"/>
    <w:rsid w:val="00992DCD"/>
    <w:rsid w:val="009933A4"/>
    <w:rsid w:val="00994392"/>
    <w:rsid w:val="00994702"/>
    <w:rsid w:val="00995A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6BAA"/>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0C6"/>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65BB"/>
    <w:rsid w:val="00A275B2"/>
    <w:rsid w:val="00A2769F"/>
    <w:rsid w:val="00A27E76"/>
    <w:rsid w:val="00A27F01"/>
    <w:rsid w:val="00A311B5"/>
    <w:rsid w:val="00A31A13"/>
    <w:rsid w:val="00A31A7B"/>
    <w:rsid w:val="00A323D7"/>
    <w:rsid w:val="00A32701"/>
    <w:rsid w:val="00A32931"/>
    <w:rsid w:val="00A32A1D"/>
    <w:rsid w:val="00A32D2B"/>
    <w:rsid w:val="00A330EB"/>
    <w:rsid w:val="00A334CC"/>
    <w:rsid w:val="00A34B44"/>
    <w:rsid w:val="00A36953"/>
    <w:rsid w:val="00A40F4B"/>
    <w:rsid w:val="00A4263A"/>
    <w:rsid w:val="00A43B02"/>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2E7"/>
    <w:rsid w:val="00A66B14"/>
    <w:rsid w:val="00A66CF8"/>
    <w:rsid w:val="00A727DA"/>
    <w:rsid w:val="00A72A62"/>
    <w:rsid w:val="00A7440B"/>
    <w:rsid w:val="00A74F48"/>
    <w:rsid w:val="00A756EC"/>
    <w:rsid w:val="00A76F91"/>
    <w:rsid w:val="00A815A9"/>
    <w:rsid w:val="00A81A3A"/>
    <w:rsid w:val="00A822F6"/>
    <w:rsid w:val="00A83CAE"/>
    <w:rsid w:val="00A83E6C"/>
    <w:rsid w:val="00A84AFB"/>
    <w:rsid w:val="00A84B87"/>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B758F"/>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27B8D"/>
    <w:rsid w:val="00B306C5"/>
    <w:rsid w:val="00B33291"/>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4621"/>
    <w:rsid w:val="00B55CF3"/>
    <w:rsid w:val="00B57187"/>
    <w:rsid w:val="00B57304"/>
    <w:rsid w:val="00B57665"/>
    <w:rsid w:val="00B609A8"/>
    <w:rsid w:val="00B650C0"/>
    <w:rsid w:val="00B65BF6"/>
    <w:rsid w:val="00B670CE"/>
    <w:rsid w:val="00B67B79"/>
    <w:rsid w:val="00B67E74"/>
    <w:rsid w:val="00B70722"/>
    <w:rsid w:val="00B714B6"/>
    <w:rsid w:val="00B716F8"/>
    <w:rsid w:val="00B74FDC"/>
    <w:rsid w:val="00B7693C"/>
    <w:rsid w:val="00B76AB2"/>
    <w:rsid w:val="00B77B0E"/>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75EA"/>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21A1"/>
    <w:rsid w:val="00C62A45"/>
    <w:rsid w:val="00C63153"/>
    <w:rsid w:val="00C63CB8"/>
    <w:rsid w:val="00C64227"/>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584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2151"/>
    <w:rsid w:val="00D22A13"/>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08AB"/>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207B"/>
    <w:rsid w:val="00DC22BE"/>
    <w:rsid w:val="00DC4747"/>
    <w:rsid w:val="00DC5F62"/>
    <w:rsid w:val="00DC756D"/>
    <w:rsid w:val="00DC7FAF"/>
    <w:rsid w:val="00DD02BA"/>
    <w:rsid w:val="00DD100B"/>
    <w:rsid w:val="00DD1607"/>
    <w:rsid w:val="00DD19A8"/>
    <w:rsid w:val="00DD34FE"/>
    <w:rsid w:val="00DD42F9"/>
    <w:rsid w:val="00DD454E"/>
    <w:rsid w:val="00DE0C11"/>
    <w:rsid w:val="00DE1B4A"/>
    <w:rsid w:val="00DE2CFF"/>
    <w:rsid w:val="00DE3330"/>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2FF8"/>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61B8"/>
    <w:rsid w:val="00F270BA"/>
    <w:rsid w:val="00F2720B"/>
    <w:rsid w:val="00F308AF"/>
    <w:rsid w:val="00F31333"/>
    <w:rsid w:val="00F31940"/>
    <w:rsid w:val="00F32911"/>
    <w:rsid w:val="00F33061"/>
    <w:rsid w:val="00F337F8"/>
    <w:rsid w:val="00F3464D"/>
    <w:rsid w:val="00F34AA7"/>
    <w:rsid w:val="00F34C35"/>
    <w:rsid w:val="00F35C46"/>
    <w:rsid w:val="00F361D4"/>
    <w:rsid w:val="00F36774"/>
    <w:rsid w:val="00F36F83"/>
    <w:rsid w:val="00F405D4"/>
    <w:rsid w:val="00F408F6"/>
    <w:rsid w:val="00F40AA9"/>
    <w:rsid w:val="00F40C50"/>
    <w:rsid w:val="00F40FD9"/>
    <w:rsid w:val="00F4100B"/>
    <w:rsid w:val="00F411DB"/>
    <w:rsid w:val="00F42974"/>
    <w:rsid w:val="00F4307A"/>
    <w:rsid w:val="00F43D26"/>
    <w:rsid w:val="00F44C9A"/>
    <w:rsid w:val="00F46039"/>
    <w:rsid w:val="00F46B8B"/>
    <w:rsid w:val="00F47660"/>
    <w:rsid w:val="00F507DB"/>
    <w:rsid w:val="00F5236F"/>
    <w:rsid w:val="00F52C7A"/>
    <w:rsid w:val="00F53C1F"/>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492"/>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97C7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14D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E15918"/>
    <w:rsid w:val="56830F29"/>
    <w:rsid w:val="56BF0EA2"/>
    <w:rsid w:val="56CE15F2"/>
    <w:rsid w:val="56ED28C6"/>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54038"/>
  <w15:docId w15:val="{51E9514D-94EB-452F-8EAA-05EEE1DA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styleId="Revision">
    <w:name w:val="Revision"/>
    <w:hidden/>
    <w:uiPriority w:val="99"/>
    <w:unhideWhenUsed/>
    <w:rsid w:val="00DA4EF9"/>
    <w:rPr>
      <w:rFonts w:ascii="Arial" w:eastAsiaTheme="minorEastAsia" w:hAnsi="Arial"/>
      <w:kern w:val="2"/>
      <w:sz w:val="21"/>
      <w:szCs w:val="21"/>
    </w:rPr>
  </w:style>
  <w:style w:type="character" w:styleId="UnresolvedMention">
    <w:name w:val="Unresolved Mention"/>
    <w:basedOn w:val="DefaultParagraphFont"/>
    <w:uiPriority w:val="99"/>
    <w:semiHidden/>
    <w:unhideWhenUsed/>
    <w:rsid w:val="004211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636334">
      <w:bodyDiv w:val="1"/>
      <w:marLeft w:val="0"/>
      <w:marRight w:val="0"/>
      <w:marTop w:val="0"/>
      <w:marBottom w:val="0"/>
      <w:divBdr>
        <w:top w:val="none" w:sz="0" w:space="0" w:color="auto"/>
        <w:left w:val="none" w:sz="0" w:space="0" w:color="auto"/>
        <w:bottom w:val="none" w:sz="0" w:space="0" w:color="auto"/>
        <w:right w:val="none" w:sz="0" w:space="0" w:color="auto"/>
      </w:divBdr>
    </w:div>
    <w:div w:id="2053112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Plenary\docs\RP-232657.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15</cp:revision>
  <cp:lastPrinted>2113-01-01T00:00:00Z</cp:lastPrinted>
  <dcterms:created xsi:type="dcterms:W3CDTF">2024-02-14T10:56:00Z</dcterms:created>
  <dcterms:modified xsi:type="dcterms:W3CDTF">2024-02-19T09:52:00Z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4450CE650A804A298BE6FFADA1589FE6</vt:lpwstr>
  </property>
</Properties>
</file>