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54668B7" w:rsidR="006408F6" w:rsidRPr="00575E71" w:rsidRDefault="00D70498"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CD25CB">
        <w:rPr>
          <w:rFonts w:eastAsia="Times New Roman" w:cs="Arial"/>
          <w:noProof w:val="0"/>
          <w:sz w:val="24"/>
          <w:szCs w:val="28"/>
          <w:lang w:eastAsia="x-none"/>
        </w:rPr>
        <w:t>5</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6586B" w:rsidRPr="00F6586B">
        <w:rPr>
          <w:rFonts w:eastAsia="Times New Roman" w:cs="Arial"/>
          <w:bCs/>
          <w:noProof w:val="0"/>
          <w:sz w:val="24"/>
          <w:szCs w:val="28"/>
          <w:lang w:val="en-US" w:eastAsia="x-none"/>
        </w:rPr>
        <w:t>R2-2400576</w:t>
      </w:r>
    </w:p>
    <w:p w14:paraId="41F9B491" w14:textId="6A861A79" w:rsidR="0097167E" w:rsidRPr="00575E71" w:rsidRDefault="00CD25CB"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bCs/>
          <w:noProof w:val="0"/>
          <w:sz w:val="24"/>
          <w:szCs w:val="28"/>
          <w:lang w:val="en-US" w:eastAsia="x-none"/>
        </w:rPr>
        <w:t>Athens</w:t>
      </w:r>
      <w:r w:rsidR="0069220B" w:rsidRPr="0069220B">
        <w:rPr>
          <w:rFonts w:eastAsia="Times New Roman" w:cs="Arial"/>
          <w:bCs/>
          <w:noProof w:val="0"/>
          <w:sz w:val="24"/>
          <w:szCs w:val="28"/>
          <w:lang w:val="en-US" w:eastAsia="x-none"/>
        </w:rPr>
        <w:t>,</w:t>
      </w:r>
      <w:r w:rsidR="0062654F">
        <w:rPr>
          <w:rFonts w:eastAsia="Times New Roman" w:cs="Arial"/>
          <w:bCs/>
          <w:noProof w:val="0"/>
          <w:sz w:val="24"/>
          <w:szCs w:val="28"/>
          <w:lang w:val="en-US" w:eastAsia="x-none"/>
        </w:rPr>
        <w:t xml:space="preserve"> </w:t>
      </w:r>
      <w:r>
        <w:rPr>
          <w:rFonts w:eastAsia="Times New Roman" w:cs="Arial"/>
          <w:bCs/>
          <w:noProof w:val="0"/>
          <w:sz w:val="24"/>
          <w:szCs w:val="28"/>
          <w:lang w:val="en-US" w:eastAsia="x-none"/>
        </w:rPr>
        <w:t>Greece</w:t>
      </w:r>
      <w:r w:rsidR="0062654F">
        <w:rPr>
          <w:rFonts w:eastAsia="Times New Roman" w:cs="Arial"/>
          <w:bCs/>
          <w:noProof w:val="0"/>
          <w:sz w:val="24"/>
          <w:szCs w:val="28"/>
          <w:lang w:val="en-US" w:eastAsia="x-none"/>
        </w:rPr>
        <w:t>,</w:t>
      </w:r>
      <w:r w:rsidR="0069220B" w:rsidRPr="0069220B">
        <w:rPr>
          <w:rFonts w:eastAsia="Times New Roman" w:cs="Arial"/>
          <w:bCs/>
          <w:noProof w:val="0"/>
          <w:sz w:val="24"/>
          <w:szCs w:val="28"/>
          <w:lang w:val="en-US" w:eastAsia="x-none"/>
        </w:rPr>
        <w:t xml:space="preserve"> </w:t>
      </w:r>
      <w:r>
        <w:rPr>
          <w:rFonts w:eastAsia="Times New Roman" w:cs="Arial"/>
          <w:bCs/>
          <w:noProof w:val="0"/>
          <w:sz w:val="24"/>
          <w:szCs w:val="28"/>
          <w:lang w:val="en-US" w:eastAsia="x-none"/>
        </w:rPr>
        <w:t>Feb 26 – Mar 01</w:t>
      </w:r>
      <w:r w:rsidR="0069220B" w:rsidRPr="0069220B">
        <w:rPr>
          <w:rFonts w:eastAsia="Times New Roman" w:cs="Arial" w:hint="eastAsia"/>
          <w:bCs/>
          <w:noProof w:val="0"/>
          <w:sz w:val="24"/>
          <w:szCs w:val="28"/>
          <w:lang w:val="en-US" w:eastAsia="x-none"/>
        </w:rPr>
        <w:t>,</w:t>
      </w:r>
      <w:r w:rsidR="0069220B" w:rsidRPr="0069220B">
        <w:rPr>
          <w:rFonts w:eastAsia="Times New Roman" w:cs="Arial"/>
          <w:bCs/>
          <w:noProof w:val="0"/>
          <w:sz w:val="24"/>
          <w:szCs w:val="28"/>
          <w:lang w:val="en-US" w:eastAsia="x-none"/>
        </w:rPr>
        <w:t xml:space="preserve"> </w:t>
      </w:r>
      <w:r w:rsidR="0069220B" w:rsidRPr="0069220B">
        <w:rPr>
          <w:rFonts w:eastAsia="Times New Roman" w:cs="Arial" w:hint="eastAsia"/>
          <w:bCs/>
          <w:noProof w:val="0"/>
          <w:sz w:val="24"/>
          <w:szCs w:val="28"/>
          <w:lang w:val="en-US" w:eastAsia="x-none"/>
        </w:rPr>
        <w:t>20</w:t>
      </w:r>
      <w:r>
        <w:rPr>
          <w:rFonts w:eastAsia="Times New Roman" w:cs="Arial"/>
          <w:bCs/>
          <w:noProof w:val="0"/>
          <w:sz w:val="24"/>
          <w:szCs w:val="28"/>
          <w:lang w:val="en-US" w:eastAsia="x-none"/>
        </w:rPr>
        <w:t>24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13E4E02"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9F0639">
        <w:rPr>
          <w:rFonts w:ascii="Arial" w:hAnsi="Arial" w:cs="Arial"/>
          <w:szCs w:val="24"/>
        </w:rPr>
        <w:t>7</w:t>
      </w:r>
      <w:r w:rsidR="007B56A5" w:rsidRPr="00575E71">
        <w:rPr>
          <w:rFonts w:ascii="Arial" w:hAnsi="Arial" w:cs="Arial"/>
          <w:szCs w:val="24"/>
        </w:rPr>
        <w:t>.4.</w:t>
      </w:r>
      <w:r w:rsidR="009E7B8B">
        <w:rPr>
          <w:rFonts w:ascii="Arial" w:hAnsi="Arial" w:cs="Arial"/>
          <w:szCs w:val="24"/>
        </w:rPr>
        <w:t>1.2</w:t>
      </w:r>
    </w:p>
    <w:p w14:paraId="79D236BA" w14:textId="18BF8B17"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r w:rsidR="00A85D05">
        <w:rPr>
          <w:rFonts w:ascii="Arial" w:hAnsi="Arial" w:cs="Arial"/>
          <w:szCs w:val="24"/>
        </w:rPr>
        <w:t>Mobile</w:t>
      </w:r>
      <w:r w:rsidRPr="00575E71">
        <w:rPr>
          <w:rFonts w:ascii="Arial" w:hAnsi="Arial" w:cs="Arial"/>
          <w:szCs w:val="24"/>
        </w:rPr>
        <w:t>.</w:t>
      </w:r>
    </w:p>
    <w:p w14:paraId="2D698DC6" w14:textId="3F297C8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45066">
        <w:rPr>
          <w:b/>
          <w:sz w:val="24"/>
          <w:lang w:val="en-GB"/>
        </w:rPr>
        <w:t xml:space="preserve">TA </w:t>
      </w:r>
      <w:r w:rsidR="00C21687">
        <w:rPr>
          <w:b/>
          <w:sz w:val="24"/>
          <w:lang w:val="en-GB"/>
        </w:rPr>
        <w:t>acquisition related open issues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4BFE1F7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8115A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1B3A399A" w14:textId="7F0187F1"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D04E7E">
        <w:rPr>
          <w:rFonts w:ascii="Arial" w:hAnsi="Arial" w:cs="Arial"/>
          <w:sz w:val="20"/>
          <w:szCs w:val="20"/>
          <w:lang w:val="en-GB"/>
        </w:rPr>
        <w:t>open issues related to timing advance acquisition during LTM to realize RACH-less HO and its implications on the network and UE</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2B877D0" w14:textId="3093E051" w:rsidR="00661EC8" w:rsidRDefault="003A615E" w:rsidP="00314251">
      <w:pPr>
        <w:pStyle w:val="Heading2"/>
        <w:rPr>
          <w:rFonts w:cs="Arial"/>
        </w:rPr>
      </w:pPr>
      <w:r>
        <w:rPr>
          <w:rFonts w:cs="Arial"/>
        </w:rPr>
        <w:t>UL synchronization before LTM execution</w:t>
      </w:r>
    </w:p>
    <w:p w14:paraId="6F02A505" w14:textId="1518602E" w:rsidR="000E6026" w:rsidRDefault="003A615E" w:rsidP="00532567">
      <w:pPr>
        <w:spacing w:before="120" w:after="120"/>
        <w:jc w:val="both"/>
        <w:rPr>
          <w:rFonts w:ascii="Arial" w:hAnsi="Arial" w:cs="Arial"/>
          <w:sz w:val="20"/>
          <w:szCs w:val="20"/>
        </w:rPr>
      </w:pPr>
      <w:r>
        <w:rPr>
          <w:rFonts w:ascii="Arial" w:hAnsi="Arial" w:cs="Arial"/>
          <w:sz w:val="20"/>
          <w:szCs w:val="20"/>
        </w:rPr>
        <w:t xml:space="preserve">A UE is expected to perform RACH to an indicated </w:t>
      </w:r>
      <w:r w:rsidR="00A4362B">
        <w:rPr>
          <w:rFonts w:ascii="Arial" w:hAnsi="Arial" w:cs="Arial"/>
          <w:sz w:val="20"/>
          <w:szCs w:val="20"/>
        </w:rPr>
        <w:t>candidate/</w:t>
      </w:r>
      <w:r>
        <w:rPr>
          <w:rFonts w:ascii="Arial" w:hAnsi="Arial" w:cs="Arial"/>
          <w:sz w:val="20"/>
          <w:szCs w:val="20"/>
        </w:rPr>
        <w:t xml:space="preserve">target cell whenever the timing advance (TA) of the </w:t>
      </w:r>
      <w:r w:rsidR="001E7D4D">
        <w:rPr>
          <w:rFonts w:ascii="Arial" w:hAnsi="Arial" w:cs="Arial"/>
          <w:sz w:val="20"/>
          <w:szCs w:val="20"/>
        </w:rPr>
        <w:t xml:space="preserve">UE in </w:t>
      </w:r>
      <w:r w:rsidR="00A4362B">
        <w:rPr>
          <w:rFonts w:ascii="Arial" w:hAnsi="Arial" w:cs="Arial"/>
          <w:sz w:val="20"/>
          <w:szCs w:val="20"/>
        </w:rPr>
        <w:t xml:space="preserve">candidate/target </w:t>
      </w:r>
      <w:r>
        <w:rPr>
          <w:rFonts w:ascii="Arial" w:hAnsi="Arial" w:cs="Arial"/>
          <w:sz w:val="20"/>
          <w:szCs w:val="20"/>
        </w:rPr>
        <w:t xml:space="preserve">cell is different from that of the source cell. The UE acquiring TA of the </w:t>
      </w:r>
      <w:r w:rsidR="00A4362B">
        <w:rPr>
          <w:rFonts w:ascii="Arial" w:hAnsi="Arial" w:cs="Arial"/>
          <w:sz w:val="20"/>
          <w:szCs w:val="20"/>
        </w:rPr>
        <w:t xml:space="preserve">candidate/target </w:t>
      </w:r>
      <w:r>
        <w:rPr>
          <w:rFonts w:ascii="Arial" w:hAnsi="Arial" w:cs="Arial"/>
          <w:sz w:val="20"/>
          <w:szCs w:val="20"/>
        </w:rPr>
        <w:t xml:space="preserve">cell </w:t>
      </w:r>
      <w:r w:rsidR="007119B8">
        <w:rPr>
          <w:rFonts w:ascii="Arial" w:hAnsi="Arial" w:cs="Arial"/>
          <w:sz w:val="20"/>
          <w:szCs w:val="20"/>
        </w:rPr>
        <w:t>any time before</w:t>
      </w:r>
      <w:r>
        <w:rPr>
          <w:rFonts w:ascii="Arial" w:hAnsi="Arial" w:cs="Arial"/>
          <w:sz w:val="20"/>
          <w:szCs w:val="20"/>
        </w:rPr>
        <w:t xml:space="preserve"> the execution of LTM </w:t>
      </w:r>
      <w:r w:rsidR="00A4362B">
        <w:rPr>
          <w:rFonts w:ascii="Arial" w:hAnsi="Arial" w:cs="Arial"/>
          <w:sz w:val="20"/>
          <w:szCs w:val="20"/>
        </w:rPr>
        <w:t>will avoid RACH</w:t>
      </w:r>
      <w:r>
        <w:rPr>
          <w:rFonts w:ascii="Arial" w:hAnsi="Arial" w:cs="Arial"/>
          <w:sz w:val="20"/>
          <w:szCs w:val="20"/>
        </w:rPr>
        <w:t xml:space="preserve"> during LTM</w:t>
      </w:r>
      <w:r w:rsidR="007119B8">
        <w:rPr>
          <w:rFonts w:ascii="Arial" w:hAnsi="Arial" w:cs="Arial"/>
          <w:sz w:val="20"/>
          <w:szCs w:val="20"/>
        </w:rPr>
        <w:t xml:space="preserve"> execution</w:t>
      </w:r>
      <w:r>
        <w:rPr>
          <w:rFonts w:ascii="Arial" w:hAnsi="Arial" w:cs="Arial"/>
          <w:sz w:val="20"/>
          <w:szCs w:val="20"/>
        </w:rPr>
        <w:t xml:space="preserve">. </w:t>
      </w:r>
    </w:p>
    <w:p w14:paraId="3F468E84" w14:textId="4EA39A1C" w:rsidR="008347D1" w:rsidRDefault="008347D1" w:rsidP="00532567">
      <w:pPr>
        <w:spacing w:before="120" w:after="120"/>
        <w:jc w:val="both"/>
        <w:rPr>
          <w:rFonts w:ascii="Arial" w:hAnsi="Arial" w:cs="Arial"/>
          <w:sz w:val="20"/>
          <w:szCs w:val="20"/>
        </w:rPr>
      </w:pPr>
      <w:r>
        <w:rPr>
          <w:rFonts w:ascii="Arial" w:hAnsi="Arial" w:cs="Arial"/>
          <w:sz w:val="20"/>
          <w:szCs w:val="20"/>
        </w:rPr>
        <w:t xml:space="preserve">The RACH configuration for TA acquisition </w:t>
      </w:r>
      <w:r w:rsidR="00A4362B">
        <w:rPr>
          <w:rFonts w:ascii="Arial" w:hAnsi="Arial" w:cs="Arial"/>
          <w:sz w:val="20"/>
          <w:szCs w:val="20"/>
        </w:rPr>
        <w:t>(</w:t>
      </w:r>
      <w:r>
        <w:rPr>
          <w:rFonts w:ascii="Arial" w:hAnsi="Arial" w:cs="Arial"/>
          <w:sz w:val="20"/>
          <w:szCs w:val="20"/>
        </w:rPr>
        <w:t xml:space="preserve">before LTM </w:t>
      </w:r>
      <w:r w:rsidR="00A4362B">
        <w:rPr>
          <w:rFonts w:ascii="Arial" w:hAnsi="Arial" w:cs="Arial"/>
          <w:sz w:val="20"/>
          <w:szCs w:val="20"/>
        </w:rPr>
        <w:t>cell switch)</w:t>
      </w:r>
      <w:r>
        <w:rPr>
          <w:rFonts w:ascii="Arial" w:hAnsi="Arial" w:cs="Arial"/>
          <w:sz w:val="20"/>
          <w:szCs w:val="20"/>
        </w:rPr>
        <w:t xml:space="preserve"> is provided over RRC. But the TA acquisition is performed by the UE based on a PDCCH order by the gNB-DU. </w:t>
      </w:r>
      <w:r w:rsidR="00555DB4">
        <w:rPr>
          <w:rFonts w:ascii="Arial" w:hAnsi="Arial" w:cs="Arial"/>
          <w:sz w:val="20"/>
          <w:szCs w:val="20"/>
        </w:rPr>
        <w:t>The</w:t>
      </w:r>
      <w:r>
        <w:rPr>
          <w:rFonts w:ascii="Arial" w:hAnsi="Arial" w:cs="Arial"/>
          <w:sz w:val="20"/>
          <w:szCs w:val="20"/>
        </w:rPr>
        <w:t xml:space="preserve"> TA acquisition </w:t>
      </w:r>
      <w:r w:rsidR="00555DB4">
        <w:rPr>
          <w:rFonts w:ascii="Arial" w:hAnsi="Arial" w:cs="Arial"/>
          <w:sz w:val="20"/>
          <w:szCs w:val="20"/>
        </w:rPr>
        <w:t xml:space="preserve">for a given cell </w:t>
      </w:r>
      <w:r>
        <w:rPr>
          <w:rFonts w:ascii="Arial" w:hAnsi="Arial" w:cs="Arial"/>
          <w:sz w:val="20"/>
          <w:szCs w:val="20"/>
        </w:rPr>
        <w:t>may have to be performed more than once, for eg: if the TA timer expires</w:t>
      </w:r>
      <w:r w:rsidR="00555DB4">
        <w:rPr>
          <w:rFonts w:ascii="Arial" w:hAnsi="Arial" w:cs="Arial"/>
          <w:sz w:val="20"/>
          <w:szCs w:val="20"/>
        </w:rPr>
        <w:t xml:space="preserve">. </w:t>
      </w:r>
      <w:r w:rsidR="00C51FAF">
        <w:rPr>
          <w:rFonts w:ascii="Arial" w:hAnsi="Arial" w:cs="Arial"/>
          <w:sz w:val="20"/>
          <w:szCs w:val="20"/>
        </w:rPr>
        <w:t>One</w:t>
      </w:r>
      <w:r>
        <w:rPr>
          <w:rFonts w:ascii="Arial" w:hAnsi="Arial" w:cs="Arial"/>
          <w:sz w:val="20"/>
          <w:szCs w:val="20"/>
        </w:rPr>
        <w:t xml:space="preserve"> aspect need</w:t>
      </w:r>
      <w:r w:rsidR="00C51FAF">
        <w:rPr>
          <w:rFonts w:ascii="Arial" w:hAnsi="Arial" w:cs="Arial"/>
          <w:sz w:val="20"/>
          <w:szCs w:val="20"/>
        </w:rPr>
        <w:t>s</w:t>
      </w:r>
      <w:r>
        <w:rPr>
          <w:rFonts w:ascii="Arial" w:hAnsi="Arial" w:cs="Arial"/>
          <w:sz w:val="20"/>
          <w:szCs w:val="20"/>
        </w:rPr>
        <w:t xml:space="preserve"> </w:t>
      </w:r>
      <w:r w:rsidR="0066347B">
        <w:rPr>
          <w:rFonts w:ascii="Arial" w:hAnsi="Arial" w:cs="Arial"/>
          <w:sz w:val="20"/>
          <w:szCs w:val="20"/>
        </w:rPr>
        <w:t>clarification.</w:t>
      </w:r>
    </w:p>
    <w:p w14:paraId="675751CD" w14:textId="77777777" w:rsidR="00C51FAF" w:rsidRDefault="00D8619E" w:rsidP="008347D1">
      <w:pPr>
        <w:pStyle w:val="ListParagraph"/>
        <w:numPr>
          <w:ilvl w:val="0"/>
          <w:numId w:val="11"/>
        </w:numPr>
        <w:spacing w:before="120" w:after="120"/>
        <w:jc w:val="both"/>
        <w:rPr>
          <w:rFonts w:ascii="Arial" w:hAnsi="Arial" w:cs="Arial"/>
        </w:rPr>
      </w:pPr>
      <w:r>
        <w:rPr>
          <w:rFonts w:ascii="Arial" w:hAnsi="Arial" w:cs="Arial"/>
        </w:rPr>
        <w:t xml:space="preserve">How to distinguish between normal RACH </w:t>
      </w:r>
      <w:r w:rsidR="00376F5F">
        <w:rPr>
          <w:rFonts w:ascii="Arial" w:hAnsi="Arial" w:cs="Arial"/>
        </w:rPr>
        <w:t xml:space="preserve">i.e RACH performed for a cell switch </w:t>
      </w:r>
      <w:r>
        <w:rPr>
          <w:rFonts w:ascii="Arial" w:hAnsi="Arial" w:cs="Arial"/>
        </w:rPr>
        <w:t>and RACH performed for TA acquisition</w:t>
      </w:r>
      <w:r w:rsidR="008347D1">
        <w:rPr>
          <w:rFonts w:ascii="Arial" w:hAnsi="Arial" w:cs="Arial"/>
        </w:rPr>
        <w:t>.</w:t>
      </w:r>
      <w:r>
        <w:rPr>
          <w:rFonts w:ascii="Arial" w:hAnsi="Arial" w:cs="Arial"/>
        </w:rPr>
        <w:t xml:space="preserve"> </w:t>
      </w:r>
    </w:p>
    <w:p w14:paraId="6AB237B2" w14:textId="2FB554E5" w:rsidR="008347D1" w:rsidRPr="00C51FAF" w:rsidRDefault="00D8619E" w:rsidP="00C51FAF">
      <w:pPr>
        <w:spacing w:before="120" w:after="120"/>
        <w:jc w:val="both"/>
        <w:rPr>
          <w:rFonts w:ascii="Arial" w:hAnsi="Arial" w:cs="Arial"/>
        </w:rPr>
      </w:pPr>
      <w:r w:rsidRPr="00C51FAF">
        <w:rPr>
          <w:rFonts w:ascii="Arial" w:hAnsi="Arial" w:cs="Arial"/>
        </w:rPr>
        <w:t xml:space="preserve">This is essential as the candidate gNB-DU is expected </w:t>
      </w:r>
      <w:r w:rsidR="00376F5F" w:rsidRPr="00C51FAF">
        <w:rPr>
          <w:rFonts w:ascii="Arial" w:hAnsi="Arial" w:cs="Arial"/>
        </w:rPr>
        <w:t xml:space="preserve">behave differently in </w:t>
      </w:r>
      <w:r w:rsidR="0088496F" w:rsidRPr="00C51FAF">
        <w:rPr>
          <w:rFonts w:ascii="Arial" w:hAnsi="Arial" w:cs="Arial"/>
        </w:rPr>
        <w:t>either case</w:t>
      </w:r>
      <w:r w:rsidR="00376F5F" w:rsidRPr="00C51FAF">
        <w:rPr>
          <w:rFonts w:ascii="Arial" w:hAnsi="Arial" w:cs="Arial"/>
        </w:rPr>
        <w:t xml:space="preserve">. </w:t>
      </w:r>
      <w:r w:rsidR="00C51FAF">
        <w:rPr>
          <w:rFonts w:ascii="Arial" w:hAnsi="Arial" w:cs="Arial"/>
        </w:rPr>
        <w:t xml:space="preserve">When a RACH is performed for an LTM cell switch, the gNB-DU is expected to initiate data transmission for all the UE’s bearers and when a RACH is performed for TA acquisition, the gNB-DU is expected to send the TA to the UE’s serving gNB-DU via the gNB-CU. Since the functionality performed by the gNB-DU </w:t>
      </w:r>
    </w:p>
    <w:p w14:paraId="40BC1B12" w14:textId="283421AB" w:rsidR="00910854" w:rsidRPr="00485333"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w:t>
      </w:r>
      <w:r w:rsidR="00D8619E">
        <w:rPr>
          <w:rFonts w:ascii="Arial" w:hAnsi="Arial" w:cs="Arial"/>
          <w:i/>
          <w:iCs/>
          <w:sz w:val="20"/>
          <w:szCs w:val="20"/>
        </w:rPr>
        <w:t xml:space="preserve">There is a need to distinguish the RACH performed to acquire TA from the </w:t>
      </w:r>
      <w:r w:rsidR="00376F5F" w:rsidRPr="00376F5F">
        <w:rPr>
          <w:rFonts w:ascii="Arial" w:hAnsi="Arial" w:cs="Arial"/>
          <w:i/>
          <w:iCs/>
          <w:sz w:val="20"/>
          <w:szCs w:val="20"/>
        </w:rPr>
        <w:t>RACH performed for a cell switch</w:t>
      </w:r>
      <w:r w:rsidRPr="00485333">
        <w:rPr>
          <w:rFonts w:ascii="Arial" w:hAnsi="Arial" w:cs="Arial"/>
          <w:i/>
          <w:iCs/>
          <w:sz w:val="20"/>
          <w:szCs w:val="20"/>
        </w:rPr>
        <w:t xml:space="preserve">. </w:t>
      </w:r>
    </w:p>
    <w:p w14:paraId="7276A0D9" w14:textId="2045F752" w:rsidR="006E519B" w:rsidRPr="00BB788B" w:rsidRDefault="006E519B" w:rsidP="00532567">
      <w:pPr>
        <w:spacing w:before="120" w:after="120"/>
        <w:jc w:val="both"/>
        <w:rPr>
          <w:rFonts w:ascii="Arial" w:hAnsi="Arial" w:cs="Arial"/>
          <w:b/>
          <w:bCs/>
          <w:sz w:val="20"/>
          <w:szCs w:val="20"/>
        </w:rPr>
      </w:pPr>
      <w:bookmarkStart w:id="6" w:name="OLE_LINK57"/>
      <w:bookmarkEnd w:id="5"/>
      <w:r w:rsidRPr="00BB788B">
        <w:rPr>
          <w:rFonts w:ascii="Arial" w:hAnsi="Arial" w:cs="Arial"/>
          <w:b/>
          <w:bCs/>
          <w:sz w:val="20"/>
          <w:szCs w:val="20"/>
        </w:rPr>
        <w:t xml:space="preserve">Proposal 1: </w:t>
      </w:r>
      <w:r w:rsidR="008347D1">
        <w:rPr>
          <w:rFonts w:ascii="Arial" w:hAnsi="Arial" w:cs="Arial"/>
          <w:b/>
          <w:bCs/>
          <w:sz w:val="20"/>
          <w:szCs w:val="20"/>
        </w:rPr>
        <w:t xml:space="preserve">RAN2 discusses and </w:t>
      </w:r>
      <w:r w:rsidR="007B6F79">
        <w:rPr>
          <w:rFonts w:ascii="Arial" w:hAnsi="Arial" w:cs="Arial"/>
          <w:b/>
          <w:bCs/>
          <w:sz w:val="20"/>
          <w:szCs w:val="20"/>
        </w:rPr>
        <w:t xml:space="preserve">agrees a solution to </w:t>
      </w:r>
      <w:r w:rsidR="00376F5F" w:rsidRPr="00376F5F">
        <w:rPr>
          <w:rFonts w:ascii="Arial" w:hAnsi="Arial" w:cs="Arial"/>
          <w:b/>
          <w:bCs/>
          <w:sz w:val="20"/>
          <w:szCs w:val="20"/>
        </w:rPr>
        <w:t>distinguish the RACH performed to acquire TA from the RACH performed for a cell switch</w:t>
      </w:r>
      <w:r w:rsidRPr="00BB788B">
        <w:rPr>
          <w:rFonts w:ascii="Arial" w:hAnsi="Arial" w:cs="Arial"/>
          <w:b/>
          <w:bCs/>
          <w:sz w:val="20"/>
          <w:szCs w:val="20"/>
        </w:rPr>
        <w:t xml:space="preserve">. </w:t>
      </w:r>
    </w:p>
    <w:bookmarkEnd w:id="6"/>
    <w:p w14:paraId="743BE925" w14:textId="23B0C162" w:rsidR="0066347B" w:rsidRDefault="0066347B" w:rsidP="0066347B">
      <w:pPr>
        <w:pStyle w:val="Heading2"/>
        <w:rPr>
          <w:rFonts w:cs="Arial"/>
        </w:rPr>
      </w:pPr>
      <w:r>
        <w:rPr>
          <w:rFonts w:cs="Arial"/>
        </w:rPr>
        <w:t>Re-use of Timing Advances post LTM cell switch</w:t>
      </w:r>
    </w:p>
    <w:p w14:paraId="76BA9DFE" w14:textId="318A8101" w:rsidR="00E829A3" w:rsidRPr="00376F5F" w:rsidRDefault="00E829A3" w:rsidP="0066347B">
      <w:pPr>
        <w:rPr>
          <w:rFonts w:ascii="Arial" w:hAnsi="Arial" w:cs="Arial"/>
          <w:sz w:val="20"/>
          <w:szCs w:val="20"/>
        </w:rPr>
      </w:pPr>
      <w:r w:rsidRPr="00376F5F">
        <w:rPr>
          <w:rFonts w:ascii="Arial" w:hAnsi="Arial" w:cs="Arial"/>
          <w:sz w:val="20"/>
          <w:szCs w:val="20"/>
        </w:rPr>
        <w:t xml:space="preserve">A serving gNB-DU may ask a UE to acquire timing advances of more than one LTM candidate cell before performing LTM cell switch. In any case, the cell switch can happen to only one target cell. If the TA thus acquired at the old serving cell </w:t>
      </w:r>
      <w:proofErr w:type="gramStart"/>
      <w:r w:rsidRPr="00376F5F">
        <w:rPr>
          <w:rFonts w:ascii="Arial" w:hAnsi="Arial" w:cs="Arial"/>
          <w:sz w:val="20"/>
          <w:szCs w:val="20"/>
        </w:rPr>
        <w:t>has to</w:t>
      </w:r>
      <w:proofErr w:type="gramEnd"/>
      <w:r w:rsidRPr="00376F5F">
        <w:rPr>
          <w:rFonts w:ascii="Arial" w:hAnsi="Arial" w:cs="Arial"/>
          <w:sz w:val="20"/>
          <w:szCs w:val="20"/>
        </w:rPr>
        <w:t xml:space="preserve"> be re-acquired at the new serving cell, despite the TAT still active, it causes unnecessary overhead on both UE and the network. Hence, there </w:t>
      </w:r>
      <w:proofErr w:type="gramStart"/>
      <w:r w:rsidR="00C809C8" w:rsidRPr="00376F5F">
        <w:rPr>
          <w:rFonts w:ascii="Arial" w:hAnsi="Arial" w:cs="Arial"/>
          <w:sz w:val="20"/>
          <w:szCs w:val="20"/>
        </w:rPr>
        <w:t>has to</w:t>
      </w:r>
      <w:proofErr w:type="gramEnd"/>
      <w:r w:rsidRPr="00376F5F">
        <w:rPr>
          <w:rFonts w:ascii="Arial" w:hAnsi="Arial" w:cs="Arial"/>
          <w:sz w:val="20"/>
          <w:szCs w:val="20"/>
        </w:rPr>
        <w:t xml:space="preserve"> be a way to carry forward and continue the use of the acquired timing advances of different candidate cells </w:t>
      </w:r>
      <w:r w:rsidR="00C809C8" w:rsidRPr="00376F5F">
        <w:rPr>
          <w:rFonts w:ascii="Arial" w:hAnsi="Arial" w:cs="Arial"/>
          <w:sz w:val="20"/>
          <w:szCs w:val="20"/>
        </w:rPr>
        <w:t>at the new serving gNB-DU,</w:t>
      </w:r>
      <w:r w:rsidRPr="00376F5F">
        <w:rPr>
          <w:rFonts w:ascii="Arial" w:hAnsi="Arial" w:cs="Arial"/>
          <w:sz w:val="20"/>
          <w:szCs w:val="20"/>
        </w:rPr>
        <w:t xml:space="preserve"> unless the TAT has expired. </w:t>
      </w:r>
      <w:r w:rsidR="00F976FD" w:rsidRPr="00376F5F">
        <w:rPr>
          <w:rFonts w:ascii="Arial" w:hAnsi="Arial" w:cs="Arial"/>
          <w:sz w:val="20"/>
          <w:szCs w:val="20"/>
        </w:rPr>
        <w:t>For example, the acquired timing advances and their corresponding candidate cell Ids can be either sent by the UE to the new serving gNB-DU post LTM cell switch or from old serving gNB-DU to the new serving gNB-DU via the gNB-CU.</w:t>
      </w:r>
    </w:p>
    <w:p w14:paraId="32B0CC89" w14:textId="77777777" w:rsidR="00E829A3" w:rsidRPr="00376F5F" w:rsidRDefault="00E829A3" w:rsidP="0066347B">
      <w:pPr>
        <w:rPr>
          <w:rFonts w:ascii="Arial" w:hAnsi="Arial" w:cs="Arial"/>
          <w:sz w:val="20"/>
          <w:szCs w:val="20"/>
        </w:rPr>
      </w:pPr>
    </w:p>
    <w:p w14:paraId="0921639F" w14:textId="4E511297" w:rsidR="0066347B" w:rsidRPr="0066347B" w:rsidRDefault="00C809C8" w:rsidP="0066347B">
      <w:pPr>
        <w:rPr>
          <w:lang w:val="en-GB" w:eastAsia="en-US"/>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continue use of </w:t>
      </w:r>
      <w:r w:rsidRPr="00C809C8">
        <w:rPr>
          <w:rFonts w:ascii="Arial" w:hAnsi="Arial" w:cs="Arial"/>
          <w:b/>
          <w:bCs/>
          <w:sz w:val="20"/>
          <w:szCs w:val="20"/>
          <w:lang w:val="en-GB"/>
        </w:rPr>
        <w:t>acquired timing advances of different candidate cells at the new serving gNB-DU</w:t>
      </w:r>
      <w:r>
        <w:rPr>
          <w:rFonts w:ascii="Arial" w:hAnsi="Arial" w:cs="Arial"/>
          <w:b/>
          <w:bCs/>
          <w:sz w:val="20"/>
          <w:szCs w:val="20"/>
          <w:lang w:val="en-GB"/>
        </w:rPr>
        <w:t>, post LTM cell switch</w:t>
      </w:r>
      <w:r w:rsidRPr="00BB788B">
        <w:rPr>
          <w:rFonts w:ascii="Arial" w:hAnsi="Arial" w:cs="Arial"/>
          <w:b/>
          <w:bCs/>
          <w:sz w:val="20"/>
          <w:szCs w:val="20"/>
        </w:rPr>
        <w:t>.</w:t>
      </w:r>
    </w:p>
    <w:p w14:paraId="16E4B661" w14:textId="77777777" w:rsidR="00BE01BE" w:rsidRDefault="00BE01BE" w:rsidP="00B47C4D">
      <w:pPr>
        <w:spacing w:before="120" w:after="120"/>
        <w:jc w:val="both"/>
        <w:rPr>
          <w:rFonts w:eastAsia="PMingLiU" w:cs="Arial"/>
        </w:rPr>
      </w:pPr>
    </w:p>
    <w:p w14:paraId="5F355D09" w14:textId="4927710B" w:rsidR="00BE01BE" w:rsidRDefault="00BE01BE" w:rsidP="00BE01BE">
      <w:pPr>
        <w:pStyle w:val="Heading2"/>
        <w:rPr>
          <w:rFonts w:cs="Arial"/>
        </w:rPr>
      </w:pPr>
      <w:r>
        <w:rPr>
          <w:rFonts w:cs="Arial"/>
        </w:rPr>
        <w:lastRenderedPageBreak/>
        <w:t>Timing Advance</w:t>
      </w:r>
      <w:r w:rsidR="0022146D">
        <w:rPr>
          <w:rFonts w:cs="Arial"/>
        </w:rPr>
        <w:t xml:space="preserve"> acquisition from a candidate/target cell</w:t>
      </w:r>
    </w:p>
    <w:p w14:paraId="14A5A648" w14:textId="1DD5AAF4" w:rsidR="006C7A06" w:rsidRPr="00554A77" w:rsidRDefault="0022146D" w:rsidP="00B47C4D">
      <w:pPr>
        <w:spacing w:before="120" w:after="120"/>
        <w:jc w:val="both"/>
        <w:rPr>
          <w:rFonts w:ascii="Arial" w:hAnsi="Arial" w:cs="Arial"/>
          <w:sz w:val="20"/>
          <w:szCs w:val="20"/>
        </w:rPr>
      </w:pPr>
      <w:r w:rsidRPr="00554A77">
        <w:rPr>
          <w:rFonts w:ascii="Arial" w:hAnsi="Arial" w:cs="Arial"/>
          <w:sz w:val="20"/>
          <w:szCs w:val="20"/>
        </w:rPr>
        <w:t xml:space="preserve">The serving gNB-DU sends a PDCCH order to acquire </w:t>
      </w:r>
      <w:r w:rsidR="00990CD8" w:rsidRPr="00554A77">
        <w:rPr>
          <w:rFonts w:ascii="Arial" w:hAnsi="Arial" w:cs="Arial"/>
          <w:sz w:val="20"/>
          <w:szCs w:val="20"/>
        </w:rPr>
        <w:t>UE’s</w:t>
      </w:r>
      <w:r w:rsidRPr="00554A77">
        <w:rPr>
          <w:rFonts w:ascii="Arial" w:hAnsi="Arial" w:cs="Arial"/>
          <w:sz w:val="20"/>
          <w:szCs w:val="20"/>
        </w:rPr>
        <w:t xml:space="preserve"> TA </w:t>
      </w:r>
      <w:r w:rsidR="00990CD8" w:rsidRPr="00554A77">
        <w:rPr>
          <w:rFonts w:ascii="Arial" w:hAnsi="Arial" w:cs="Arial"/>
          <w:sz w:val="20"/>
          <w:szCs w:val="20"/>
        </w:rPr>
        <w:t>at the candidate cell. The UE performs a RACH based on this and the candidate gNB-DU determines the UE’s best DL beam based on the beam used by the UE in UL</w:t>
      </w:r>
      <w:r w:rsidR="00744ECC">
        <w:rPr>
          <w:rFonts w:ascii="Arial" w:hAnsi="Arial" w:cs="Arial"/>
          <w:sz w:val="20"/>
          <w:szCs w:val="20"/>
        </w:rPr>
        <w:t xml:space="preserve"> </w:t>
      </w:r>
      <w:r w:rsidR="002B5C27">
        <w:rPr>
          <w:rFonts w:ascii="Arial" w:hAnsi="Arial" w:cs="Arial"/>
          <w:sz w:val="20"/>
          <w:szCs w:val="20"/>
        </w:rPr>
        <w:t>to perform RACH</w:t>
      </w:r>
      <w:r w:rsidR="00990CD8" w:rsidRPr="00554A77">
        <w:rPr>
          <w:rFonts w:ascii="Arial" w:hAnsi="Arial" w:cs="Arial"/>
          <w:sz w:val="20"/>
          <w:szCs w:val="20"/>
        </w:rPr>
        <w:t>. The candidate gNB-DU further provides the UE’s TA to the serving gNB-DU via the gNB-CU.</w:t>
      </w:r>
    </w:p>
    <w:p w14:paraId="62033720" w14:textId="21895A71" w:rsidR="00AE4377" w:rsidRDefault="00211BF2" w:rsidP="00B47C4D">
      <w:pPr>
        <w:spacing w:before="120" w:after="120"/>
        <w:jc w:val="both"/>
        <w:rPr>
          <w:rFonts w:ascii="Arial" w:hAnsi="Arial" w:cs="Arial"/>
          <w:sz w:val="20"/>
          <w:szCs w:val="20"/>
        </w:rPr>
      </w:pPr>
      <w:r>
        <w:rPr>
          <w:rFonts w:ascii="Arial" w:hAnsi="Arial" w:cs="Arial"/>
          <w:sz w:val="20"/>
          <w:szCs w:val="20"/>
        </w:rPr>
        <w:t>During</w:t>
      </w:r>
      <w:r w:rsidR="00990CD8" w:rsidRPr="00554A77">
        <w:rPr>
          <w:rFonts w:ascii="Arial" w:hAnsi="Arial" w:cs="Arial"/>
          <w:sz w:val="20"/>
          <w:szCs w:val="20"/>
        </w:rPr>
        <w:t xml:space="preserve"> this operation, </w:t>
      </w:r>
      <w:r>
        <w:rPr>
          <w:rFonts w:ascii="Arial" w:hAnsi="Arial" w:cs="Arial"/>
          <w:sz w:val="20"/>
          <w:szCs w:val="20"/>
        </w:rPr>
        <w:t>even</w:t>
      </w:r>
      <w:r w:rsidR="00990CD8" w:rsidRPr="00554A77">
        <w:rPr>
          <w:rFonts w:ascii="Arial" w:hAnsi="Arial" w:cs="Arial"/>
          <w:sz w:val="20"/>
          <w:szCs w:val="20"/>
        </w:rPr>
        <w:t xml:space="preserve"> </w:t>
      </w:r>
      <w:r w:rsidR="00554A77">
        <w:rPr>
          <w:rFonts w:ascii="Arial" w:hAnsi="Arial" w:cs="Arial"/>
          <w:sz w:val="20"/>
          <w:szCs w:val="20"/>
        </w:rPr>
        <w:t xml:space="preserve">a slight </w:t>
      </w:r>
      <w:r>
        <w:rPr>
          <w:rFonts w:ascii="Arial" w:hAnsi="Arial" w:cs="Arial"/>
          <w:sz w:val="20"/>
          <w:szCs w:val="20"/>
        </w:rPr>
        <w:t xml:space="preserve">miscalculation in </w:t>
      </w:r>
      <w:r w:rsidR="00990CD8" w:rsidRPr="00554A77">
        <w:rPr>
          <w:rFonts w:ascii="Arial" w:hAnsi="Arial" w:cs="Arial"/>
          <w:sz w:val="20"/>
          <w:szCs w:val="20"/>
        </w:rPr>
        <w:t xml:space="preserve">determination of the best DL beam at the candidate gNB-DU </w:t>
      </w:r>
      <w:r w:rsidR="0088188E">
        <w:rPr>
          <w:rFonts w:ascii="Arial" w:hAnsi="Arial" w:cs="Arial"/>
          <w:sz w:val="20"/>
          <w:szCs w:val="20"/>
        </w:rPr>
        <w:t xml:space="preserve">or minor UE movement </w:t>
      </w:r>
      <w:r>
        <w:rPr>
          <w:rFonts w:ascii="Arial" w:hAnsi="Arial" w:cs="Arial"/>
          <w:sz w:val="20"/>
          <w:szCs w:val="20"/>
        </w:rPr>
        <w:t xml:space="preserve">could </w:t>
      </w:r>
      <w:r w:rsidR="0088188E">
        <w:rPr>
          <w:rFonts w:ascii="Arial" w:hAnsi="Arial" w:cs="Arial"/>
          <w:sz w:val="20"/>
          <w:szCs w:val="20"/>
        </w:rPr>
        <w:t>render</w:t>
      </w:r>
      <w:r>
        <w:rPr>
          <w:rFonts w:ascii="Arial" w:hAnsi="Arial" w:cs="Arial"/>
          <w:sz w:val="20"/>
          <w:szCs w:val="20"/>
        </w:rPr>
        <w:t xml:space="preserve"> the TA invalid</w:t>
      </w:r>
      <w:r w:rsidR="00AE4377">
        <w:rPr>
          <w:rFonts w:ascii="Arial" w:hAnsi="Arial" w:cs="Arial"/>
          <w:sz w:val="20"/>
          <w:szCs w:val="20"/>
        </w:rPr>
        <w:t xml:space="preserve"> soon</w:t>
      </w:r>
      <w:r>
        <w:rPr>
          <w:rFonts w:ascii="Arial" w:hAnsi="Arial" w:cs="Arial"/>
          <w:sz w:val="20"/>
          <w:szCs w:val="20"/>
        </w:rPr>
        <w:t>.</w:t>
      </w:r>
      <w:r w:rsidR="00AE4377">
        <w:rPr>
          <w:rFonts w:ascii="Arial" w:hAnsi="Arial" w:cs="Arial"/>
          <w:sz w:val="20"/>
          <w:szCs w:val="20"/>
        </w:rPr>
        <w:t xml:space="preserve"> This also entails that the TA acquisition will have to be repeated again, which is expensive both for the network and the UE.</w:t>
      </w:r>
    </w:p>
    <w:p w14:paraId="20BF41C7" w14:textId="4D1FDEF5" w:rsidR="00990CD8" w:rsidRDefault="00AE4377" w:rsidP="00B47C4D">
      <w:pPr>
        <w:spacing w:before="120" w:after="120"/>
        <w:jc w:val="both"/>
        <w:rPr>
          <w:rFonts w:ascii="Arial" w:hAnsi="Arial" w:cs="Arial"/>
          <w:sz w:val="20"/>
          <w:szCs w:val="20"/>
        </w:rPr>
      </w:pPr>
      <w:r>
        <w:rPr>
          <w:rFonts w:ascii="Arial" w:hAnsi="Arial" w:cs="Arial"/>
          <w:sz w:val="20"/>
          <w:szCs w:val="20"/>
        </w:rPr>
        <w:t xml:space="preserve">Hence, we think it </w:t>
      </w:r>
      <w:r w:rsidR="00F10C73">
        <w:rPr>
          <w:rFonts w:ascii="Arial" w:hAnsi="Arial" w:cs="Arial"/>
          <w:sz w:val="20"/>
          <w:szCs w:val="20"/>
        </w:rPr>
        <w:t>is better to provide UE’s TAs of best neighboring beams/beam-groups to the serving gNB-DU</w:t>
      </w:r>
      <w:r>
        <w:rPr>
          <w:rFonts w:ascii="Arial" w:hAnsi="Arial" w:cs="Arial"/>
          <w:sz w:val="20"/>
          <w:szCs w:val="20"/>
        </w:rPr>
        <w:t xml:space="preserve"> </w:t>
      </w:r>
      <w:r w:rsidR="00F10C73">
        <w:rPr>
          <w:rFonts w:ascii="Arial" w:hAnsi="Arial" w:cs="Arial"/>
          <w:sz w:val="20"/>
          <w:szCs w:val="20"/>
        </w:rPr>
        <w:t>so that the serving gNB-DU could choose the appropriate beam for the UE to use while/after performing LTM cell switch.</w:t>
      </w:r>
      <w:r w:rsidR="00990CD8" w:rsidRPr="00554A77">
        <w:rPr>
          <w:rFonts w:ascii="Arial" w:hAnsi="Arial" w:cs="Arial"/>
          <w:sz w:val="20"/>
          <w:szCs w:val="20"/>
        </w:rPr>
        <w:t xml:space="preserve"> </w:t>
      </w:r>
    </w:p>
    <w:p w14:paraId="318AD837" w14:textId="17F04E33" w:rsidR="00F10C73" w:rsidRDefault="00F10C73" w:rsidP="00B47C4D">
      <w:pPr>
        <w:spacing w:before="120" w:after="120"/>
        <w:jc w:val="both"/>
        <w:rPr>
          <w:rFonts w:ascii="Arial" w:hAnsi="Arial" w:cs="Arial"/>
          <w:sz w:val="20"/>
          <w:szCs w:val="20"/>
        </w:rPr>
      </w:pPr>
      <w:r>
        <w:rPr>
          <w:rFonts w:ascii="Arial" w:hAnsi="Arial" w:cs="Arial"/>
          <w:sz w:val="20"/>
          <w:szCs w:val="20"/>
        </w:rPr>
        <w:t xml:space="preserve">This ensures that slight UE movements are taken care </w:t>
      </w:r>
      <w:proofErr w:type="gramStart"/>
      <w:r>
        <w:rPr>
          <w:rFonts w:ascii="Arial" w:hAnsi="Arial" w:cs="Arial"/>
          <w:sz w:val="20"/>
          <w:szCs w:val="20"/>
        </w:rPr>
        <w:t>of</w:t>
      </w:r>
      <w:proofErr w:type="gramEnd"/>
      <w:r>
        <w:rPr>
          <w:rFonts w:ascii="Arial" w:hAnsi="Arial" w:cs="Arial"/>
          <w:sz w:val="20"/>
          <w:szCs w:val="20"/>
        </w:rPr>
        <w:t xml:space="preserve"> and a TA acquisition doesn’t have to be repeated.</w:t>
      </w:r>
    </w:p>
    <w:p w14:paraId="6371606F" w14:textId="063271E1" w:rsidR="00F10C73" w:rsidRPr="00554A77" w:rsidRDefault="00F10C73" w:rsidP="00B47C4D">
      <w:pPr>
        <w:spacing w:before="120" w:after="120"/>
        <w:jc w:val="both"/>
        <w:rPr>
          <w:rFonts w:ascii="Arial" w:hAnsi="Arial" w:cs="Arial"/>
          <w:sz w:val="20"/>
          <w:szCs w:val="20"/>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provide TAs of </w:t>
      </w:r>
      <w:r w:rsidRPr="00F10C73">
        <w:rPr>
          <w:rFonts w:ascii="Arial" w:hAnsi="Arial" w:cs="Arial"/>
          <w:b/>
          <w:bCs/>
          <w:sz w:val="20"/>
          <w:szCs w:val="20"/>
        </w:rPr>
        <w:t xml:space="preserve">best neighboring beams/beam-groups </w:t>
      </w:r>
      <w:r>
        <w:rPr>
          <w:rFonts w:ascii="Arial" w:hAnsi="Arial" w:cs="Arial"/>
          <w:b/>
          <w:bCs/>
          <w:sz w:val="20"/>
          <w:szCs w:val="20"/>
        </w:rPr>
        <w:t xml:space="preserve">of the UE </w:t>
      </w:r>
      <w:r w:rsidRPr="00F10C73">
        <w:rPr>
          <w:rFonts w:ascii="Arial" w:hAnsi="Arial" w:cs="Arial"/>
          <w:b/>
          <w:bCs/>
          <w:sz w:val="20"/>
          <w:szCs w:val="20"/>
        </w:rPr>
        <w:t>to the serving gNB-DU</w:t>
      </w:r>
      <w:r>
        <w:rPr>
          <w:rFonts w:ascii="Arial" w:hAnsi="Arial" w:cs="Arial"/>
          <w:b/>
          <w:bCs/>
          <w:sz w:val="20"/>
          <w:szCs w:val="20"/>
        </w:rPr>
        <w:t xml:space="preserve"> along with the TA of the best beam</w:t>
      </w:r>
      <w:r w:rsidRPr="00BB788B">
        <w:rPr>
          <w:rFonts w:ascii="Arial" w:hAnsi="Arial" w:cs="Arial"/>
          <w:b/>
          <w:bCs/>
          <w:sz w:val="20"/>
          <w:szCs w:val="20"/>
        </w:rPr>
        <w:t>.</w:t>
      </w:r>
    </w:p>
    <w:p w14:paraId="6D5CC41E" w14:textId="77777777" w:rsidR="0022146D" w:rsidRPr="00B47C4D" w:rsidRDefault="0022146D" w:rsidP="00B47C4D">
      <w:pPr>
        <w:spacing w:before="120" w:after="120"/>
        <w:jc w:val="both"/>
        <w:rPr>
          <w:rFonts w:ascii="Arial" w:hAnsi="Arial" w:cs="Arial"/>
          <w:b/>
          <w:bCs/>
          <w:sz w:val="20"/>
          <w:szCs w:val="20"/>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320BA3A" w14:textId="77777777" w:rsidR="004B01C0" w:rsidRPr="00485333" w:rsidRDefault="004B01C0" w:rsidP="004B01C0">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w:t>
      </w:r>
      <w:r w:rsidRPr="00485333">
        <w:rPr>
          <w:rFonts w:ascii="Arial" w:hAnsi="Arial" w:cs="Arial"/>
          <w:i/>
          <w:iCs/>
          <w:sz w:val="20"/>
          <w:szCs w:val="20"/>
        </w:rPr>
        <w:t xml:space="preserve">, the handover </w:t>
      </w:r>
      <w:r>
        <w:rPr>
          <w:rFonts w:ascii="Arial" w:hAnsi="Arial" w:cs="Arial"/>
          <w:i/>
          <w:iCs/>
          <w:sz w:val="20"/>
          <w:szCs w:val="20"/>
        </w:rPr>
        <w:t>latency</w:t>
      </w:r>
      <w:r w:rsidRPr="00485333">
        <w:rPr>
          <w:rFonts w:ascii="Arial" w:hAnsi="Arial" w:cs="Arial"/>
          <w:i/>
          <w:iCs/>
          <w:sz w:val="20"/>
          <w:szCs w:val="20"/>
        </w:rPr>
        <w:t xml:space="preserve"> can be reduced</w:t>
      </w:r>
      <w:r>
        <w:rPr>
          <w:rFonts w:ascii="Arial" w:hAnsi="Arial" w:cs="Arial"/>
          <w:i/>
          <w:iCs/>
          <w:sz w:val="20"/>
          <w:szCs w:val="20"/>
        </w:rPr>
        <w:t>,</w:t>
      </w:r>
      <w:r w:rsidRPr="00485333">
        <w:rPr>
          <w:rFonts w:ascii="Arial" w:hAnsi="Arial" w:cs="Arial"/>
          <w:i/>
          <w:iCs/>
          <w:sz w:val="20"/>
          <w:szCs w:val="20"/>
        </w:rPr>
        <w:t xml:space="preserve"> if </w:t>
      </w:r>
      <w:r>
        <w:rPr>
          <w:rFonts w:ascii="Arial" w:hAnsi="Arial" w:cs="Arial"/>
          <w:i/>
          <w:iCs/>
          <w:sz w:val="20"/>
          <w:szCs w:val="20"/>
        </w:rPr>
        <w:t>network (gNB-DU) decides that the UE may perform RACH (UL sync) to a target cell in advance of the LTM SCC and indicates using a PDCCH order, the target cell(s) to which the RACH is to be performed</w:t>
      </w:r>
      <w:r w:rsidRPr="00485333">
        <w:rPr>
          <w:rFonts w:ascii="Arial" w:hAnsi="Arial" w:cs="Arial"/>
          <w:i/>
          <w:iCs/>
          <w:sz w:val="20"/>
          <w:szCs w:val="20"/>
        </w:rPr>
        <w:t xml:space="preserve">. </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24514FF" w14:textId="760798D7" w:rsidR="00376F5F" w:rsidRPr="00BB788B" w:rsidRDefault="00744ECC" w:rsidP="00376F5F">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RAN2 discusses and agrees a solution to </w:t>
      </w:r>
      <w:r w:rsidRPr="00376F5F">
        <w:rPr>
          <w:rFonts w:ascii="Arial" w:hAnsi="Arial" w:cs="Arial"/>
          <w:b/>
          <w:bCs/>
          <w:sz w:val="20"/>
          <w:szCs w:val="20"/>
        </w:rPr>
        <w:t>distinguish the RACH performed to acquire TA from the RACH performed for a cell switch</w:t>
      </w:r>
      <w:r w:rsidR="00376F5F" w:rsidRPr="00BB788B">
        <w:rPr>
          <w:rFonts w:ascii="Arial" w:hAnsi="Arial" w:cs="Arial"/>
          <w:b/>
          <w:bCs/>
          <w:sz w:val="20"/>
          <w:szCs w:val="20"/>
        </w:rPr>
        <w:t xml:space="preserve">. </w:t>
      </w:r>
    </w:p>
    <w:p w14:paraId="2295D4EC" w14:textId="1257A657" w:rsidR="00F10C73" w:rsidRPr="00F10C73" w:rsidRDefault="004B01C0" w:rsidP="00F10C73">
      <w:pPr>
        <w:rPr>
          <w:lang w:val="en-GB" w:eastAsia="en-US"/>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continue use of </w:t>
      </w:r>
      <w:r w:rsidRPr="00C809C8">
        <w:rPr>
          <w:rFonts w:ascii="Arial" w:hAnsi="Arial" w:cs="Arial"/>
          <w:b/>
          <w:bCs/>
          <w:sz w:val="20"/>
          <w:szCs w:val="20"/>
          <w:lang w:val="en-GB"/>
        </w:rPr>
        <w:t>acquired timing advances of different candidate cells at the new serving gNB-DU</w:t>
      </w:r>
      <w:r>
        <w:rPr>
          <w:rFonts w:ascii="Arial" w:hAnsi="Arial" w:cs="Arial"/>
          <w:b/>
          <w:bCs/>
          <w:sz w:val="20"/>
          <w:szCs w:val="20"/>
          <w:lang w:val="en-GB"/>
        </w:rPr>
        <w:t>, post LTM cell switch</w:t>
      </w:r>
      <w:r w:rsidRPr="00BB788B">
        <w:rPr>
          <w:rFonts w:ascii="Arial" w:hAnsi="Arial" w:cs="Arial"/>
          <w:b/>
          <w:bCs/>
          <w:sz w:val="20"/>
          <w:szCs w:val="20"/>
        </w:rPr>
        <w:t>.</w:t>
      </w:r>
      <w:r w:rsidR="00976BDE">
        <w:rPr>
          <w:lang w:val="en-GB" w:eastAsia="en-US"/>
        </w:rPr>
        <w:br/>
      </w:r>
      <w:r w:rsidR="00F10C73">
        <w:rPr>
          <w:lang w:val="en-GB" w:eastAsia="en-US"/>
        </w:rPr>
        <w:br/>
      </w:r>
      <w:r w:rsidR="00F10C73" w:rsidRPr="00BB788B">
        <w:rPr>
          <w:rFonts w:ascii="Arial" w:hAnsi="Arial" w:cs="Arial"/>
          <w:b/>
          <w:bCs/>
          <w:sz w:val="20"/>
          <w:szCs w:val="20"/>
        </w:rPr>
        <w:t xml:space="preserve">Proposal </w:t>
      </w:r>
      <w:r w:rsidR="00F10C73">
        <w:rPr>
          <w:rFonts w:ascii="Arial" w:hAnsi="Arial" w:cs="Arial"/>
          <w:b/>
          <w:bCs/>
          <w:sz w:val="20"/>
          <w:szCs w:val="20"/>
        </w:rPr>
        <w:t>3</w:t>
      </w:r>
      <w:r w:rsidR="00F10C73" w:rsidRPr="00BB788B">
        <w:rPr>
          <w:rFonts w:ascii="Arial" w:hAnsi="Arial" w:cs="Arial"/>
          <w:b/>
          <w:bCs/>
          <w:sz w:val="20"/>
          <w:szCs w:val="20"/>
        </w:rPr>
        <w:t xml:space="preserve">: </w:t>
      </w:r>
      <w:r w:rsidR="00F10C73">
        <w:rPr>
          <w:rFonts w:ascii="Arial" w:hAnsi="Arial" w:cs="Arial"/>
          <w:b/>
          <w:bCs/>
          <w:sz w:val="20"/>
          <w:szCs w:val="20"/>
        </w:rPr>
        <w:t xml:space="preserve">RAN2 discusses and agrees a mechanism to provide TAs of </w:t>
      </w:r>
      <w:r w:rsidR="00F10C73" w:rsidRPr="00F10C73">
        <w:rPr>
          <w:rFonts w:ascii="Arial" w:hAnsi="Arial" w:cs="Arial"/>
          <w:b/>
          <w:bCs/>
          <w:sz w:val="20"/>
          <w:szCs w:val="20"/>
        </w:rPr>
        <w:t xml:space="preserve">best neighboring beams/beam-groups </w:t>
      </w:r>
      <w:r w:rsidR="00F10C73">
        <w:rPr>
          <w:rFonts w:ascii="Arial" w:hAnsi="Arial" w:cs="Arial"/>
          <w:b/>
          <w:bCs/>
          <w:sz w:val="20"/>
          <w:szCs w:val="20"/>
        </w:rPr>
        <w:t xml:space="preserve">of the UE </w:t>
      </w:r>
      <w:r w:rsidR="00F10C73" w:rsidRPr="00F10C73">
        <w:rPr>
          <w:rFonts w:ascii="Arial" w:hAnsi="Arial" w:cs="Arial"/>
          <w:b/>
          <w:bCs/>
          <w:sz w:val="20"/>
          <w:szCs w:val="20"/>
        </w:rPr>
        <w:t>to the serving gNB-DU</w:t>
      </w:r>
      <w:r w:rsidR="00F10C73">
        <w:rPr>
          <w:rFonts w:ascii="Arial" w:hAnsi="Arial" w:cs="Arial"/>
          <w:b/>
          <w:bCs/>
          <w:sz w:val="20"/>
          <w:szCs w:val="20"/>
        </w:rPr>
        <w:t xml:space="preserve"> along with the TA of the best beam</w:t>
      </w:r>
      <w:r w:rsidR="00F10C73" w:rsidRPr="00BB788B">
        <w:rPr>
          <w:rFonts w:ascii="Arial" w:hAnsi="Arial" w:cs="Arial"/>
          <w:b/>
          <w:bCs/>
          <w:sz w:val="20"/>
          <w:szCs w:val="20"/>
        </w:rPr>
        <w:t>.</w:t>
      </w:r>
    </w:p>
    <w:p w14:paraId="43C2C895" w14:textId="77777777" w:rsidR="00F10C73" w:rsidRPr="00976BDE" w:rsidRDefault="00F10C73" w:rsidP="00976BDE">
      <w:pPr>
        <w:rPr>
          <w:lang w:val="en-GB" w:eastAsia="en-US"/>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CF556E">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E900C" w14:textId="77777777" w:rsidR="00CF556E" w:rsidRDefault="00CF556E">
      <w:pPr>
        <w:pStyle w:val="TAL"/>
      </w:pPr>
      <w:r>
        <w:separator/>
      </w:r>
    </w:p>
  </w:endnote>
  <w:endnote w:type="continuationSeparator" w:id="0">
    <w:p w14:paraId="44684248" w14:textId="77777777" w:rsidR="00CF556E" w:rsidRDefault="00CF556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EBF3" w14:textId="77777777" w:rsidR="00CF556E" w:rsidRDefault="00CF556E">
      <w:pPr>
        <w:pStyle w:val="TAL"/>
      </w:pPr>
      <w:r>
        <w:separator/>
      </w:r>
    </w:p>
  </w:footnote>
  <w:footnote w:type="continuationSeparator" w:id="0">
    <w:p w14:paraId="0F230D35" w14:textId="77777777" w:rsidR="00CF556E" w:rsidRDefault="00CF556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0440"/>
        </w:tabs>
        <w:ind w:left="-10440" w:hanging="360"/>
      </w:pPr>
      <w:rPr>
        <w:rFonts w:ascii="Courier New" w:hAnsi="Courier New" w:cs="Courier New" w:hint="default"/>
      </w:rPr>
    </w:lvl>
    <w:lvl w:ilvl="2" w:tplc="04090005">
      <w:start w:val="1"/>
      <w:numFmt w:val="bullet"/>
      <w:lvlText w:val=""/>
      <w:lvlJc w:val="left"/>
      <w:pPr>
        <w:tabs>
          <w:tab w:val="num" w:pos="-9720"/>
        </w:tabs>
        <w:ind w:left="-9720" w:hanging="360"/>
      </w:pPr>
      <w:rPr>
        <w:rFonts w:ascii="Wingdings" w:hAnsi="Wingdings" w:hint="default"/>
      </w:rPr>
    </w:lvl>
    <w:lvl w:ilvl="3" w:tplc="04090001">
      <w:start w:val="1"/>
      <w:numFmt w:val="bullet"/>
      <w:lvlText w:val=""/>
      <w:lvlJc w:val="left"/>
      <w:pPr>
        <w:tabs>
          <w:tab w:val="num" w:pos="-9000"/>
        </w:tabs>
        <w:ind w:left="-9000" w:hanging="360"/>
      </w:pPr>
      <w:rPr>
        <w:rFonts w:ascii="Symbol" w:hAnsi="Symbol" w:hint="default"/>
      </w:rPr>
    </w:lvl>
    <w:lvl w:ilvl="4" w:tplc="04090003">
      <w:start w:val="1"/>
      <w:numFmt w:val="bullet"/>
      <w:lvlText w:val="o"/>
      <w:lvlJc w:val="left"/>
      <w:pPr>
        <w:tabs>
          <w:tab w:val="num" w:pos="-8280"/>
        </w:tabs>
        <w:ind w:left="-8280" w:hanging="360"/>
      </w:pPr>
      <w:rPr>
        <w:rFonts w:ascii="Courier New" w:hAnsi="Courier New" w:cs="Courier New" w:hint="default"/>
      </w:rPr>
    </w:lvl>
    <w:lvl w:ilvl="5" w:tplc="04090005">
      <w:start w:val="1"/>
      <w:numFmt w:val="bullet"/>
      <w:lvlText w:val=""/>
      <w:lvlJc w:val="left"/>
      <w:pPr>
        <w:tabs>
          <w:tab w:val="num" w:pos="-7560"/>
        </w:tabs>
        <w:ind w:left="-756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4"/>
  </w:num>
  <w:num w:numId="2" w16cid:durableId="1712925209">
    <w:abstractNumId w:val="7"/>
  </w:num>
  <w:num w:numId="3" w16cid:durableId="1459103136">
    <w:abstractNumId w:val="6"/>
  </w:num>
  <w:num w:numId="4" w16cid:durableId="1141001138">
    <w:abstractNumId w:val="5"/>
  </w:num>
  <w:num w:numId="5" w16cid:durableId="734744943">
    <w:abstractNumId w:val="1"/>
  </w:num>
  <w:num w:numId="6" w16cid:durableId="1392147612">
    <w:abstractNumId w:val="6"/>
  </w:num>
  <w:num w:numId="7" w16cid:durableId="1980916596">
    <w:abstractNumId w:val="3"/>
  </w:num>
  <w:num w:numId="8" w16cid:durableId="544022156">
    <w:abstractNumId w:val="2"/>
  </w:num>
  <w:num w:numId="9" w16cid:durableId="223220381">
    <w:abstractNumId w:val="6"/>
  </w:num>
  <w:num w:numId="10" w16cid:durableId="777876662">
    <w:abstractNumId w:val="6"/>
  </w:num>
  <w:num w:numId="11" w16cid:durableId="113521465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C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0DB"/>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9DA"/>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989"/>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349"/>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2F4E"/>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DC4"/>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9D"/>
    <w:rsid w:val="001E3820"/>
    <w:rsid w:val="001E4E5A"/>
    <w:rsid w:val="001E4F6F"/>
    <w:rsid w:val="001E50B2"/>
    <w:rsid w:val="001E5E94"/>
    <w:rsid w:val="001E5F31"/>
    <w:rsid w:val="001E6802"/>
    <w:rsid w:val="001E6840"/>
    <w:rsid w:val="001E6981"/>
    <w:rsid w:val="001E69FB"/>
    <w:rsid w:val="001E7831"/>
    <w:rsid w:val="001E7D1D"/>
    <w:rsid w:val="001E7D4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BF2"/>
    <w:rsid w:val="00211CCC"/>
    <w:rsid w:val="00211D89"/>
    <w:rsid w:val="002122E3"/>
    <w:rsid w:val="00212A2E"/>
    <w:rsid w:val="00212AA4"/>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46D"/>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C27"/>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80B"/>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6F5F"/>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4D2"/>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C86"/>
    <w:rsid w:val="00443F40"/>
    <w:rsid w:val="0044436F"/>
    <w:rsid w:val="004448DE"/>
    <w:rsid w:val="00444E19"/>
    <w:rsid w:val="00445066"/>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1C0"/>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0BD0"/>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A77"/>
    <w:rsid w:val="00554D46"/>
    <w:rsid w:val="00555DB4"/>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522"/>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1C1"/>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4F"/>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015"/>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47B"/>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B6C"/>
    <w:rsid w:val="00671D38"/>
    <w:rsid w:val="00671D9A"/>
    <w:rsid w:val="0067200C"/>
    <w:rsid w:val="0067208E"/>
    <w:rsid w:val="006723C3"/>
    <w:rsid w:val="00672D29"/>
    <w:rsid w:val="006732AC"/>
    <w:rsid w:val="0067369D"/>
    <w:rsid w:val="006740BF"/>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6F3"/>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20B"/>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D8D"/>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ECC"/>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6F79"/>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5AD"/>
    <w:rsid w:val="008118E5"/>
    <w:rsid w:val="00811993"/>
    <w:rsid w:val="00811A27"/>
    <w:rsid w:val="008120EF"/>
    <w:rsid w:val="00812389"/>
    <w:rsid w:val="008124E0"/>
    <w:rsid w:val="00812570"/>
    <w:rsid w:val="0081284C"/>
    <w:rsid w:val="00812EF5"/>
    <w:rsid w:val="00812F61"/>
    <w:rsid w:val="00814079"/>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7D1"/>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88E"/>
    <w:rsid w:val="00881C70"/>
    <w:rsid w:val="00881E19"/>
    <w:rsid w:val="00882102"/>
    <w:rsid w:val="00882719"/>
    <w:rsid w:val="008827C3"/>
    <w:rsid w:val="00883163"/>
    <w:rsid w:val="0088317B"/>
    <w:rsid w:val="008843D1"/>
    <w:rsid w:val="008844F1"/>
    <w:rsid w:val="0088482A"/>
    <w:rsid w:val="0088496F"/>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6E1"/>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003"/>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08"/>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BDE"/>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085"/>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CD8"/>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2F24"/>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B8B"/>
    <w:rsid w:val="009E7CC1"/>
    <w:rsid w:val="009E7D67"/>
    <w:rsid w:val="009E7F1A"/>
    <w:rsid w:val="009F001B"/>
    <w:rsid w:val="009F0186"/>
    <w:rsid w:val="009F01EB"/>
    <w:rsid w:val="009F0305"/>
    <w:rsid w:val="009F0584"/>
    <w:rsid w:val="009F0639"/>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D13"/>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5C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4A"/>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62B"/>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BF7"/>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A93"/>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5D05"/>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BE7"/>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377"/>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47C4D"/>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48"/>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B02"/>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6B4"/>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1BE"/>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119"/>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0E2"/>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7"/>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9F4"/>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1FAF"/>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09C8"/>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5CB"/>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9C6"/>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56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4E7E"/>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498"/>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19E"/>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E5"/>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4DC"/>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9A3"/>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161"/>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2F1"/>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C73"/>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86B"/>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F6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6FD"/>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43"/>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257</TotalTime>
  <Pages>2</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TA Acquisition before LTM Serving cell change</vt:lpstr>
    </vt:vector>
  </TitlesOfParts>
  <Manager/>
  <Company>Rakuten Symphony Inc</Company>
  <LinksUpToDate>false</LinksUpToDate>
  <CharactersWithSpaces>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Acquisition before LTM Serving cell change</dc:title>
  <dc:subject>LTM</dc:subject>
  <dc:creator>Subramanya Chandrashekar</dc:creator>
  <cp:keywords/>
  <dc:description/>
  <cp:lastModifiedBy>Rakuten Symphony (Subramanya)</cp:lastModifiedBy>
  <cp:revision>40</cp:revision>
  <cp:lastPrinted>2007-12-21T04:58:00Z</cp:lastPrinted>
  <dcterms:created xsi:type="dcterms:W3CDTF">2023-02-12T05:30:00Z</dcterms:created>
  <dcterms:modified xsi:type="dcterms:W3CDTF">2024-02-15T12:07:00Z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