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B9" w:rsidRDefault="00A731B9" w:rsidP="00602B9B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#124</w:t>
      </w:r>
      <w:r>
        <w:rPr>
          <w:rFonts w:eastAsia="宋体"/>
          <w:b/>
          <w:szCs w:val="22"/>
          <w:lang w:val="en-US" w:eastAsia="zh-CN" w:bidi="ar"/>
        </w:rPr>
        <w:tab/>
      </w:r>
      <w:bookmarkStart w:id="0" w:name="_GoBack"/>
      <w:r>
        <w:rPr>
          <w:rFonts w:eastAsia="宋体"/>
          <w:b/>
          <w:szCs w:val="22"/>
          <w:lang w:val="en-US" w:eastAsia="zh-CN" w:bidi="ar"/>
        </w:rPr>
        <w:t>R2-231</w:t>
      </w:r>
      <w:r w:rsidR="002D6297">
        <w:rPr>
          <w:rFonts w:eastAsia="宋体"/>
          <w:b/>
          <w:szCs w:val="22"/>
          <w:lang w:val="en-US" w:eastAsia="zh-CN" w:bidi="ar"/>
        </w:rPr>
        <w:t>3331</w:t>
      </w:r>
      <w:bookmarkEnd w:id="0"/>
    </w:p>
    <w:p w:rsidR="00A731B9" w:rsidRDefault="00A731B9" w:rsidP="00A731B9">
      <w:pPr>
        <w:pStyle w:val="ad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Chicago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13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>
        <w:rPr>
          <w:rFonts w:eastAsia="宋体"/>
          <w:b/>
          <w:szCs w:val="22"/>
          <w:lang w:val="en-US" w:eastAsia="zh-CN" w:bidi="ar"/>
        </w:rPr>
        <w:t>7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Nov,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42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2EB" w:rsidRDefault="002D6297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03</w:t>
            </w:r>
            <w:r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74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:rsidR="001C72EB" w:rsidRDefault="004C04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2EB" w:rsidRDefault="004C0436" w:rsidP="00E173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17345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2EB">
        <w:tc>
          <w:tcPr>
            <w:tcW w:w="9641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2EB">
        <w:tc>
          <w:tcPr>
            <w:tcW w:w="2835" w:type="dxa"/>
          </w:tcPr>
          <w:p w:rsidR="001C72EB" w:rsidRDefault="004C04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2EB">
        <w:tc>
          <w:tcPr>
            <w:tcW w:w="9640" w:type="dxa"/>
            <w:gridSpan w:val="11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  <w:rPr>
                <w:rFonts w:eastAsia="宋体"/>
                <w:lang w:eastAsia="zh-CN"/>
              </w:rPr>
            </w:pPr>
            <w:r>
              <w:t>3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>.3</w:t>
            </w:r>
            <w:r>
              <w:rPr>
                <w:rFonts w:eastAsia="宋体" w:hint="eastAsia"/>
                <w:lang w:val="en-US" w:eastAsia="zh-CN"/>
              </w:rPr>
              <w:t>40</w:t>
            </w:r>
            <w:r>
              <w:t xml:space="preserve"> running CR for introduction of IDC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NR_IDC_enh-Core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2023-</w:t>
            </w:r>
            <w:r w:rsidR="00A731B9">
              <w:rPr>
                <w:rFonts w:eastAsia="宋体"/>
                <w:lang w:eastAsia="zh-CN"/>
              </w:rPr>
              <w:t>11</w:t>
            </w:r>
            <w:r>
              <w:rPr>
                <w:rFonts w:eastAsia="宋体" w:hint="eastAsia"/>
                <w:lang w:eastAsia="zh-CN"/>
              </w:rPr>
              <w:t>-</w:t>
            </w:r>
            <w:r w:rsidR="00A731B9">
              <w:rPr>
                <w:rFonts w:eastAsia="宋体"/>
                <w:lang w:val="en-US" w:eastAsia="zh-CN"/>
              </w:rPr>
              <w:t>3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2EB" w:rsidRDefault="004C0436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2EB">
        <w:tc>
          <w:tcPr>
            <w:tcW w:w="1843" w:type="dxa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t>This CR is for the support of Rel-18 IDC solutions</w:t>
            </w:r>
            <w:r>
              <w:rPr>
                <w:lang w:val="en-US"/>
              </w:rPr>
              <w:t>.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ind w:left="100"/>
            </w:pPr>
            <w:r>
              <w:t xml:space="preserve">Introduction of Rel-18 IDC solutions.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t>Rel-18 IDC solutions are</w:t>
            </w:r>
            <w:r>
              <w:rPr>
                <w:rFonts w:hint="eastAsia"/>
              </w:rPr>
              <w:t xml:space="preserve"> </w:t>
            </w:r>
            <w:r>
              <w:t xml:space="preserve">not supported in </w:t>
            </w:r>
            <w:r>
              <w:rPr>
                <w:rFonts w:eastAsia="宋体" w:hint="eastAsia"/>
                <w:lang w:val="en-US" w:eastAsia="zh-CN"/>
              </w:rPr>
              <w:t>NR</w:t>
            </w:r>
          </w:p>
        </w:tc>
      </w:tr>
      <w:tr w:rsidR="001C72EB">
        <w:tc>
          <w:tcPr>
            <w:tcW w:w="2694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A731B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3.2,</w:t>
            </w:r>
            <w:r w:rsidR="004C0436">
              <w:rPr>
                <w:rFonts w:eastAsia="宋体" w:hint="eastAsia"/>
                <w:lang w:val="en-US" w:eastAsia="zh-CN"/>
              </w:rPr>
              <w:t>7</w:t>
            </w:r>
            <w:r w:rsidR="004C0436">
              <w:rPr>
                <w:rFonts w:eastAsia="宋体"/>
                <w:lang w:val="en-US" w:eastAsia="zh-CN"/>
              </w:rPr>
              <w:t>.10,</w:t>
            </w:r>
            <w:r w:rsidR="004C0436">
              <w:rPr>
                <w:rFonts w:eastAsia="宋体" w:hint="eastAsia"/>
                <w:lang w:val="en-US" w:eastAsia="zh-CN"/>
              </w:rPr>
              <w:t>1</w:t>
            </w:r>
            <w:r w:rsidR="004C0436">
              <w:rPr>
                <w:rFonts w:eastAsia="宋体"/>
                <w:lang w:val="en-US" w:eastAsia="zh-CN"/>
              </w:rPr>
              <w:t>3.1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2EB" w:rsidRDefault="001C72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2EB" w:rsidRDefault="001C72EB">
            <w:pPr>
              <w:pStyle w:val="CRCoverPage"/>
              <w:spacing w:after="0"/>
              <w:ind w:left="99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38.300 CR </w:t>
            </w:r>
            <w:r>
              <w:rPr>
                <w:rFonts w:eastAsia="宋体" w:hint="eastAsia"/>
                <w:lang w:val="en-US" w:eastAsia="zh-CN"/>
              </w:rPr>
              <w:t>0680</w:t>
            </w:r>
          </w:p>
          <w:p w:rsidR="001C72EB" w:rsidRDefault="004C043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lang w:eastAsia="zh-CN"/>
              </w:rPr>
              <w:t xml:space="preserve"> CR </w:t>
            </w:r>
            <w:r>
              <w:rPr>
                <w:rFonts w:hint="eastAsia"/>
                <w:lang w:val="en-US" w:eastAsia="zh-CN"/>
              </w:rPr>
              <w:t>4164</w:t>
            </w:r>
          </w:p>
          <w:p w:rsidR="001C72EB" w:rsidRDefault="004C043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38.306  CR 0915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1C72EB" w:rsidRDefault="001C72EB">
      <w:pPr>
        <w:pStyle w:val="CRCoverPage"/>
        <w:spacing w:after="0"/>
        <w:rPr>
          <w:sz w:val="8"/>
          <w:szCs w:val="8"/>
        </w:rPr>
      </w:pPr>
    </w:p>
    <w:p w:rsidR="001C72EB" w:rsidRDefault="004C0436">
      <w:pPr>
        <w:spacing w:after="160"/>
        <w:jc w:val="left"/>
      </w:pPr>
      <w:r>
        <w:br w:type="page"/>
      </w:r>
    </w:p>
    <w:p w:rsidR="001C72EB" w:rsidRDefault="004C04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124526249"/>
      <w:bookmarkStart w:id="2" w:name="_Toc52568326"/>
      <w:bookmarkStart w:id="3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A731B9" w:rsidRPr="00AF20AB" w:rsidRDefault="00A731B9" w:rsidP="00A731B9">
      <w:pPr>
        <w:pStyle w:val="2"/>
      </w:pPr>
      <w:bookmarkStart w:id="4" w:name="_Toc29248312"/>
      <w:bookmarkStart w:id="5" w:name="_Toc37200896"/>
      <w:bookmarkStart w:id="6" w:name="_Toc46492762"/>
      <w:bookmarkStart w:id="7" w:name="_Toc52568288"/>
      <w:bookmarkStart w:id="8" w:name="_Toc146664713"/>
      <w:r w:rsidRPr="00AF20AB">
        <w:t>3.2</w:t>
      </w:r>
      <w:r w:rsidRPr="00AF20AB">
        <w:tab/>
        <w:t>Abbreviations</w:t>
      </w:r>
      <w:bookmarkEnd w:id="4"/>
      <w:bookmarkEnd w:id="5"/>
      <w:bookmarkEnd w:id="6"/>
      <w:bookmarkEnd w:id="7"/>
      <w:bookmarkEnd w:id="8"/>
    </w:p>
    <w:p w:rsidR="00A731B9" w:rsidRPr="00AF20AB" w:rsidRDefault="00A731B9" w:rsidP="00A731B9">
      <w:pPr>
        <w:keepNext/>
      </w:pPr>
      <w:r w:rsidRPr="00AF20AB">
        <w:t>For the purposes of the present document, the abbreviations given in TR 21.905 [1] and the following apply. An abbreviation defined in the present document takes precedence over the definition of the same abbreviation, if any, in TR 21.905 [1] and TS 36.300 [2].</w:t>
      </w:r>
    </w:p>
    <w:p w:rsidR="00A731B9" w:rsidRPr="00AF20AB" w:rsidRDefault="00A731B9" w:rsidP="00A731B9">
      <w:pPr>
        <w:pStyle w:val="EW"/>
        <w:rPr>
          <w:rFonts w:eastAsia="MS Mincho"/>
        </w:rPr>
      </w:pPr>
      <w:r w:rsidRPr="00AF20AB">
        <w:t>BFD</w:t>
      </w:r>
      <w:r w:rsidRPr="00AF20AB">
        <w:tab/>
        <w:t>Beam Failure Detection</w:t>
      </w:r>
    </w:p>
    <w:p w:rsidR="00A731B9" w:rsidRPr="00AF20AB" w:rsidRDefault="00A731B9" w:rsidP="00A731B9">
      <w:pPr>
        <w:pStyle w:val="EW"/>
      </w:pPr>
      <w:r w:rsidRPr="00AF20AB">
        <w:rPr>
          <w:rFonts w:eastAsia="宋体"/>
          <w:lang w:eastAsia="zh-CN"/>
        </w:rPr>
        <w:t>CHO</w:t>
      </w:r>
      <w:r w:rsidRPr="00AF20AB">
        <w:rPr>
          <w:rFonts w:eastAsia="宋体"/>
          <w:lang w:eastAsia="zh-CN"/>
        </w:rPr>
        <w:tab/>
      </w:r>
      <w:r w:rsidRPr="00AF20AB">
        <w:t>Conditional Handover</w:t>
      </w:r>
    </w:p>
    <w:p w:rsidR="00A731B9" w:rsidRPr="00AF20AB" w:rsidRDefault="00A731B9" w:rsidP="00A731B9">
      <w:pPr>
        <w:pStyle w:val="EW"/>
      </w:pPr>
      <w:r w:rsidRPr="00AF20AB">
        <w:t>CLI</w:t>
      </w:r>
      <w:r w:rsidRPr="00AF20AB">
        <w:tab/>
        <w:t>Cross Link Interference</w:t>
      </w:r>
    </w:p>
    <w:p w:rsidR="00A731B9" w:rsidRPr="00AF20AB" w:rsidRDefault="00A731B9" w:rsidP="00A731B9">
      <w:pPr>
        <w:pStyle w:val="EW"/>
        <w:rPr>
          <w:rFonts w:eastAsia="宋体"/>
          <w:lang w:eastAsia="zh-CN"/>
        </w:rPr>
      </w:pPr>
      <w:r w:rsidRPr="00AF20AB">
        <w:rPr>
          <w:rFonts w:eastAsia="宋体"/>
          <w:lang w:eastAsia="zh-CN"/>
        </w:rPr>
        <w:t>CPA</w:t>
      </w:r>
      <w:r w:rsidRPr="00AF20AB">
        <w:rPr>
          <w:rFonts w:eastAsia="宋体"/>
          <w:lang w:eastAsia="zh-CN"/>
        </w:rPr>
        <w:tab/>
        <w:t>Conditional PSCell Addition</w:t>
      </w:r>
    </w:p>
    <w:p w:rsidR="00A731B9" w:rsidRPr="00AF20AB" w:rsidRDefault="00A731B9" w:rsidP="00A731B9">
      <w:pPr>
        <w:pStyle w:val="EW"/>
        <w:rPr>
          <w:rFonts w:eastAsia="宋体"/>
          <w:lang w:eastAsia="zh-CN"/>
        </w:rPr>
      </w:pPr>
      <w:r w:rsidRPr="00AF20AB">
        <w:rPr>
          <w:rFonts w:eastAsia="宋体"/>
          <w:lang w:eastAsia="zh-CN"/>
        </w:rPr>
        <w:t>CPAC</w:t>
      </w:r>
      <w:r w:rsidRPr="00AF20AB">
        <w:rPr>
          <w:rFonts w:eastAsia="宋体"/>
          <w:lang w:eastAsia="zh-CN"/>
        </w:rPr>
        <w:tab/>
        <w:t>Conditional PSCell Addition or Change</w:t>
      </w:r>
    </w:p>
    <w:p w:rsidR="00A731B9" w:rsidRPr="00AF20AB" w:rsidRDefault="00A731B9" w:rsidP="00A731B9">
      <w:pPr>
        <w:pStyle w:val="EW"/>
      </w:pPr>
      <w:r w:rsidRPr="00AF20AB">
        <w:t>CPC</w:t>
      </w:r>
      <w:r w:rsidRPr="00AF20AB">
        <w:tab/>
        <w:t>Conditional PSCell Change</w:t>
      </w:r>
    </w:p>
    <w:p w:rsidR="00A731B9" w:rsidRPr="00AF20AB" w:rsidRDefault="00A731B9" w:rsidP="00A731B9">
      <w:pPr>
        <w:pStyle w:val="EW"/>
        <w:rPr>
          <w:rFonts w:eastAsia="宋体"/>
          <w:lang w:eastAsia="zh-CN"/>
        </w:rPr>
      </w:pPr>
      <w:r w:rsidRPr="00AF20AB">
        <w:rPr>
          <w:rFonts w:eastAsia="宋体"/>
          <w:lang w:eastAsia="zh-CN"/>
        </w:rPr>
        <w:t>DAPS</w:t>
      </w:r>
      <w:r w:rsidRPr="00AF20AB">
        <w:rPr>
          <w:rFonts w:eastAsia="宋体"/>
          <w:lang w:eastAsia="zh-CN"/>
        </w:rPr>
        <w:tab/>
      </w:r>
      <w:r w:rsidRPr="00AF20AB">
        <w:t>Dual Active Protocol Stack</w:t>
      </w:r>
    </w:p>
    <w:p w:rsidR="00A731B9" w:rsidRPr="00AF20AB" w:rsidRDefault="00A731B9" w:rsidP="00A731B9">
      <w:pPr>
        <w:pStyle w:val="EW"/>
      </w:pPr>
      <w:r w:rsidRPr="00AF20AB">
        <w:t>DC</w:t>
      </w:r>
      <w:r w:rsidRPr="00AF20AB">
        <w:tab/>
        <w:t>Intra-E-UTRA Dual Connectivity</w:t>
      </w:r>
    </w:p>
    <w:p w:rsidR="00A731B9" w:rsidRPr="00AF20AB" w:rsidRDefault="00A731B9" w:rsidP="00A731B9">
      <w:pPr>
        <w:pStyle w:val="EW"/>
      </w:pPr>
      <w:r w:rsidRPr="00AF20AB">
        <w:t>DCP</w:t>
      </w:r>
      <w:r w:rsidRPr="00AF20AB">
        <w:tab/>
        <w:t>DCI with CRC scrambled by PS-RNTI</w:t>
      </w:r>
    </w:p>
    <w:p w:rsidR="00A731B9" w:rsidRPr="00AF20AB" w:rsidRDefault="00A731B9" w:rsidP="00A731B9">
      <w:pPr>
        <w:pStyle w:val="EW"/>
      </w:pPr>
      <w:r w:rsidRPr="00AF20AB">
        <w:t>EN-DC</w:t>
      </w:r>
      <w:r w:rsidRPr="00AF20AB">
        <w:tab/>
        <w:t>E-UTRA-NR Dual Connectivity</w:t>
      </w:r>
    </w:p>
    <w:p w:rsidR="00A731B9" w:rsidRDefault="00A731B9" w:rsidP="00A731B9">
      <w:pPr>
        <w:pStyle w:val="EW"/>
        <w:rPr>
          <w:ins w:id="9" w:author="RAN2#124" w:date="2023-11-03T14:32:00Z"/>
        </w:rPr>
      </w:pPr>
      <w:r w:rsidRPr="00AF20AB">
        <w:t>IAB</w:t>
      </w:r>
      <w:r w:rsidRPr="00AF20AB">
        <w:tab/>
        <w:t>Integrated Access and Backhaul</w:t>
      </w:r>
    </w:p>
    <w:p w:rsidR="00A731B9" w:rsidRPr="00AF20AB" w:rsidRDefault="00A731B9" w:rsidP="00A731B9">
      <w:pPr>
        <w:pStyle w:val="EW"/>
      </w:pPr>
      <w:ins w:id="10" w:author="RAN2#124" w:date="2023-11-03T14:32:00Z">
        <w:r>
          <w:t>IDC                     In-Device Coexistence</w:t>
        </w:r>
      </w:ins>
    </w:p>
    <w:p w:rsidR="00A731B9" w:rsidRPr="00AF20AB" w:rsidRDefault="00A731B9" w:rsidP="00A731B9">
      <w:pPr>
        <w:pStyle w:val="EW"/>
      </w:pPr>
      <w:r w:rsidRPr="00AF20AB">
        <w:t>MCG</w:t>
      </w:r>
      <w:r w:rsidRPr="00AF20AB">
        <w:tab/>
        <w:t>Master Cell Group</w:t>
      </w:r>
    </w:p>
    <w:p w:rsidR="00A731B9" w:rsidRPr="00AF20AB" w:rsidRDefault="00A731B9" w:rsidP="00A731B9">
      <w:pPr>
        <w:pStyle w:val="EW"/>
      </w:pPr>
      <w:r w:rsidRPr="00AF20AB">
        <w:t>MN</w:t>
      </w:r>
      <w:r w:rsidRPr="00AF20AB">
        <w:tab/>
        <w:t>Master Node</w:t>
      </w:r>
    </w:p>
    <w:p w:rsidR="00A731B9" w:rsidRDefault="00A731B9" w:rsidP="00A731B9">
      <w:pPr>
        <w:pStyle w:val="EW"/>
        <w:rPr>
          <w:ins w:id="11" w:author="ran2#123bis" w:date="2023-10-20T11:34:00Z"/>
        </w:rPr>
      </w:pPr>
      <w:r w:rsidRPr="00AF20AB">
        <w:t>MR-DC</w:t>
      </w:r>
      <w:r w:rsidRPr="00AF20AB">
        <w:tab/>
        <w:t>Multi-Radio Dual Connectivity</w:t>
      </w:r>
    </w:p>
    <w:p w:rsidR="00A731B9" w:rsidRPr="00AF20AB" w:rsidRDefault="00A731B9" w:rsidP="00A731B9">
      <w:pPr>
        <w:pStyle w:val="EW"/>
      </w:pPr>
      <w:r w:rsidRPr="00AF20AB">
        <w:t>NE-DC</w:t>
      </w:r>
      <w:r w:rsidRPr="00AF20AB">
        <w:tab/>
        <w:t>NR-E-UTRA Dual Connectivity</w:t>
      </w:r>
    </w:p>
    <w:p w:rsidR="00A731B9" w:rsidRPr="00AF20AB" w:rsidRDefault="00A731B9" w:rsidP="00A731B9">
      <w:pPr>
        <w:pStyle w:val="EW"/>
      </w:pPr>
      <w:r w:rsidRPr="00AF20AB">
        <w:t>NGEN-DC</w:t>
      </w:r>
      <w:r w:rsidRPr="00AF20AB">
        <w:tab/>
        <w:t>NG-RAN E-UTRA-NR Dual Connectivity</w:t>
      </w:r>
    </w:p>
    <w:p w:rsidR="00A731B9" w:rsidRPr="00AF20AB" w:rsidRDefault="00A731B9" w:rsidP="00A731B9">
      <w:pPr>
        <w:pStyle w:val="EW"/>
      </w:pPr>
      <w:r w:rsidRPr="00AF20AB">
        <w:t>NR-DC</w:t>
      </w:r>
      <w:r w:rsidRPr="00AF20AB">
        <w:tab/>
        <w:t>NR-NR Dual Connectivity</w:t>
      </w:r>
    </w:p>
    <w:p w:rsidR="00A731B9" w:rsidRPr="00AF20AB" w:rsidRDefault="00A731B9" w:rsidP="00A731B9">
      <w:pPr>
        <w:pStyle w:val="EW"/>
        <w:rPr>
          <w:rFonts w:eastAsiaTheme="minorEastAsia"/>
        </w:rPr>
      </w:pPr>
      <w:r w:rsidRPr="00AF20AB">
        <w:t>RLM</w:t>
      </w:r>
      <w:r w:rsidRPr="00AF20AB">
        <w:tab/>
        <w:t>Radio Link Monitoring</w:t>
      </w:r>
    </w:p>
    <w:p w:rsidR="00A731B9" w:rsidRPr="00AF20AB" w:rsidRDefault="00A731B9" w:rsidP="00A731B9">
      <w:pPr>
        <w:pStyle w:val="EW"/>
      </w:pPr>
      <w:r w:rsidRPr="00AF20AB">
        <w:t>SCG</w:t>
      </w:r>
      <w:r w:rsidRPr="00AF20AB">
        <w:tab/>
        <w:t>Secondary Cell Group</w:t>
      </w:r>
    </w:p>
    <w:p w:rsidR="00A731B9" w:rsidRPr="00AF20AB" w:rsidRDefault="00A731B9" w:rsidP="00A731B9">
      <w:pPr>
        <w:pStyle w:val="EW"/>
      </w:pPr>
      <w:r w:rsidRPr="00AF20AB">
        <w:t>SMTC</w:t>
      </w:r>
      <w:r w:rsidRPr="00AF20AB">
        <w:tab/>
        <w:t>SS/PBCH block Measurement Timing Configuration</w:t>
      </w:r>
    </w:p>
    <w:p w:rsidR="00A731B9" w:rsidRPr="00AF20AB" w:rsidRDefault="00A731B9" w:rsidP="00A731B9">
      <w:pPr>
        <w:pStyle w:val="EW"/>
      </w:pPr>
      <w:r w:rsidRPr="00AF20AB">
        <w:t>SN</w:t>
      </w:r>
      <w:r w:rsidRPr="00AF20AB">
        <w:tab/>
        <w:t>Secondary Node</w:t>
      </w:r>
    </w:p>
    <w:p w:rsidR="00A731B9" w:rsidRDefault="00A731B9" w:rsidP="00A731B9">
      <w:pPr>
        <w:pStyle w:val="EX"/>
      </w:pPr>
      <w:r w:rsidRPr="00AF20AB">
        <w:t>V2X</w:t>
      </w:r>
      <w:r w:rsidRPr="00AF20AB">
        <w:tab/>
        <w:t>Vehicle-to-Everything</w:t>
      </w:r>
    </w:p>
    <w:p w:rsidR="00A731B9" w:rsidRDefault="00A731B9" w:rsidP="00A731B9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</w:t>
      </w:r>
      <w:r>
        <w:rPr>
          <w:rFonts w:ascii="Times New Roman" w:eastAsia="宋体" w:hAnsi="Times New Roman" w:cs="Times New Roman"/>
          <w:lang w:val="en-US" w:eastAsia="zh-CN"/>
        </w:rPr>
        <w:t>EXT CHANGE</w:t>
      </w:r>
    </w:p>
    <w:p w:rsidR="001C72EB" w:rsidRDefault="004C043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7.10</w:t>
      </w:r>
      <w:r>
        <w:rPr>
          <w:rFonts w:ascii="Arial" w:eastAsia="Times New Roman" w:hAnsi="Arial"/>
          <w:sz w:val="32"/>
          <w:lang w:eastAsia="ja-JP"/>
        </w:rPr>
        <w:tab/>
        <w:t>UE assistance information</w:t>
      </w:r>
      <w:bookmarkEnd w:id="1"/>
      <w:bookmarkEnd w:id="2"/>
      <w:bookmarkEnd w:id="3"/>
    </w:p>
    <w:p w:rsidR="001C72EB" w:rsidRDefault="004C0436">
      <w:pPr>
        <w:rPr>
          <w:rFonts w:eastAsia="宋体"/>
          <w:lang w:val="en-US" w:eastAsia="zh-CN"/>
        </w:rPr>
      </w:pPr>
      <w:r>
        <w:rPr>
          <w:rFonts w:eastAsia="Times New Roman"/>
          <w:lang w:eastAsia="ja-JP"/>
        </w:rPr>
        <w:t>In MR-DC, the UE can be configured to report MCG specific UE assistance information if the MN is a gNB and/or SCG specific UE assistance information if the SN is a gNB, if it prefers an adjustment on the connected mode DRX parameters, the maximum aggregated bandwidth, the maximum number of secondary component carriers, the maximum number of MIMO layers, whether the UE p</w:t>
      </w:r>
      <w:r>
        <w:rPr>
          <w:rFonts w:eastAsia="宋体"/>
          <w:lang w:eastAsia="zh-CN"/>
        </w:rPr>
        <w:t>re</w:t>
      </w:r>
      <w:r>
        <w:rPr>
          <w:rFonts w:eastAsia="Times New Roman"/>
          <w:lang w:eastAsia="ja-JP"/>
        </w:rPr>
        <w:t xml:space="preserve">fers the SCG to be deactivated, the minimum scheduling offset for cross-slot scheduling cycle length, </w:t>
      </w:r>
      <w:del w:id="12" w:author="RAN2#122" w:date="2023-03-20T16:13:00Z">
        <w:r>
          <w:rPr>
            <w:rFonts w:eastAsia="Times New Roman"/>
            <w:lang w:eastAsia="ja-JP"/>
          </w:rPr>
          <w:delText xml:space="preserve">and/or </w:delText>
        </w:r>
      </w:del>
      <w:r>
        <w:rPr>
          <w:rFonts w:eastAsia="Times New Roman"/>
          <w:lang w:eastAsia="ja-JP"/>
        </w:rPr>
        <w:t>whether the UE is applying RLM/BFD measurements relaxation for power saving</w:t>
      </w:r>
      <w:ins w:id="13" w:author="RAN2#122" w:date="2023-03-20T16:13:00Z">
        <w:r>
          <w:rPr>
            <w:rFonts w:hint="eastAsia"/>
          </w:rPr>
          <w:t>, and/or whether the UE is experiencing IDC problem</w:t>
        </w:r>
      </w:ins>
      <w:ins w:id="14" w:author="RAN2#122" w:date="2023-03-20T17:12:00Z">
        <w:r>
          <w:t>s</w:t>
        </w:r>
      </w:ins>
      <w:ins w:id="15" w:author="RAN2#122_v2" w:date="2023-04-03T18:06:00Z">
        <w:r>
          <w:t xml:space="preserve"> as described in</w:t>
        </w:r>
      </w:ins>
      <w:ins w:id="16" w:author="RAN2#122_v3" w:date="2023-05-26T08:33:00Z">
        <w:r>
          <w:rPr>
            <w:rFonts w:eastAsia="宋体" w:hint="eastAsia"/>
            <w:lang w:val="en-US" w:eastAsia="zh-CN"/>
          </w:rPr>
          <w:t xml:space="preserve"> </w:t>
        </w:r>
        <w:r>
          <w:t>TS 36.300 [2]</w:t>
        </w:r>
      </w:ins>
      <w:ins w:id="17" w:author="RAN2#122_v2" w:date="2023-04-03T18:06:00Z">
        <w:r>
          <w:t xml:space="preserve"> </w:t>
        </w:r>
      </w:ins>
      <w:ins w:id="18" w:author="RAN2#122_v3" w:date="2023-05-26T08:33:00Z">
        <w:r>
          <w:rPr>
            <w:rFonts w:eastAsia="宋体" w:hint="eastAsia"/>
            <w:lang w:val="en-US" w:eastAsia="zh-CN"/>
          </w:rPr>
          <w:t xml:space="preserve">and </w:t>
        </w:r>
      </w:ins>
      <w:ins w:id="19" w:author="RAN2#122_v2" w:date="2023-04-03T18:06:00Z">
        <w:r>
          <w:t>TS 38.300 [3]</w:t>
        </w:r>
      </w:ins>
      <w:r>
        <w:rPr>
          <w:rFonts w:eastAsia="Times New Roman"/>
          <w:lang w:eastAsia="ja-JP"/>
        </w:rPr>
        <w:t>. In these cases, it is up to the network whether to accommodate the preference or how to use the relaxation status indications</w:t>
      </w:r>
      <w:ins w:id="20" w:author="RAN2#122" w:date="2023-03-20T16:14:00Z">
        <w:r>
          <w:rPr>
            <w:rFonts w:eastAsia="Times New Roman"/>
            <w:lang w:eastAsia="ja-JP"/>
          </w:rPr>
          <w:t xml:space="preserve"> </w:t>
        </w:r>
        <w:r>
          <w:rPr>
            <w:rFonts w:hint="eastAsia"/>
          </w:rPr>
          <w:t>or how to solve the IDC problem</w:t>
        </w:r>
      </w:ins>
      <w:ins w:id="21" w:author="RAN2#122" w:date="2023-03-20T17:13:00Z">
        <w:r>
          <w:t>s</w:t>
        </w:r>
      </w:ins>
      <w:r>
        <w:rPr>
          <w:rFonts w:eastAsia="Times New Roman"/>
          <w:lang w:eastAsia="ja-JP"/>
        </w:rPr>
        <w:t>. SCG specific UE assistance information for power saving</w:t>
      </w:r>
      <w:ins w:id="22" w:author="RAN2#122" w:date="2023-03-20T16:14:00Z">
        <w:r>
          <w:rPr>
            <w:rFonts w:eastAsia="Times New Roman"/>
            <w:lang w:eastAsia="ja-JP"/>
          </w:rPr>
          <w:t xml:space="preserve"> </w:t>
        </w:r>
        <w:r>
          <w:rPr>
            <w:rFonts w:hint="eastAsia"/>
          </w:rPr>
          <w:t>or IDC</w:t>
        </w:r>
      </w:ins>
      <w:r>
        <w:rPr>
          <w:rFonts w:eastAsia="Times New Roman"/>
          <w:lang w:eastAsia="ja-JP"/>
        </w:rPr>
        <w:t xml:space="preserve"> can be configured by the network via SRB1 or SRB3. SCG specific UE assistance information for power saving</w:t>
      </w:r>
      <w:ins w:id="23" w:author="RAN2#122" w:date="2023-03-20T16:14:00Z">
        <w:r>
          <w:rPr>
            <w:rFonts w:eastAsia="Times New Roman"/>
            <w:lang w:eastAsia="ja-JP"/>
          </w:rPr>
          <w:t xml:space="preserve"> </w:t>
        </w:r>
        <w:r>
          <w:rPr>
            <w:rFonts w:hint="eastAsia"/>
          </w:rPr>
          <w:t>or IDC</w:t>
        </w:r>
      </w:ins>
      <w:r>
        <w:rPr>
          <w:rFonts w:eastAsia="Times New Roman"/>
          <w:lang w:eastAsia="ja-JP"/>
        </w:rPr>
        <w:t xml:space="preserve"> is directly transmitted to the SN via SRB3, if SRB3 is configured and the SCG is activated, otherwise UE transmits SCG specific UE assistance information for power saving </w:t>
      </w:r>
      <w:ins w:id="24" w:author="RAN2#122" w:date="2023-03-20T16:15:00Z">
        <w:r>
          <w:rPr>
            <w:rFonts w:hint="eastAsia"/>
          </w:rPr>
          <w:t>or IDC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Times New Roman"/>
          <w:lang w:eastAsia="ja-JP"/>
        </w:rPr>
        <w:t xml:space="preserve">in a transparent container to the MN. When network </w:t>
      </w:r>
      <w:r>
        <w:rPr>
          <w:rFonts w:eastAsia="等线"/>
          <w:lang w:eastAsia="zh-CN"/>
        </w:rPr>
        <w:t>simultaneously</w:t>
      </w:r>
      <w:r>
        <w:rPr>
          <w:rFonts w:eastAsia="Times New Roman"/>
          <w:lang w:eastAsia="ja-JP"/>
        </w:rPr>
        <w:t xml:space="preserve"> configures</w:t>
      </w:r>
      <w:r>
        <w:rPr>
          <w:rFonts w:eastAsia="宋体"/>
          <w:lang w:eastAsia="ja-JP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/>
          <w:lang w:eastAsia="ja-JP"/>
        </w:rPr>
        <w:t>he UE to perform radio link monitor</w:t>
      </w:r>
      <w:r>
        <w:rPr>
          <w:rFonts w:eastAsia="宋体"/>
          <w:lang w:eastAsia="zh-CN"/>
        </w:rPr>
        <w:t>ing</w:t>
      </w:r>
      <w:r>
        <w:rPr>
          <w:rFonts w:eastAsia="宋体"/>
          <w:lang w:eastAsia="ja-JP"/>
        </w:rPr>
        <w:t xml:space="preserve"> </w:t>
      </w:r>
      <w:r>
        <w:rPr>
          <w:rFonts w:eastAsia="宋体"/>
          <w:lang w:eastAsia="zh-CN"/>
        </w:rPr>
        <w:t xml:space="preserve">on the SCG </w:t>
      </w:r>
      <w:r>
        <w:rPr>
          <w:rFonts w:eastAsia="宋体"/>
          <w:lang w:eastAsia="ja-JP"/>
        </w:rPr>
        <w:t xml:space="preserve">and beam failure detection </w:t>
      </w:r>
      <w:r>
        <w:rPr>
          <w:rFonts w:eastAsia="宋体"/>
          <w:lang w:eastAsia="zh-CN"/>
        </w:rPr>
        <w:t xml:space="preserve">on the SCG </w:t>
      </w:r>
      <w:r>
        <w:rPr>
          <w:rFonts w:eastAsia="宋体"/>
          <w:lang w:eastAsia="ja-JP"/>
        </w:rPr>
        <w:t>while the SCG is deactivated</w:t>
      </w:r>
      <w:r>
        <w:rPr>
          <w:rFonts w:eastAsia="等线"/>
          <w:lang w:eastAsia="zh-CN"/>
        </w:rPr>
        <w:t>,</w:t>
      </w:r>
      <w:r>
        <w:rPr>
          <w:rFonts w:eastAsia="Times New Roman"/>
          <w:lang w:eastAsia="ja-JP"/>
        </w:rPr>
        <w:t xml:space="preserve"> UE assistance information</w:t>
      </w:r>
      <w:r>
        <w:rPr>
          <w:rFonts w:eastAsia="等线"/>
          <w:lang w:eastAsia="zh-CN"/>
        </w:rPr>
        <w:t xml:space="preserve"> for the relaxation state report of RLM/BFD measurements for SCG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>is reported over MCG</w:t>
      </w:r>
      <w:r>
        <w:rPr>
          <w:rFonts w:eastAsia="Times New Roman"/>
          <w:lang w:eastAsia="ja-JP"/>
        </w:rPr>
        <w:t>. UE can implicitly indicate a preference for NR SCG release by indicating zero number of carriers and zero aggregated maximum bandwidth in both FR1 and FR2.</w:t>
      </w:r>
    </w:p>
    <w:p w:rsidR="001C72EB" w:rsidRDefault="004C0436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</w:t>
      </w:r>
      <w:r>
        <w:rPr>
          <w:rFonts w:ascii="Times New Roman" w:eastAsia="宋体" w:hAnsi="Times New Roman" w:cs="Times New Roman"/>
          <w:lang w:val="en-US" w:eastAsia="zh-CN"/>
        </w:rPr>
        <w:t>EXT CHANGE</w:t>
      </w:r>
    </w:p>
    <w:p w:rsidR="001C72EB" w:rsidRDefault="004C0436">
      <w:pPr>
        <w:pStyle w:val="2"/>
        <w:rPr>
          <w:lang w:eastAsia="zh-CN"/>
        </w:rPr>
      </w:pPr>
      <w:bookmarkStart w:id="25" w:name="_Toc37200988"/>
      <w:bookmarkStart w:id="26" w:name="_Toc29248401"/>
      <w:bookmarkStart w:id="27" w:name="_Toc46492854"/>
      <w:bookmarkStart w:id="28" w:name="_Toc124526318"/>
      <w:bookmarkStart w:id="29" w:name="_Toc52568385"/>
      <w:r>
        <w:rPr>
          <w:kern w:val="2"/>
          <w:lang w:eastAsia="zh-CN" w:bidi="ta-IN"/>
        </w:rPr>
        <w:lastRenderedPageBreak/>
        <w:t>13.1</w:t>
      </w:r>
      <w:r>
        <w:rPr>
          <w:kern w:val="2"/>
          <w:lang w:bidi="ta-IN"/>
        </w:rPr>
        <w:tab/>
      </w:r>
      <w:r>
        <w:t>Interference avoidance for in-device coexistence</w:t>
      </w:r>
      <w:bookmarkEnd w:id="25"/>
      <w:bookmarkEnd w:id="26"/>
      <w:bookmarkEnd w:id="27"/>
      <w:bookmarkEnd w:id="28"/>
      <w:bookmarkEnd w:id="29"/>
    </w:p>
    <w:p w:rsidR="001C72EB" w:rsidRDefault="004C0436">
      <w:pPr>
        <w:rPr>
          <w:ins w:id="30" w:author="RAN2#122" w:date="2023-03-20T17:08:00Z"/>
          <w:lang w:eastAsia="zh-CN"/>
        </w:rPr>
      </w:pPr>
      <w:del w:id="31" w:author="RAN2#124" w:date="2023-11-03T14:33:00Z">
        <w:r w:rsidDel="00A731B9">
          <w:delText>In-Device Coexistence (</w:delText>
        </w:r>
      </w:del>
      <w:r>
        <w:t>IDC</w:t>
      </w:r>
      <w:del w:id="32" w:author="RAN2#124" w:date="2023-11-03T14:33:00Z">
        <w:r w:rsidDel="00A731B9">
          <w:delText>)</w:delText>
        </w:r>
      </w:del>
      <w:r>
        <w:t xml:space="preserve"> solution as described in TS 36.300 [2]</w:t>
      </w:r>
      <w:ins w:id="33" w:author="RAN2#122_v3" w:date="2023-05-29T14:20:00Z">
        <w:r>
          <w:rPr>
            <w:rFonts w:eastAsia="宋体" w:hint="eastAsia"/>
            <w:lang w:val="en-US" w:eastAsia="zh-CN"/>
          </w:rPr>
          <w:t xml:space="preserve"> and </w:t>
        </w:r>
        <w:r>
          <w:t>TS 38.300 [3]</w:t>
        </w:r>
      </w:ins>
      <w:r>
        <w:t xml:space="preserve"> is extended to address EN-DC</w:t>
      </w:r>
      <w:ins w:id="34" w:author="RAN2#122" w:date="2023-03-20T16:24:00Z">
        <w:r>
          <w:t>/NR-DC</w:t>
        </w:r>
      </w:ins>
      <w:r>
        <w:t xml:space="preserve"> operation. </w:t>
      </w:r>
      <w:del w:id="35" w:author="RAN2#122" w:date="2023-03-20T16:26:00Z">
        <w:r>
          <w:delText xml:space="preserve">Only </w:delText>
        </w:r>
      </w:del>
      <w:ins w:id="36" w:author="RAN2#122" w:date="2023-03-20T16:26:00Z">
        <w:r>
          <w:t xml:space="preserve">For the </w:t>
        </w:r>
      </w:ins>
      <w:r>
        <w:t xml:space="preserve">FDM solution, </w:t>
      </w:r>
      <w:del w:id="37" w:author="RAN2#122" w:date="2023-03-20T16:26:00Z">
        <w:r>
          <w:delText xml:space="preserve">where </w:delText>
        </w:r>
      </w:del>
      <w:r>
        <w:t>the list of NR carriers</w:t>
      </w:r>
      <w:ins w:id="38" w:author="RAN2#122_v3" w:date="2023-05-29T14:21:00Z">
        <w:r>
          <w:rPr>
            <w:rFonts w:eastAsia="宋体" w:hint="eastAsia"/>
            <w:lang w:val="en-US" w:eastAsia="zh-CN"/>
          </w:rPr>
          <w:t xml:space="preserve"> or NR frequency ranges</w:t>
        </w:r>
      </w:ins>
      <w:r>
        <w:t xml:space="preserve"> suffering from IDC problems is signalled in IDC</w:t>
      </w:r>
      <w:ins w:id="39" w:author="RAN2#122_v3" w:date="2023-05-26T08:37:00Z">
        <w:r>
          <w:rPr>
            <w:rFonts w:eastAsia="宋体" w:hint="eastAsia"/>
            <w:lang w:val="en-US" w:eastAsia="zh-CN"/>
          </w:rPr>
          <w:t xml:space="preserve"> report</w:t>
        </w:r>
      </w:ins>
      <w:del w:id="40" w:author="RAN2#122_v3" w:date="2023-05-26T08:37:00Z">
        <w:r>
          <w:delText xml:space="preserve"> indication</w:delText>
        </w:r>
      </w:del>
      <w:ins w:id="41" w:author="RAN2#122" w:date="2023-03-20T16:28:00Z">
        <w:r>
          <w:t xml:space="preserve">. </w:t>
        </w:r>
      </w:ins>
      <w:del w:id="42" w:author="RAN2#122" w:date="2023-03-20T16:28:00Z">
        <w:r>
          <w:delText>,</w:delText>
        </w:r>
      </w:del>
      <w:del w:id="43" w:author="RAN2#122" w:date="2023-03-20T16:27:00Z">
        <w:r>
          <w:delText xml:space="preserve"> </w:delText>
        </w:r>
      </w:del>
      <w:ins w:id="44" w:author="RAN2#122" w:date="2023-03-20T16:28:00Z">
        <w:r>
          <w:t>F</w:t>
        </w:r>
      </w:ins>
      <w:ins w:id="45" w:author="RAN2#122" w:date="2023-03-20T16:27:00Z">
        <w:r>
          <w:t xml:space="preserve">or the TDM solution, </w:t>
        </w:r>
      </w:ins>
      <w:ins w:id="46" w:author="RAN2#122_v2" w:date="2023-03-30T11:36:00Z">
        <w:r>
          <w:t>a periodic</w:t>
        </w:r>
      </w:ins>
      <w:r>
        <w:t xml:space="preserve"> </w:t>
      </w:r>
      <w:ins w:id="47" w:author="RAN2#122" w:date="2023-03-20T16:28:00Z">
        <w:r>
          <w:t xml:space="preserve">pattern can be signalled per-CG in IDC </w:t>
        </w:r>
      </w:ins>
      <w:ins w:id="48" w:author="RAN2#122_v3" w:date="2023-05-29T14:20:00Z">
        <w:r>
          <w:rPr>
            <w:rFonts w:eastAsia="宋体" w:hint="eastAsia"/>
            <w:lang w:val="en-US" w:eastAsia="zh-CN"/>
          </w:rPr>
          <w:t>report</w:t>
        </w:r>
      </w:ins>
      <w:del w:id="49" w:author="RAN2#122" w:date="2023-03-20T16:27:00Z">
        <w:r>
          <w:delText>is supported in this version of the specifications</w:delText>
        </w:r>
      </w:del>
      <w:ins w:id="50" w:author="RAN2#122" w:date="2023-03-20T17:23:00Z">
        <w:r>
          <w:t>.</w:t>
        </w:r>
      </w:ins>
      <w:del w:id="51" w:author="RAN2#122" w:date="2023-03-20T17:23:00Z">
        <w:r>
          <w:delText>.</w:delText>
        </w:r>
      </w:del>
      <w:r>
        <w:t xml:space="preserve"> </w:t>
      </w:r>
      <w:ins w:id="52" w:author="RAN2#122" w:date="2023-03-20T16:31:00Z">
        <w:r>
          <w:t xml:space="preserve">In EN-DC, the MN can configure the UE to report FDM assistance information </w:t>
        </w:r>
      </w:ins>
      <w:ins w:id="53" w:author="RAN2#122" w:date="2023-03-20T16:36:00Z">
        <w:r>
          <w:t>with affected carriers</w:t>
        </w:r>
      </w:ins>
      <w:ins w:id="54" w:author="RAN2#122" w:date="2023-03-20T17:25:00Z">
        <w:r>
          <w:t>.</w:t>
        </w:r>
      </w:ins>
      <w:ins w:id="55" w:author="RAN2#122" w:date="2023-03-20T16:31:00Z">
        <w:r>
          <w:t xml:space="preserve"> In NR-DC, the MN can configure the UE to report FDM assistance information</w:t>
        </w:r>
      </w:ins>
      <w:ins w:id="56" w:author="RAN2#122" w:date="2023-03-20T16:37:00Z">
        <w:r>
          <w:t xml:space="preserve"> with affected frequency range</w:t>
        </w:r>
      </w:ins>
      <w:ins w:id="57" w:author="RAN2#122" w:date="2023-03-20T16:49:00Z">
        <w:r>
          <w:t>s</w:t>
        </w:r>
      </w:ins>
      <w:ins w:id="58" w:author="RAN2#122" w:date="2023-03-20T16:31:00Z">
        <w:r>
          <w:t xml:space="preserve"> and/or TDM assistance information.</w:t>
        </w:r>
      </w:ins>
      <w:ins w:id="59" w:author="RAN2#122" w:date="2023-03-20T16:51:00Z">
        <w:r>
          <w:t xml:space="preserve"> </w:t>
        </w:r>
      </w:ins>
      <w:ins w:id="60" w:author="RAN2#122" w:date="2023-03-20T17:23:00Z">
        <w:r>
          <w:t xml:space="preserve">For both EN-DC and NR-DC, </w:t>
        </w:r>
      </w:ins>
      <w:ins w:id="61" w:author="RAN2#122" w:date="2023-03-20T17:22:00Z">
        <w:r>
          <w:t xml:space="preserve">the SN can configure the UE to report FDM assistance information with affected frequency ranges and/or TDM assistance information to the SN via SRB1 or SRB3, if </w:t>
        </w:r>
      </w:ins>
      <w:ins w:id="62" w:author="RAN2#122" w:date="2023-03-20T17:33:00Z">
        <w:r>
          <w:t xml:space="preserve">SRB3 is </w:t>
        </w:r>
      </w:ins>
      <w:ins w:id="63" w:author="RAN2#122" w:date="2023-03-20T17:22:00Z">
        <w:r>
          <w:t>configured</w:t>
        </w:r>
      </w:ins>
      <w:ins w:id="64" w:author="RAN2#122" w:date="2023-03-20T17:24:00Z">
        <w:r>
          <w:t xml:space="preserve"> </w:t>
        </w:r>
        <w:r>
          <w:rPr>
            <w:rFonts w:eastAsia="Times New Roman"/>
            <w:lang w:eastAsia="ja-JP"/>
          </w:rPr>
          <w:t>and the SCG is activated.</w:t>
        </w:r>
      </w:ins>
      <w:ins w:id="65" w:author="RAN2#122" w:date="2023-03-20T17:22:00Z">
        <w:r>
          <w:t xml:space="preserve"> </w:t>
        </w:r>
      </w:ins>
      <w:ins w:id="66" w:author="RAN2#122" w:date="2023-03-20T16:51:00Z">
        <w:r>
          <w:t>The network can also configure autonomous denial per</w:t>
        </w:r>
      </w:ins>
      <w:ins w:id="67" w:author="RAN2#122" w:date="2023-03-20T17:33:00Z">
        <w:r>
          <w:t>-</w:t>
        </w:r>
      </w:ins>
      <w:ins w:id="68" w:author="RAN2#122" w:date="2023-03-20T16:51:00Z">
        <w:r>
          <w:t xml:space="preserve">CG for the UE to solve IDC </w:t>
        </w:r>
      </w:ins>
      <w:ins w:id="69" w:author="RAN2#122" w:date="2023-03-20T16:52:00Z">
        <w:r>
          <w:t>problems</w:t>
        </w:r>
      </w:ins>
      <w:ins w:id="70" w:author="RAN2#122" w:date="2023-03-20T16:51:00Z">
        <w:r>
          <w:t xml:space="preserve">. </w:t>
        </w:r>
      </w:ins>
      <w:r>
        <w:t xml:space="preserve">The requirement on </w:t>
      </w:r>
      <w:r>
        <w:rPr>
          <w:lang w:eastAsia="zh-CN"/>
        </w:rPr>
        <w:t xml:space="preserve">RRM/RLM/CSI measurements in different phases of IDC interference defined in </w:t>
      </w:r>
      <w:r>
        <w:t>TS 36.300</w:t>
      </w:r>
      <w:r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 w:rsidR="001C72EB" w:rsidRDefault="004C0436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1C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361" w:rsidRDefault="00EE3361">
      <w:pPr>
        <w:spacing w:line="240" w:lineRule="auto"/>
      </w:pPr>
      <w:r>
        <w:separator/>
      </w:r>
    </w:p>
  </w:endnote>
  <w:endnote w:type="continuationSeparator" w:id="0">
    <w:p w:rsidR="00EE3361" w:rsidRDefault="00EE33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361" w:rsidRDefault="00EE3361">
      <w:pPr>
        <w:spacing w:after="0"/>
      </w:pPr>
      <w:r>
        <w:separator/>
      </w:r>
    </w:p>
  </w:footnote>
  <w:footnote w:type="continuationSeparator" w:id="0">
    <w:p w:rsidR="00EE3361" w:rsidRDefault="00EE33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24">
    <w15:presenceInfo w15:providerId="None" w15:userId="RAN2#124"/>
  </w15:person>
  <w15:person w15:author="ran2#123bis">
    <w15:presenceInfo w15:providerId="None" w15:userId="ran2#123bis"/>
  </w15:person>
  <w15:person w15:author="RAN2#122">
    <w15:presenceInfo w15:providerId="None" w15:userId="RAN2#122"/>
  </w15:person>
  <w15:person w15:author="RAN2#122_v2">
    <w15:presenceInfo w15:providerId="None" w15:userId="RAN2#122_v2"/>
  </w15:person>
  <w15:person w15:author="RAN2#122_v3">
    <w15:presenceInfo w15:providerId="None" w15:userId="RAN2#122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22625"/>
    <w:rsid w:val="000313A0"/>
    <w:rsid w:val="0003405C"/>
    <w:rsid w:val="00034E06"/>
    <w:rsid w:val="00037CBA"/>
    <w:rsid w:val="000449D7"/>
    <w:rsid w:val="00045FA8"/>
    <w:rsid w:val="00046D9B"/>
    <w:rsid w:val="0005073F"/>
    <w:rsid w:val="00050751"/>
    <w:rsid w:val="0005183E"/>
    <w:rsid w:val="00052054"/>
    <w:rsid w:val="000550B5"/>
    <w:rsid w:val="000553C9"/>
    <w:rsid w:val="00070409"/>
    <w:rsid w:val="00071A4E"/>
    <w:rsid w:val="00072702"/>
    <w:rsid w:val="00072753"/>
    <w:rsid w:val="00077225"/>
    <w:rsid w:val="000773E1"/>
    <w:rsid w:val="000773F6"/>
    <w:rsid w:val="00082748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4C59"/>
    <w:rsid w:val="000D517E"/>
    <w:rsid w:val="000E0E50"/>
    <w:rsid w:val="000E2CE1"/>
    <w:rsid w:val="000E330F"/>
    <w:rsid w:val="000E54BB"/>
    <w:rsid w:val="000E645D"/>
    <w:rsid w:val="000F2C66"/>
    <w:rsid w:val="000F3178"/>
    <w:rsid w:val="000F47BB"/>
    <w:rsid w:val="000F480E"/>
    <w:rsid w:val="0010125D"/>
    <w:rsid w:val="00102FD9"/>
    <w:rsid w:val="00112CA3"/>
    <w:rsid w:val="0011390D"/>
    <w:rsid w:val="00116469"/>
    <w:rsid w:val="0011676E"/>
    <w:rsid w:val="00121721"/>
    <w:rsid w:val="001325E4"/>
    <w:rsid w:val="001328CE"/>
    <w:rsid w:val="0013354F"/>
    <w:rsid w:val="00137B78"/>
    <w:rsid w:val="00141800"/>
    <w:rsid w:val="00141EA8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87EEC"/>
    <w:rsid w:val="0019138E"/>
    <w:rsid w:val="00194A98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2F62"/>
    <w:rsid w:val="001C4E22"/>
    <w:rsid w:val="001C6BE2"/>
    <w:rsid w:val="001C72EB"/>
    <w:rsid w:val="001C7446"/>
    <w:rsid w:val="001D02BD"/>
    <w:rsid w:val="001D0A3E"/>
    <w:rsid w:val="001D1B96"/>
    <w:rsid w:val="001D23B6"/>
    <w:rsid w:val="001D3C21"/>
    <w:rsid w:val="001D3DCF"/>
    <w:rsid w:val="001E197E"/>
    <w:rsid w:val="001E2A36"/>
    <w:rsid w:val="001E435C"/>
    <w:rsid w:val="001E46DB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2F6B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C88"/>
    <w:rsid w:val="002B6F69"/>
    <w:rsid w:val="002C31B2"/>
    <w:rsid w:val="002C53A7"/>
    <w:rsid w:val="002C5626"/>
    <w:rsid w:val="002C6995"/>
    <w:rsid w:val="002D0A8F"/>
    <w:rsid w:val="002D3B71"/>
    <w:rsid w:val="002D41DF"/>
    <w:rsid w:val="002D58EC"/>
    <w:rsid w:val="002D6297"/>
    <w:rsid w:val="002E2B6C"/>
    <w:rsid w:val="002F232E"/>
    <w:rsid w:val="002F2AA1"/>
    <w:rsid w:val="0030086D"/>
    <w:rsid w:val="00302EFF"/>
    <w:rsid w:val="00304715"/>
    <w:rsid w:val="003051E4"/>
    <w:rsid w:val="00310B76"/>
    <w:rsid w:val="00311077"/>
    <w:rsid w:val="00312CAE"/>
    <w:rsid w:val="00312EE9"/>
    <w:rsid w:val="00317B24"/>
    <w:rsid w:val="00320495"/>
    <w:rsid w:val="003302AF"/>
    <w:rsid w:val="0033086A"/>
    <w:rsid w:val="003328DD"/>
    <w:rsid w:val="00334917"/>
    <w:rsid w:val="003379A5"/>
    <w:rsid w:val="00341C32"/>
    <w:rsid w:val="00343BE2"/>
    <w:rsid w:val="00347DD9"/>
    <w:rsid w:val="003555B6"/>
    <w:rsid w:val="003758E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44CF"/>
    <w:rsid w:val="003C68BA"/>
    <w:rsid w:val="003D29FC"/>
    <w:rsid w:val="003D34AE"/>
    <w:rsid w:val="003D35FC"/>
    <w:rsid w:val="003D3BED"/>
    <w:rsid w:val="003E22FF"/>
    <w:rsid w:val="003E311D"/>
    <w:rsid w:val="003E3203"/>
    <w:rsid w:val="003E5924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47B3D"/>
    <w:rsid w:val="00461316"/>
    <w:rsid w:val="00461321"/>
    <w:rsid w:val="00463208"/>
    <w:rsid w:val="00463933"/>
    <w:rsid w:val="00467616"/>
    <w:rsid w:val="00470B2A"/>
    <w:rsid w:val="00474ECE"/>
    <w:rsid w:val="00477A5D"/>
    <w:rsid w:val="004825F9"/>
    <w:rsid w:val="00483626"/>
    <w:rsid w:val="00484506"/>
    <w:rsid w:val="00491BB4"/>
    <w:rsid w:val="00494729"/>
    <w:rsid w:val="00497A57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0436"/>
    <w:rsid w:val="004C45EC"/>
    <w:rsid w:val="004C5A86"/>
    <w:rsid w:val="004C5DCD"/>
    <w:rsid w:val="004D682C"/>
    <w:rsid w:val="004D77C9"/>
    <w:rsid w:val="004E1730"/>
    <w:rsid w:val="004E34C2"/>
    <w:rsid w:val="004E6444"/>
    <w:rsid w:val="004E67BF"/>
    <w:rsid w:val="004F0048"/>
    <w:rsid w:val="004F07E6"/>
    <w:rsid w:val="004F54A2"/>
    <w:rsid w:val="00501C66"/>
    <w:rsid w:val="005045FF"/>
    <w:rsid w:val="00504619"/>
    <w:rsid w:val="00504BBA"/>
    <w:rsid w:val="005052AF"/>
    <w:rsid w:val="005058E7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5745"/>
    <w:rsid w:val="00526E1E"/>
    <w:rsid w:val="005274B6"/>
    <w:rsid w:val="00535313"/>
    <w:rsid w:val="005374D2"/>
    <w:rsid w:val="00540505"/>
    <w:rsid w:val="005428A3"/>
    <w:rsid w:val="005461C3"/>
    <w:rsid w:val="00547719"/>
    <w:rsid w:val="005521A7"/>
    <w:rsid w:val="00557337"/>
    <w:rsid w:val="005601BB"/>
    <w:rsid w:val="00561444"/>
    <w:rsid w:val="00562C10"/>
    <w:rsid w:val="00562D0A"/>
    <w:rsid w:val="00562F1E"/>
    <w:rsid w:val="00563174"/>
    <w:rsid w:val="00563E18"/>
    <w:rsid w:val="00565BDC"/>
    <w:rsid w:val="0056607C"/>
    <w:rsid w:val="0057347F"/>
    <w:rsid w:val="00574EA9"/>
    <w:rsid w:val="005775BD"/>
    <w:rsid w:val="0058134D"/>
    <w:rsid w:val="005814AE"/>
    <w:rsid w:val="0058651C"/>
    <w:rsid w:val="00587F35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20C9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46AA"/>
    <w:rsid w:val="006C5A73"/>
    <w:rsid w:val="006C7868"/>
    <w:rsid w:val="006D0AC9"/>
    <w:rsid w:val="006D5971"/>
    <w:rsid w:val="006D6559"/>
    <w:rsid w:val="006E0FFB"/>
    <w:rsid w:val="006E1662"/>
    <w:rsid w:val="006E44A3"/>
    <w:rsid w:val="006F4024"/>
    <w:rsid w:val="006F4903"/>
    <w:rsid w:val="006F6101"/>
    <w:rsid w:val="006F6C23"/>
    <w:rsid w:val="00710FD8"/>
    <w:rsid w:val="00712A94"/>
    <w:rsid w:val="00715295"/>
    <w:rsid w:val="00716696"/>
    <w:rsid w:val="00720B23"/>
    <w:rsid w:val="0073164F"/>
    <w:rsid w:val="00731E1B"/>
    <w:rsid w:val="00736825"/>
    <w:rsid w:val="00740BA4"/>
    <w:rsid w:val="00753127"/>
    <w:rsid w:val="00755F6C"/>
    <w:rsid w:val="00760742"/>
    <w:rsid w:val="00766633"/>
    <w:rsid w:val="00766989"/>
    <w:rsid w:val="00766B0E"/>
    <w:rsid w:val="007673EF"/>
    <w:rsid w:val="00770048"/>
    <w:rsid w:val="00774681"/>
    <w:rsid w:val="007837E0"/>
    <w:rsid w:val="00787767"/>
    <w:rsid w:val="007909A0"/>
    <w:rsid w:val="00797D63"/>
    <w:rsid w:val="007A3CBC"/>
    <w:rsid w:val="007B0E00"/>
    <w:rsid w:val="007B24BE"/>
    <w:rsid w:val="007B3F40"/>
    <w:rsid w:val="007B4A1F"/>
    <w:rsid w:val="007B4DDF"/>
    <w:rsid w:val="007B6A70"/>
    <w:rsid w:val="007B72C6"/>
    <w:rsid w:val="007C3154"/>
    <w:rsid w:val="007C508C"/>
    <w:rsid w:val="007C7B54"/>
    <w:rsid w:val="007D1A52"/>
    <w:rsid w:val="007E13C4"/>
    <w:rsid w:val="007F4E68"/>
    <w:rsid w:val="007F5BC7"/>
    <w:rsid w:val="0080606F"/>
    <w:rsid w:val="00806678"/>
    <w:rsid w:val="0081271D"/>
    <w:rsid w:val="008137A0"/>
    <w:rsid w:val="00815A27"/>
    <w:rsid w:val="008176A0"/>
    <w:rsid w:val="0082376A"/>
    <w:rsid w:val="00823F19"/>
    <w:rsid w:val="00834EF6"/>
    <w:rsid w:val="00836229"/>
    <w:rsid w:val="0085077E"/>
    <w:rsid w:val="00850876"/>
    <w:rsid w:val="008517FF"/>
    <w:rsid w:val="00851DE6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1134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09DC"/>
    <w:rsid w:val="008F3A63"/>
    <w:rsid w:val="009017D4"/>
    <w:rsid w:val="0090280A"/>
    <w:rsid w:val="00904DF4"/>
    <w:rsid w:val="00905FAB"/>
    <w:rsid w:val="009200AA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0B1E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3473"/>
    <w:rsid w:val="009C57EE"/>
    <w:rsid w:val="009D1CC6"/>
    <w:rsid w:val="009E61C8"/>
    <w:rsid w:val="009F55D1"/>
    <w:rsid w:val="009F7551"/>
    <w:rsid w:val="00A040BB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731B9"/>
    <w:rsid w:val="00A76AD4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3074A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1DEF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BF6818"/>
    <w:rsid w:val="00BF79F9"/>
    <w:rsid w:val="00C04212"/>
    <w:rsid w:val="00C0501C"/>
    <w:rsid w:val="00C116AD"/>
    <w:rsid w:val="00C1775B"/>
    <w:rsid w:val="00C20744"/>
    <w:rsid w:val="00C230A7"/>
    <w:rsid w:val="00C24BBE"/>
    <w:rsid w:val="00C27B91"/>
    <w:rsid w:val="00C27F82"/>
    <w:rsid w:val="00C31467"/>
    <w:rsid w:val="00C44B38"/>
    <w:rsid w:val="00C4708E"/>
    <w:rsid w:val="00C5392A"/>
    <w:rsid w:val="00C54D71"/>
    <w:rsid w:val="00C576A3"/>
    <w:rsid w:val="00C60B00"/>
    <w:rsid w:val="00C65845"/>
    <w:rsid w:val="00C7792C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5FAA"/>
    <w:rsid w:val="00CB6A2E"/>
    <w:rsid w:val="00CC2C20"/>
    <w:rsid w:val="00CD21D7"/>
    <w:rsid w:val="00CD30F4"/>
    <w:rsid w:val="00CD3195"/>
    <w:rsid w:val="00CD78A8"/>
    <w:rsid w:val="00CE05B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470E2"/>
    <w:rsid w:val="00D51520"/>
    <w:rsid w:val="00D548A8"/>
    <w:rsid w:val="00D61351"/>
    <w:rsid w:val="00D63991"/>
    <w:rsid w:val="00D64A53"/>
    <w:rsid w:val="00D6720D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A6A87"/>
    <w:rsid w:val="00DB019F"/>
    <w:rsid w:val="00DB5FDD"/>
    <w:rsid w:val="00DB7E09"/>
    <w:rsid w:val="00DC1194"/>
    <w:rsid w:val="00DC7415"/>
    <w:rsid w:val="00DC7848"/>
    <w:rsid w:val="00DD143A"/>
    <w:rsid w:val="00DD73B7"/>
    <w:rsid w:val="00DD7B57"/>
    <w:rsid w:val="00DE0707"/>
    <w:rsid w:val="00DE13FF"/>
    <w:rsid w:val="00DE211E"/>
    <w:rsid w:val="00DE5E0B"/>
    <w:rsid w:val="00DF0623"/>
    <w:rsid w:val="00DF080B"/>
    <w:rsid w:val="00DF0BC1"/>
    <w:rsid w:val="00DF35C4"/>
    <w:rsid w:val="00DF452B"/>
    <w:rsid w:val="00E04CD3"/>
    <w:rsid w:val="00E06F2A"/>
    <w:rsid w:val="00E17345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2AF2"/>
    <w:rsid w:val="00E439F3"/>
    <w:rsid w:val="00E50258"/>
    <w:rsid w:val="00E547CF"/>
    <w:rsid w:val="00E55FCF"/>
    <w:rsid w:val="00E56AE1"/>
    <w:rsid w:val="00E57E73"/>
    <w:rsid w:val="00E63292"/>
    <w:rsid w:val="00E709E0"/>
    <w:rsid w:val="00E722C7"/>
    <w:rsid w:val="00E74F42"/>
    <w:rsid w:val="00E77E7E"/>
    <w:rsid w:val="00E8039B"/>
    <w:rsid w:val="00E81AD2"/>
    <w:rsid w:val="00E824A6"/>
    <w:rsid w:val="00E828F4"/>
    <w:rsid w:val="00E837F3"/>
    <w:rsid w:val="00E85FCC"/>
    <w:rsid w:val="00E8618B"/>
    <w:rsid w:val="00E868DE"/>
    <w:rsid w:val="00E86BFA"/>
    <w:rsid w:val="00E905C2"/>
    <w:rsid w:val="00EA1B4C"/>
    <w:rsid w:val="00EA44DB"/>
    <w:rsid w:val="00EA5D11"/>
    <w:rsid w:val="00EB02BF"/>
    <w:rsid w:val="00EB0467"/>
    <w:rsid w:val="00EB2262"/>
    <w:rsid w:val="00EB476C"/>
    <w:rsid w:val="00EB5DCF"/>
    <w:rsid w:val="00EC3710"/>
    <w:rsid w:val="00EC680B"/>
    <w:rsid w:val="00ED16CC"/>
    <w:rsid w:val="00ED1A4F"/>
    <w:rsid w:val="00ED3FA0"/>
    <w:rsid w:val="00ED43FE"/>
    <w:rsid w:val="00ED4CE7"/>
    <w:rsid w:val="00ED5A64"/>
    <w:rsid w:val="00ED5FD9"/>
    <w:rsid w:val="00EE209F"/>
    <w:rsid w:val="00EE24D0"/>
    <w:rsid w:val="00EE3361"/>
    <w:rsid w:val="00EE5229"/>
    <w:rsid w:val="00EE5C13"/>
    <w:rsid w:val="00EF0239"/>
    <w:rsid w:val="00EF17EA"/>
    <w:rsid w:val="00EF20C2"/>
    <w:rsid w:val="00EF3D1B"/>
    <w:rsid w:val="00F027AB"/>
    <w:rsid w:val="00F033AD"/>
    <w:rsid w:val="00F04F21"/>
    <w:rsid w:val="00F05360"/>
    <w:rsid w:val="00F054ED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4631C"/>
    <w:rsid w:val="00F61C2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D2286"/>
    <w:rsid w:val="00FD2AFF"/>
    <w:rsid w:val="00FD2F7D"/>
    <w:rsid w:val="00FD5649"/>
    <w:rsid w:val="00FE1144"/>
    <w:rsid w:val="00FE30CB"/>
    <w:rsid w:val="00FE4484"/>
    <w:rsid w:val="00FF1600"/>
    <w:rsid w:val="00FF3A03"/>
    <w:rsid w:val="00FF4347"/>
    <w:rsid w:val="054A6D70"/>
    <w:rsid w:val="05DB0E7E"/>
    <w:rsid w:val="128B5CB7"/>
    <w:rsid w:val="1DC36B0B"/>
    <w:rsid w:val="20DE18F7"/>
    <w:rsid w:val="27416F5B"/>
    <w:rsid w:val="2AB41FD3"/>
    <w:rsid w:val="2AE721E0"/>
    <w:rsid w:val="2D3D4B07"/>
    <w:rsid w:val="387F19CE"/>
    <w:rsid w:val="3B7F45DE"/>
    <w:rsid w:val="443C729E"/>
    <w:rsid w:val="69990F25"/>
    <w:rsid w:val="778D12D7"/>
    <w:rsid w:val="79171CE4"/>
    <w:rsid w:val="7D5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50E3F-4430-47F2-B923-E4A9DDAE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9EE4416-E481-48FD-AC64-AC1C9F7A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0FD20D-E9F7-42EF-BA58-1C3FCFC78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053AF-9CC0-493D-AF77-0D4F054A8B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4909</Characters>
  <Application>Microsoft Office Word</Application>
  <DocSecurity>0</DocSecurity>
  <Lines>40</Lines>
  <Paragraphs>11</Paragraphs>
  <ScaleCrop>false</ScaleCrop>
  <Company>ZTE</Company>
  <LinksUpToDate>false</LinksUpToDate>
  <CharactersWithSpaces>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2</cp:revision>
  <dcterms:created xsi:type="dcterms:W3CDTF">2023-11-03T07:49:00Z</dcterms:created>
  <dcterms:modified xsi:type="dcterms:W3CDTF">2023-11-03T07:49:00Z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