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72FB" w14:textId="4AE19574" w:rsidR="006E0825" w:rsidRPr="006E0825" w:rsidRDefault="006E0825" w:rsidP="006E0825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6E0825">
        <w:rPr>
          <w:rFonts w:eastAsia="MS Mincho"/>
          <w:b/>
          <w:sz w:val="24"/>
          <w:szCs w:val="24"/>
          <w:lang w:val="de-DE" w:eastAsia="x-none"/>
        </w:rPr>
        <w:t>3GPP TSG-RAN WG2 Meeting #123bis</w:t>
      </w:r>
      <w:r w:rsidRPr="006E0825">
        <w:rPr>
          <w:rFonts w:eastAsia="MS Mincho"/>
          <w:b/>
          <w:sz w:val="24"/>
          <w:szCs w:val="24"/>
          <w:lang w:val="de-DE" w:eastAsia="x-none"/>
        </w:rPr>
        <w:tab/>
      </w:r>
      <w:r w:rsidR="002247F1">
        <w:rPr>
          <w:rFonts w:eastAsia="MS Mincho"/>
          <w:b/>
          <w:sz w:val="24"/>
          <w:szCs w:val="24"/>
          <w:lang w:val="de-DE" w:eastAsia="x-none"/>
        </w:rPr>
        <w:t xml:space="preserve">                                                       </w:t>
      </w:r>
      <w:r w:rsidRPr="006E0825">
        <w:rPr>
          <w:rFonts w:eastAsia="MS Mincho"/>
          <w:b/>
          <w:sz w:val="24"/>
          <w:szCs w:val="24"/>
          <w:lang w:val="de-DE" w:eastAsia="x-none"/>
        </w:rPr>
        <w:t>R2-2</w:t>
      </w:r>
      <w:r w:rsidR="00E07FE0">
        <w:rPr>
          <w:rFonts w:eastAsia="MS Mincho"/>
          <w:b/>
          <w:sz w:val="24"/>
          <w:szCs w:val="24"/>
          <w:lang w:val="de-DE" w:eastAsia="x-none"/>
        </w:rPr>
        <w:t>311132</w:t>
      </w:r>
    </w:p>
    <w:p w14:paraId="042F61A3" w14:textId="769CB7CF" w:rsidR="00BA1EB9" w:rsidRDefault="006E0825" w:rsidP="006E0825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6E0825">
        <w:rPr>
          <w:rFonts w:eastAsia="MS Mincho"/>
          <w:b/>
          <w:sz w:val="24"/>
          <w:szCs w:val="24"/>
          <w:lang w:val="de-DE" w:eastAsia="x-none"/>
        </w:rPr>
        <w:t xml:space="preserve">Xiamen, China, </w:t>
      </w:r>
      <w:proofErr w:type="spellStart"/>
      <w:r w:rsidRPr="006E0825">
        <w:rPr>
          <w:rFonts w:eastAsia="MS Mincho"/>
          <w:b/>
          <w:sz w:val="24"/>
          <w:szCs w:val="24"/>
          <w:lang w:val="de-DE" w:eastAsia="x-none"/>
        </w:rPr>
        <w:t>October</w:t>
      </w:r>
      <w:proofErr w:type="spellEnd"/>
      <w:r w:rsidRPr="006E0825">
        <w:rPr>
          <w:rFonts w:eastAsia="MS Mincho"/>
          <w:b/>
          <w:sz w:val="24"/>
          <w:szCs w:val="24"/>
          <w:lang w:val="de-DE" w:eastAsia="x-none"/>
        </w:rPr>
        <w:t xml:space="preserve"> 9th – 13th, 2023</w:t>
      </w:r>
    </w:p>
    <w:p w14:paraId="6AD93AD2" w14:textId="77777777" w:rsidR="006E0825" w:rsidRDefault="006E0825" w:rsidP="006E0825">
      <w:pPr>
        <w:ind w:left="1800" w:hanging="1800"/>
        <w:rPr>
          <w:b/>
          <w:sz w:val="24"/>
          <w:szCs w:val="24"/>
        </w:rPr>
      </w:pPr>
    </w:p>
    <w:p w14:paraId="4ECEF67E" w14:textId="7A5C5B36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B3B22">
        <w:rPr>
          <w:b/>
          <w:sz w:val="24"/>
          <w:szCs w:val="24"/>
        </w:rPr>
        <w:t>7</w:t>
      </w:r>
      <w:r w:rsidR="0023655D">
        <w:rPr>
          <w:b/>
          <w:sz w:val="24"/>
          <w:szCs w:val="24"/>
        </w:rPr>
        <w:t>.1</w:t>
      </w:r>
      <w:r w:rsidR="00D12A86">
        <w:rPr>
          <w:b/>
          <w:sz w:val="24"/>
          <w:szCs w:val="24"/>
        </w:rPr>
        <w:t>2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  <w:r w:rsidR="005A1CCB">
        <w:rPr>
          <w:b/>
          <w:sz w:val="24"/>
          <w:szCs w:val="24"/>
        </w:rPr>
        <w:t>.1</w:t>
      </w:r>
      <w:r w:rsidR="002247F1">
        <w:rPr>
          <w:b/>
          <w:sz w:val="24"/>
          <w:szCs w:val="24"/>
        </w:rPr>
        <w:t>.2</w:t>
      </w:r>
    </w:p>
    <w:p w14:paraId="74D32287" w14:textId="60FF00CC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53DDD44A" w14:textId="29E71A02" w:rsidR="00D12A86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2"/>
      <w:r w:rsidR="002247F1" w:rsidRPr="002247F1">
        <w:rPr>
          <w:b/>
          <w:sz w:val="24"/>
          <w:szCs w:val="24"/>
        </w:rPr>
        <w:t>Time-based CHO e</w:t>
      </w:r>
      <w:r w:rsidR="007F39C0" w:rsidRPr="002247F1">
        <w:rPr>
          <w:b/>
          <w:sz w:val="24"/>
          <w:szCs w:val="24"/>
        </w:rPr>
        <w:t xml:space="preserve">nhancement for </w:t>
      </w:r>
      <w:bookmarkEnd w:id="1"/>
      <w:r w:rsidR="002247F1">
        <w:rPr>
          <w:b/>
          <w:sz w:val="24"/>
          <w:szCs w:val="24"/>
        </w:rPr>
        <w:t>Mobile IAB</w:t>
      </w:r>
    </w:p>
    <w:p w14:paraId="595ACB35" w14:textId="4D91224D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4F93EE5" w14:textId="576B99B1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3" w:name="OLE_LINK41"/>
      <w:bookmarkStart w:id="4" w:name="OLE_LINK42"/>
      <w:bookmarkStart w:id="5" w:name="OLE_LINK83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3F09DD">
        <w:rPr>
          <w:rFonts w:ascii="Calibri" w:hAnsi="Calibri" w:cs="Calibri"/>
        </w:rPr>
        <w:t>Mobile IAB</w:t>
      </w:r>
      <w:r w:rsidR="00F6461F">
        <w:rPr>
          <w:rFonts w:ascii="Calibri" w:hAnsi="Calibri" w:cs="Calibri"/>
        </w:rPr>
        <w:t xml:space="preserve"> for NR</w:t>
      </w:r>
      <w:r>
        <w:rPr>
          <w:rFonts w:ascii="Calibri" w:hAnsi="Calibri" w:cs="Calibri"/>
        </w:rPr>
        <w:t xml:space="preserve">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 xml:space="preserve">to specify enhancements </w:t>
      </w:r>
      <w:r w:rsidR="006D14F0">
        <w:rPr>
          <w:rFonts w:ascii="Calibri" w:eastAsia="Malgun Gothic" w:hAnsi="Calibri" w:cs="Batang"/>
          <w:lang w:val="en-GB" w:eastAsia="ko-KR"/>
        </w:rPr>
        <w:t>for the mobility of IAB nodes including the following objectives</w:t>
      </w:r>
      <w:r>
        <w:rPr>
          <w:rFonts w:ascii="Calibri" w:eastAsia="Malgun Gothic" w:hAnsi="Calibri" w:cs="Batang"/>
          <w:lang w:val="en-GB" w:eastAsia="ko-KR"/>
        </w:rPr>
        <w:t>:</w:t>
      </w:r>
    </w:p>
    <w:p w14:paraId="3E4B6BF0" w14:textId="77777777" w:rsidR="00F6461F" w:rsidRPr="0067702C" w:rsidRDefault="00F6461F" w:rsidP="00F6461F">
      <w:pPr>
        <w:pStyle w:val="maintext"/>
        <w:numPr>
          <w:ilvl w:val="0"/>
          <w:numId w:val="26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bookmarkStart w:id="6" w:name="OLE_LINK8"/>
      <w:bookmarkEnd w:id="3"/>
      <w:bookmarkEnd w:id="4"/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6E78A35C" w14:textId="77777777" w:rsidR="00F6461F" w:rsidRPr="00E71429" w:rsidRDefault="00F6461F" w:rsidP="00F6461F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bookmarkEnd w:id="6"/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56F2B9D6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7" w:name="OLE_LINK59"/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discusses </w:t>
      </w:r>
      <w:r w:rsidR="002247F1">
        <w:rPr>
          <w:rFonts w:ascii="Calibri" w:eastAsia="Malgun Gothic" w:hAnsi="Calibri" w:cs="Batang"/>
          <w:lang w:val="en-GB" w:eastAsia="ko-KR"/>
        </w:rPr>
        <w:t xml:space="preserve">a time-based CHO enhancement </w:t>
      </w:r>
      <w:r w:rsidR="0057056A">
        <w:rPr>
          <w:rFonts w:ascii="Calibri" w:eastAsia="Malgun Gothic" w:hAnsi="Calibri" w:cs="Batang"/>
          <w:lang w:val="en-GB" w:eastAsia="ko-KR"/>
        </w:rPr>
        <w:t xml:space="preserve">for </w:t>
      </w:r>
      <w:r w:rsidR="00E826B1">
        <w:rPr>
          <w:rFonts w:ascii="Calibri" w:eastAsia="Malgun Gothic" w:hAnsi="Calibri" w:cs="Batang"/>
          <w:lang w:val="en-GB" w:eastAsia="ko-KR"/>
        </w:rPr>
        <w:t xml:space="preserve">configuring and enabling group mobility </w:t>
      </w:r>
      <w:r w:rsidR="000C1E0E">
        <w:rPr>
          <w:rFonts w:ascii="Calibri" w:eastAsia="Malgun Gothic" w:hAnsi="Calibri" w:cs="Batang"/>
          <w:lang w:val="en-GB" w:eastAsia="ko-KR"/>
        </w:rPr>
        <w:t xml:space="preserve">for served UEs </w:t>
      </w:r>
      <w:r w:rsidR="000C71DE">
        <w:rPr>
          <w:rFonts w:ascii="Calibri" w:eastAsia="Malgun Gothic" w:hAnsi="Calibri" w:cs="Batang"/>
          <w:lang w:val="en-GB" w:eastAsia="ko-KR"/>
        </w:rPr>
        <w:t>of a</w:t>
      </w:r>
      <w:r w:rsidR="000C1E0E">
        <w:rPr>
          <w:rFonts w:ascii="Calibri" w:eastAsia="Malgun Gothic" w:hAnsi="Calibri" w:cs="Batang"/>
          <w:lang w:val="en-GB" w:eastAsia="ko-KR"/>
        </w:rPr>
        <w:t xml:space="preserve"> mobile</w:t>
      </w:r>
      <w:r w:rsidR="000C71DE">
        <w:rPr>
          <w:rFonts w:ascii="Calibri" w:eastAsia="Malgun Gothic" w:hAnsi="Calibri" w:cs="Batang"/>
          <w:lang w:val="en-GB" w:eastAsia="ko-KR"/>
        </w:rPr>
        <w:t xml:space="preserve"> IAB node</w:t>
      </w:r>
      <w:r w:rsidR="000C1E0E">
        <w:rPr>
          <w:rFonts w:ascii="Calibri" w:eastAsia="Malgun Gothic" w:hAnsi="Calibri" w:cs="Batang"/>
          <w:lang w:val="en-GB" w:eastAsia="ko-KR"/>
        </w:rPr>
        <w:t>.</w:t>
      </w:r>
    </w:p>
    <w:bookmarkEnd w:id="5"/>
    <w:bookmarkEnd w:id="7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CB19181" w:rsidR="00346605" w:rsidRPr="00172743" w:rsidRDefault="007762F3" w:rsidP="00326FF6">
      <w:pPr>
        <w:pStyle w:val="Heading1"/>
      </w:pPr>
      <w:bookmarkStart w:id="8" w:name="OLE_LINK1"/>
      <w:r>
        <w:t>Mobile IAB and Group Mobility</w:t>
      </w:r>
      <w:r w:rsidR="004261A0">
        <w:t xml:space="preserve"> Enhancements</w:t>
      </w:r>
    </w:p>
    <w:bookmarkEnd w:id="8"/>
    <w:p w14:paraId="1B97F488" w14:textId="7B01C700" w:rsidR="00A02FD3" w:rsidRDefault="00A02FD3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  <w:r>
        <w:rPr>
          <w:rFonts w:ascii="Calibri" w:eastAsia="Malgun Gothic" w:hAnsi="Calibri" w:cs="Batang"/>
          <w:b w:val="0"/>
          <w:bCs w:val="0"/>
          <w:lang w:eastAsia="ko-KR"/>
        </w:rPr>
        <w:t>An example of a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deployment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>of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vehicle-mounted mobile-IAB-nodes providing 5G coverage/capacity to onboard and/or surrounding UEs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is shown in Figure 1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>:</w:t>
      </w:r>
    </w:p>
    <w:p w14:paraId="0E3C48BC" w14:textId="39BEFFFB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6F6F160D" w14:textId="77777777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02502927" w14:textId="78C787D2" w:rsidR="0057056A" w:rsidRDefault="00BD6E29" w:rsidP="002801B8">
      <w:pPr>
        <w:pStyle w:val="Proposal"/>
        <w:spacing w:after="0"/>
        <w:jc w:val="center"/>
      </w:pPr>
      <w:r>
        <w:rPr>
          <w:rFonts w:ascii="Times" w:hAnsi="Times" w:cs="Times"/>
          <w:b w:val="0"/>
          <w:bCs w:val="0"/>
          <w:noProof/>
          <w:sz w:val="18"/>
          <w:szCs w:val="18"/>
        </w:rPr>
        <w:drawing>
          <wp:inline distT="0" distB="0" distL="0" distR="0" wp14:anchorId="014A7BD8" wp14:editId="31ECD328">
            <wp:extent cx="3422650" cy="18926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43" cy="191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7D75" w14:textId="5BD5B2D7" w:rsidR="00883BEB" w:rsidRDefault="00883BEB" w:rsidP="0057056A">
      <w:pPr>
        <w:pStyle w:val="Proposal"/>
        <w:spacing w:after="0"/>
        <w:ind w:left="1440" w:firstLine="0"/>
        <w:jc w:val="center"/>
      </w:pPr>
    </w:p>
    <w:p w14:paraId="303ACAEE" w14:textId="0A7DA61E" w:rsidR="00883BEB" w:rsidRPr="000514CC" w:rsidRDefault="00883BEB" w:rsidP="002801B8">
      <w:pPr>
        <w:pStyle w:val="Proposal"/>
        <w:spacing w:after="0"/>
        <w:jc w:val="center"/>
        <w:rPr>
          <w:rFonts w:ascii="Calibri" w:eastAsia="Malgun Gothic" w:hAnsi="Calibri" w:cs="Batang"/>
          <w:lang w:eastAsia="ko-KR"/>
        </w:rPr>
      </w:pPr>
      <w:r w:rsidRPr="000514CC">
        <w:rPr>
          <w:rFonts w:ascii="Calibri" w:eastAsia="Malgun Gothic" w:hAnsi="Calibri" w:cs="Batang"/>
          <w:lang w:eastAsia="ko-KR"/>
        </w:rPr>
        <w:t>Figure 1. Mobile IAB with Group Mobility</w:t>
      </w:r>
    </w:p>
    <w:p w14:paraId="62211DBB" w14:textId="77777777" w:rsidR="000F2D17" w:rsidRDefault="000F2D17" w:rsidP="00FF18E1">
      <w:pPr>
        <w:rPr>
          <w:rFonts w:ascii="Calibri" w:eastAsia="Malgun Gothic" w:hAnsi="Calibri" w:cs="Batang"/>
          <w:lang w:val="en-GB" w:eastAsia="ko-KR"/>
        </w:rPr>
      </w:pPr>
      <w:bookmarkStart w:id="9" w:name="OLE_LINK22"/>
    </w:p>
    <w:p w14:paraId="2CDAE6C0" w14:textId="306B13F6" w:rsidR="00760B67" w:rsidRDefault="007762F3" w:rsidP="0057056A">
      <w:r>
        <w:rPr>
          <w:rFonts w:ascii="Calibri" w:eastAsia="Malgun Gothic" w:hAnsi="Calibri" w:cs="Batang"/>
          <w:lang w:val="en-GB" w:eastAsia="ko-KR"/>
        </w:rPr>
        <w:t>One of the main advantages</w:t>
      </w:r>
      <w:r w:rsidR="00CF0059">
        <w:rPr>
          <w:rFonts w:ascii="Calibri" w:eastAsia="Malgun Gothic" w:hAnsi="Calibri" w:cs="Batang"/>
          <w:lang w:val="en-GB" w:eastAsia="ko-KR"/>
        </w:rPr>
        <w:t xml:space="preserve"> of group mobility is the ability </w:t>
      </w:r>
      <w:r w:rsidR="004032C1">
        <w:rPr>
          <w:rFonts w:ascii="Calibri" w:eastAsia="Malgun Gothic" w:hAnsi="Calibri" w:cs="Batang"/>
          <w:lang w:val="en-GB" w:eastAsia="ko-KR"/>
        </w:rPr>
        <w:t xml:space="preserve">to minimize the service interruption during a mobile IAB topology change since the </w:t>
      </w:r>
      <w:r w:rsidR="00341E9D">
        <w:rPr>
          <w:rFonts w:ascii="Calibri" w:eastAsia="Malgun Gothic" w:hAnsi="Calibri" w:cs="Batang"/>
          <w:lang w:val="en-GB" w:eastAsia="ko-KR"/>
        </w:rPr>
        <w:t xml:space="preserve">UEs are moving in a correlated manner with the mobile IAB node </w:t>
      </w:r>
      <w:proofErr w:type="gramStart"/>
      <w:r w:rsidR="00341E9D">
        <w:rPr>
          <w:rFonts w:ascii="Calibri" w:eastAsia="Malgun Gothic" w:hAnsi="Calibri" w:cs="Batang"/>
          <w:lang w:val="en-GB" w:eastAsia="ko-KR"/>
        </w:rPr>
        <w:t xml:space="preserve">and </w:t>
      </w:r>
      <w:r w:rsidR="004D4800">
        <w:rPr>
          <w:rFonts w:ascii="Calibri" w:eastAsia="Malgun Gothic" w:hAnsi="Calibri" w:cs="Batang"/>
          <w:lang w:val="en-GB" w:eastAsia="ko-KR"/>
        </w:rPr>
        <w:t>also</w:t>
      </w:r>
      <w:proofErr w:type="gramEnd"/>
      <w:r w:rsidR="004D4800">
        <w:rPr>
          <w:rFonts w:ascii="Calibri" w:eastAsia="Malgun Gothic" w:hAnsi="Calibri" w:cs="Batang"/>
          <w:lang w:val="en-GB" w:eastAsia="ko-KR"/>
        </w:rPr>
        <w:t xml:space="preserve"> will typically </w:t>
      </w:r>
      <w:r w:rsidR="004F2986">
        <w:rPr>
          <w:rFonts w:ascii="Calibri" w:eastAsia="Malgun Gothic" w:hAnsi="Calibri" w:cs="Batang"/>
          <w:lang w:val="en-GB" w:eastAsia="ko-KR"/>
        </w:rPr>
        <w:t xml:space="preserve">remain connected to the same serving cell of the mobile IAB node after the topology change and handover of the IAB-MT is complete. </w:t>
      </w:r>
      <w:bookmarkStart w:id="10" w:name="OLE_LINK24"/>
      <w:bookmarkEnd w:id="9"/>
      <w:r w:rsidR="00760B67">
        <w:rPr>
          <w:rFonts w:ascii="Calibri" w:eastAsia="Malgun Gothic" w:hAnsi="Calibri" w:cs="Batang"/>
          <w:lang w:val="en-GB" w:eastAsia="ko-KR"/>
        </w:rPr>
        <w:t>During the topology change the mobile IAB node is expected to configure dual DUs</w:t>
      </w:r>
      <w:r w:rsidR="00F70D9A">
        <w:rPr>
          <w:rFonts w:ascii="Calibri" w:eastAsia="Malgun Gothic" w:hAnsi="Calibri" w:cs="Batang"/>
          <w:lang w:val="en-GB" w:eastAsia="ko-KR"/>
        </w:rPr>
        <w:t>,</w:t>
      </w:r>
      <w:r w:rsidR="00760B67">
        <w:rPr>
          <w:rFonts w:ascii="Calibri" w:eastAsia="Malgun Gothic" w:hAnsi="Calibri" w:cs="Batang"/>
          <w:lang w:val="en-GB" w:eastAsia="ko-KR"/>
        </w:rPr>
        <w:t xml:space="preserve"> </w:t>
      </w:r>
      <w:r w:rsidR="00F70D9A">
        <w:rPr>
          <w:rFonts w:ascii="Calibri" w:eastAsia="Malgun Gothic" w:hAnsi="Calibri" w:cs="Batang"/>
          <w:lang w:val="en-GB" w:eastAsia="ko-KR"/>
        </w:rPr>
        <w:t xml:space="preserve">each with a connection to a different donor CU, </w:t>
      </w:r>
      <w:r w:rsidR="00760B67">
        <w:rPr>
          <w:rFonts w:ascii="Calibri" w:eastAsia="Malgun Gothic" w:hAnsi="Calibri" w:cs="Batang"/>
          <w:lang w:val="en-GB" w:eastAsia="ko-KR"/>
        </w:rPr>
        <w:t>which are used to serve the onboard UEs</w:t>
      </w:r>
      <w:r w:rsidR="00177D08">
        <w:rPr>
          <w:rFonts w:ascii="Calibri" w:eastAsia="Malgun Gothic" w:hAnsi="Calibri" w:cs="Batang"/>
          <w:lang w:val="en-GB" w:eastAsia="ko-KR"/>
        </w:rPr>
        <w:t xml:space="preserve"> by partitioning the radio resources during the duration of the migration event to </w:t>
      </w:r>
      <w:r w:rsidR="00B776DD">
        <w:rPr>
          <w:rFonts w:ascii="Calibri" w:eastAsia="Malgun Gothic" w:hAnsi="Calibri" w:cs="Batang"/>
          <w:lang w:val="en-GB" w:eastAsia="ko-KR"/>
        </w:rPr>
        <w:t xml:space="preserve">avoid a </w:t>
      </w:r>
      <w:proofErr w:type="spellStart"/>
      <w:r w:rsidR="00B776DD">
        <w:rPr>
          <w:rFonts w:ascii="Calibri" w:eastAsia="Malgun Gothic" w:hAnsi="Calibri" w:cs="Batang"/>
          <w:lang w:val="en-GB" w:eastAsia="ko-KR"/>
        </w:rPr>
        <w:t>signaling</w:t>
      </w:r>
      <w:proofErr w:type="spellEnd"/>
      <w:r w:rsidR="00B776DD">
        <w:rPr>
          <w:rFonts w:ascii="Calibri" w:eastAsia="Malgun Gothic" w:hAnsi="Calibri" w:cs="Batang"/>
          <w:lang w:val="en-GB" w:eastAsia="ko-KR"/>
        </w:rPr>
        <w:t xml:space="preserve"> storm </w:t>
      </w:r>
      <w:r w:rsidR="00C92DD7">
        <w:rPr>
          <w:rFonts w:ascii="Calibri" w:eastAsia="Malgun Gothic" w:hAnsi="Calibri" w:cs="Batang"/>
          <w:lang w:val="en-GB" w:eastAsia="ko-KR"/>
        </w:rPr>
        <w:t xml:space="preserve">and ensure a “smooth” transition. </w:t>
      </w:r>
    </w:p>
    <w:p w14:paraId="01ECC592" w14:textId="40C9FACE" w:rsidR="00596A83" w:rsidRPr="00760B67" w:rsidRDefault="003921C9" w:rsidP="0057056A">
      <w:r>
        <w:rPr>
          <w:rFonts w:ascii="Calibri" w:eastAsia="Malgun Gothic" w:hAnsi="Calibri" w:cs="Batang"/>
          <w:bCs/>
          <w:lang w:eastAsia="ko-KR"/>
        </w:rPr>
        <w:lastRenderedPageBreak/>
        <w:t>O</w:t>
      </w:r>
      <w:r w:rsidRPr="003921C9">
        <w:rPr>
          <w:rFonts w:ascii="Calibri" w:eastAsia="Malgun Gothic" w:hAnsi="Calibri" w:cs="Batang"/>
          <w:bCs/>
          <w:lang w:eastAsia="ko-KR"/>
        </w:rPr>
        <w:t xml:space="preserve">ne </w:t>
      </w:r>
      <w:r w:rsidR="00C8496B">
        <w:rPr>
          <w:rFonts w:ascii="Calibri" w:eastAsia="Malgun Gothic" w:hAnsi="Calibri" w:cs="Batang"/>
          <w:bCs/>
          <w:lang w:eastAsia="ko-KR"/>
        </w:rPr>
        <w:t xml:space="preserve">potential </w:t>
      </w:r>
      <w:r w:rsidR="00596A83">
        <w:rPr>
          <w:rFonts w:ascii="Calibri" w:eastAsia="Malgun Gothic" w:hAnsi="Calibri" w:cs="Batang"/>
          <w:bCs/>
          <w:lang w:eastAsia="ko-KR"/>
        </w:rPr>
        <w:t xml:space="preserve">enhancement discussed in RAN2 was the utilization of a Rel-18 NTN feature to trigger CHO based on a configured time value: </w:t>
      </w:r>
    </w:p>
    <w:p w14:paraId="73642450" w14:textId="77777777" w:rsidR="00596A83" w:rsidRDefault="00596A83" w:rsidP="00596A83">
      <w:pPr>
        <w:pStyle w:val="Agreement"/>
        <w:numPr>
          <w:ilvl w:val="0"/>
          <w:numId w:val="0"/>
        </w:numPr>
        <w:ind w:left="144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 xml:space="preserve">Based on RAN2 agreement below, discuss whether and how time-based CHO execution defined for NTN can be easily </w:t>
      </w:r>
      <w:proofErr w:type="gramStart"/>
      <w:r>
        <w:rPr>
          <w:rFonts w:ascii="Times New Roman" w:eastAsia="Times New Roman" w:hAnsi="Times New Roman"/>
          <w:b w:val="0"/>
        </w:rPr>
        <w:t>adopted  for</w:t>
      </w:r>
      <w:proofErr w:type="gramEnd"/>
      <w:r>
        <w:rPr>
          <w:rFonts w:ascii="Times New Roman" w:eastAsia="Times New Roman" w:hAnsi="Times New Roman"/>
          <w:b w:val="0"/>
        </w:rPr>
        <w:t xml:space="preserve"> UEs during DU migration:</w:t>
      </w:r>
    </w:p>
    <w:p w14:paraId="63D20CB2" w14:textId="77777777" w:rsidR="00596A83" w:rsidRPr="00AA7D66" w:rsidRDefault="00596A83" w:rsidP="00596A83">
      <w:pPr>
        <w:pStyle w:val="Agreement"/>
        <w:tabs>
          <w:tab w:val="num" w:pos="-1991"/>
        </w:tabs>
        <w:ind w:left="648"/>
        <w:rPr>
          <w:b w:val="0"/>
          <w:bCs/>
          <w:sz w:val="16"/>
          <w:szCs w:val="20"/>
        </w:rPr>
      </w:pPr>
      <w:r w:rsidRPr="00AA7D66">
        <w:rPr>
          <w:b w:val="0"/>
          <w:bCs/>
          <w:sz w:val="16"/>
          <w:szCs w:val="20"/>
        </w:rPr>
        <w:t xml:space="preserve">FFS: May support CHO with CondT1 if it is “for free”, </w:t>
      </w:r>
      <w:proofErr w:type="gramStart"/>
      <w:r w:rsidRPr="00AA7D66">
        <w:rPr>
          <w:b w:val="0"/>
          <w:bCs/>
          <w:sz w:val="16"/>
          <w:szCs w:val="20"/>
        </w:rPr>
        <w:t>i.e.</w:t>
      </w:r>
      <w:proofErr w:type="gramEnd"/>
      <w:r w:rsidRPr="00AA7D66">
        <w:rPr>
          <w:b w:val="0"/>
          <w:bCs/>
          <w:sz w:val="16"/>
          <w:szCs w:val="20"/>
        </w:rPr>
        <w:t xml:space="preserve"> if TS impact is just to slightly modify the description to make it also applicable to TN. </w:t>
      </w:r>
    </w:p>
    <w:p w14:paraId="5C1F4315" w14:textId="77777777" w:rsidR="00596A83" w:rsidRDefault="00596A83" w:rsidP="0057056A">
      <w:pPr>
        <w:rPr>
          <w:rFonts w:ascii="Calibri" w:eastAsia="Malgun Gothic" w:hAnsi="Calibri" w:cs="Batang"/>
          <w:bCs/>
          <w:lang w:eastAsia="ko-KR"/>
        </w:rPr>
      </w:pPr>
    </w:p>
    <w:p w14:paraId="3B027B35" w14:textId="1731E50C" w:rsidR="00F509C2" w:rsidRPr="003921C9" w:rsidRDefault="00596A83" w:rsidP="0057056A">
      <w:pPr>
        <w:rPr>
          <w:rFonts w:ascii="Calibri" w:eastAsia="Malgun Gothic" w:hAnsi="Calibri" w:cs="Batang"/>
          <w:bCs/>
          <w:lang w:val="en-GB" w:eastAsia="ko-KR"/>
        </w:rPr>
      </w:pPr>
      <w:r>
        <w:rPr>
          <w:rFonts w:ascii="Calibri" w:eastAsia="Malgun Gothic" w:hAnsi="Calibri" w:cs="Batang"/>
          <w:bCs/>
          <w:lang w:eastAsia="ko-KR"/>
        </w:rPr>
        <w:t>This feature is particularly attractive for Mobile IAB since it enables the dual DUs to efficiently manage the radio resources by migrating the onboard UEs “in waves,” without a large signaling storm</w:t>
      </w:r>
      <w:r w:rsidR="001F7209">
        <w:rPr>
          <w:rFonts w:ascii="Calibri" w:eastAsia="Malgun Gothic" w:hAnsi="Calibri" w:cs="Batang"/>
          <w:bCs/>
          <w:lang w:eastAsia="ko-KR"/>
        </w:rPr>
        <w:t>.</w:t>
      </w:r>
      <w:r>
        <w:rPr>
          <w:rFonts w:ascii="Calibri" w:eastAsia="Malgun Gothic" w:hAnsi="Calibri" w:cs="Batang"/>
          <w:bCs/>
          <w:lang w:eastAsia="ko-KR"/>
        </w:rPr>
        <w:t xml:space="preserve"> In addition</w:t>
      </w:r>
      <w:r w:rsidR="000F2D17">
        <w:rPr>
          <w:rFonts w:ascii="Calibri" w:eastAsia="Malgun Gothic" w:hAnsi="Calibri" w:cs="Batang"/>
          <w:bCs/>
          <w:lang w:eastAsia="ko-KR"/>
        </w:rPr>
        <w:t>,</w:t>
      </w:r>
      <w:r>
        <w:rPr>
          <w:rFonts w:ascii="Calibri" w:eastAsia="Malgun Gothic" w:hAnsi="Calibri" w:cs="Batang"/>
          <w:bCs/>
          <w:lang w:eastAsia="ko-KR"/>
        </w:rPr>
        <w:t xml:space="preserve"> the value of CondT1 can be set based on the proportion of Rel-18 UEs which support this CHO feature compared to Rel-17 and earlier UEs </w:t>
      </w:r>
      <w:proofErr w:type="gramStart"/>
      <w:r>
        <w:rPr>
          <w:rFonts w:ascii="Calibri" w:eastAsia="Malgun Gothic" w:hAnsi="Calibri" w:cs="Batang"/>
          <w:bCs/>
          <w:lang w:eastAsia="ko-KR"/>
        </w:rPr>
        <w:t>in order to</w:t>
      </w:r>
      <w:proofErr w:type="gramEnd"/>
      <w:r>
        <w:rPr>
          <w:rFonts w:ascii="Calibri" w:eastAsia="Malgun Gothic" w:hAnsi="Calibri" w:cs="Batang"/>
          <w:bCs/>
          <w:lang w:eastAsia="ko-KR"/>
        </w:rPr>
        <w:t xml:space="preserve"> mitigate any potential user experience impact. </w:t>
      </w:r>
      <w:r w:rsidR="001A08AB">
        <w:rPr>
          <w:rFonts w:ascii="Calibri" w:eastAsia="Malgun Gothic" w:hAnsi="Calibri" w:cs="Batang"/>
          <w:bCs/>
          <w:lang w:eastAsia="ko-KR"/>
        </w:rPr>
        <w:t xml:space="preserve">One concern with this feature is </w:t>
      </w:r>
      <w:r w:rsidR="001A08AB" w:rsidRPr="001A08AB">
        <w:rPr>
          <w:rFonts w:ascii="Calibri" w:eastAsia="Malgun Gothic" w:hAnsi="Calibri" w:cs="Batang"/>
          <w:bCs/>
          <w:lang w:eastAsia="ko-KR"/>
        </w:rPr>
        <w:t>how the network can know if the UE has access to absolute time</w:t>
      </w:r>
      <w:r w:rsidR="007849BC">
        <w:rPr>
          <w:rFonts w:ascii="Calibri" w:eastAsia="Malgun Gothic" w:hAnsi="Calibri" w:cs="Batang"/>
          <w:bCs/>
          <w:lang w:eastAsia="ko-KR"/>
        </w:rPr>
        <w:t xml:space="preserve"> which is required for setting the timer. However, </w:t>
      </w:r>
      <w:r w:rsidR="0041692F">
        <w:rPr>
          <w:rFonts w:ascii="Calibri" w:eastAsia="Malgun Gothic" w:hAnsi="Calibri" w:cs="Batang"/>
          <w:bCs/>
          <w:lang w:eastAsia="ko-KR"/>
        </w:rPr>
        <w:t xml:space="preserve">given the feature is not mandatory for mobile IAB, it could be conditioned on support for GNSS-based or SIB9-based timing acquisition at the UE. </w:t>
      </w:r>
      <w:r w:rsidR="007849BC">
        <w:rPr>
          <w:rFonts w:ascii="Calibri" w:eastAsia="Malgun Gothic" w:hAnsi="Calibri" w:cs="Batang"/>
          <w:bCs/>
          <w:lang w:eastAsia="ko-KR"/>
        </w:rPr>
        <w:t xml:space="preserve"> </w:t>
      </w:r>
    </w:p>
    <w:p w14:paraId="5EE7F344" w14:textId="088E5D48" w:rsidR="00FF18E1" w:rsidRDefault="00FF18E1" w:rsidP="00FF18E1">
      <w:pPr>
        <w:rPr>
          <w:rFonts w:ascii="Calibri" w:eastAsia="Malgun Gothic" w:hAnsi="Calibri" w:cs="Batang"/>
          <w:lang w:val="en-GB" w:eastAsia="ko-KR"/>
        </w:rPr>
      </w:pPr>
      <w:bookmarkStart w:id="11" w:name="OLE_LINK16"/>
      <w:bookmarkEnd w:id="10"/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EC476D"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 xml:space="preserve">RAN2 should support </w:t>
      </w:r>
      <w:r w:rsidR="00596A83">
        <w:rPr>
          <w:rFonts w:ascii="Calibri" w:hAnsi="Calibri"/>
          <w:b/>
          <w:bCs/>
        </w:rPr>
        <w:t xml:space="preserve">CHO with CondT1 for </w:t>
      </w:r>
      <w:r w:rsidR="00E87CDE">
        <w:rPr>
          <w:rFonts w:ascii="Calibri" w:hAnsi="Calibri"/>
          <w:b/>
          <w:bCs/>
        </w:rPr>
        <w:t>Rel-18 UE</w:t>
      </w:r>
      <w:r w:rsidR="008A1A9D">
        <w:rPr>
          <w:rFonts w:ascii="Calibri" w:hAnsi="Calibri"/>
          <w:b/>
          <w:bCs/>
        </w:rPr>
        <w:t xml:space="preserve"> onboard mobile IAB nodes</w:t>
      </w:r>
      <w:r w:rsidR="00E87CDE">
        <w:rPr>
          <w:rFonts w:ascii="Calibri" w:hAnsi="Calibri"/>
          <w:b/>
          <w:bCs/>
        </w:rPr>
        <w:t xml:space="preserve"> </w:t>
      </w:r>
      <w:r w:rsidR="008A1A9D">
        <w:rPr>
          <w:rFonts w:ascii="Calibri" w:hAnsi="Calibri"/>
          <w:b/>
          <w:bCs/>
        </w:rPr>
        <w:t>if the UE capability report</w:t>
      </w:r>
      <w:r w:rsidR="00B548D4">
        <w:rPr>
          <w:rFonts w:ascii="Calibri" w:hAnsi="Calibri"/>
          <w:b/>
          <w:bCs/>
        </w:rPr>
        <w:t xml:space="preserve"> </w:t>
      </w:r>
      <w:r w:rsidR="008A1A9D">
        <w:rPr>
          <w:rFonts w:ascii="Calibri" w:hAnsi="Calibri"/>
          <w:b/>
          <w:bCs/>
        </w:rPr>
        <w:t>indicates</w:t>
      </w:r>
      <w:r w:rsidR="00B548D4">
        <w:rPr>
          <w:rFonts w:ascii="Calibri" w:hAnsi="Calibri"/>
          <w:b/>
          <w:bCs/>
        </w:rPr>
        <w:t xml:space="preserve"> either </w:t>
      </w:r>
      <w:r w:rsidR="008A1A9D">
        <w:rPr>
          <w:rFonts w:ascii="Calibri" w:hAnsi="Calibri"/>
          <w:b/>
          <w:bCs/>
        </w:rPr>
        <w:t>the UE is</w:t>
      </w:r>
      <w:r w:rsidR="00B548D4">
        <w:rPr>
          <w:rFonts w:ascii="Calibri" w:hAnsi="Calibri"/>
          <w:b/>
          <w:bCs/>
        </w:rPr>
        <w:t xml:space="preserve"> GNSS capable or support</w:t>
      </w:r>
      <w:r w:rsidR="008A1A9D">
        <w:rPr>
          <w:rFonts w:ascii="Calibri" w:hAnsi="Calibri"/>
          <w:b/>
          <w:bCs/>
        </w:rPr>
        <w:t>s</w:t>
      </w:r>
      <w:r w:rsidR="00B548D4">
        <w:rPr>
          <w:rFonts w:ascii="Calibri" w:hAnsi="Calibri"/>
          <w:b/>
          <w:bCs/>
        </w:rPr>
        <w:t xml:space="preserve"> absolute timing acquisition via SIB9</w:t>
      </w:r>
      <w:r>
        <w:rPr>
          <w:rFonts w:ascii="Calibri" w:hAnsi="Calibri"/>
          <w:b/>
          <w:bCs/>
        </w:rPr>
        <w:t>.</w:t>
      </w:r>
    </w:p>
    <w:bookmarkEnd w:id="11"/>
    <w:p w14:paraId="5C0339FC" w14:textId="77777777" w:rsidR="00B674C5" w:rsidRDefault="00B674C5" w:rsidP="001116B0">
      <w:pPr>
        <w:rPr>
          <w:rFonts w:ascii="Calibri" w:eastAsia="Malgun Gothic" w:hAnsi="Calibri" w:cs="Batang"/>
          <w:lang w:val="en-GB" w:eastAsia="ko-KR"/>
        </w:rPr>
      </w:pPr>
    </w:p>
    <w:p w14:paraId="608DAB06" w14:textId="54FF9AC5" w:rsidR="000F6423" w:rsidRPr="000C71DE" w:rsidRDefault="003A566A" w:rsidP="000C71DE">
      <w:pPr>
        <w:pStyle w:val="Heading1"/>
      </w:pPr>
      <w:r w:rsidRPr="00172743">
        <w:t>Conclusion</w:t>
      </w:r>
    </w:p>
    <w:p w14:paraId="17A757EC" w14:textId="56547E5B" w:rsidR="000C71DE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</w:t>
      </w:r>
      <w:r w:rsidR="000C71DE">
        <w:rPr>
          <w:rFonts w:ascii="Calibri" w:eastAsia="Malgun Gothic" w:hAnsi="Calibri" w:cs="Batang"/>
          <w:lang w:val="en-GB" w:eastAsia="ko-KR"/>
        </w:rPr>
        <w:t>contribution discusse</w:t>
      </w:r>
      <w:r>
        <w:rPr>
          <w:rFonts w:ascii="Calibri" w:eastAsia="Malgun Gothic" w:hAnsi="Calibri" w:cs="Batang"/>
          <w:lang w:val="en-GB" w:eastAsia="ko-KR"/>
        </w:rPr>
        <w:t>d</w:t>
      </w:r>
      <w:r w:rsidR="000C71DE">
        <w:rPr>
          <w:rFonts w:ascii="Calibri" w:eastAsia="Malgun Gothic" w:hAnsi="Calibri" w:cs="Batang"/>
          <w:lang w:val="en-GB" w:eastAsia="ko-KR"/>
        </w:rPr>
        <w:t xml:space="preserve"> solutions for configuring and enabling group mobility of an IAB node together with </w:t>
      </w:r>
      <w:proofErr w:type="gramStart"/>
      <w:r w:rsidR="000C71DE">
        <w:rPr>
          <w:rFonts w:ascii="Calibri" w:eastAsia="Malgun Gothic" w:hAnsi="Calibri" w:cs="Batang"/>
          <w:lang w:val="en-GB" w:eastAsia="ko-KR"/>
        </w:rPr>
        <w:t>its</w:t>
      </w:r>
      <w:proofErr w:type="gramEnd"/>
      <w:r w:rsidR="000C71DE">
        <w:rPr>
          <w:rFonts w:ascii="Calibri" w:eastAsia="Malgun Gothic" w:hAnsi="Calibri" w:cs="Batang"/>
          <w:lang w:val="en-GB" w:eastAsia="ko-KR"/>
        </w:rPr>
        <w:t xml:space="preserve"> served UEs. The following proposal w</w:t>
      </w:r>
      <w:r w:rsidR="002036C1">
        <w:rPr>
          <w:rFonts w:ascii="Calibri" w:eastAsia="Malgun Gothic" w:hAnsi="Calibri" w:cs="Batang"/>
          <w:lang w:val="en-GB" w:eastAsia="ko-KR"/>
        </w:rPr>
        <w:t>as</w:t>
      </w:r>
      <w:r w:rsidR="000C71DE">
        <w:rPr>
          <w:rFonts w:ascii="Calibri" w:eastAsia="Malgun Gothic" w:hAnsi="Calibri" w:cs="Batang"/>
          <w:lang w:val="en-GB" w:eastAsia="ko-KR"/>
        </w:rPr>
        <w:t xml:space="preserve"> made:</w:t>
      </w:r>
    </w:p>
    <w:p w14:paraId="7E5E3697" w14:textId="77777777" w:rsidR="009721F8" w:rsidRPr="00045AED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4EDC0BD5" w14:textId="589D3AB8" w:rsidR="00EC476D" w:rsidRDefault="00EC476D" w:rsidP="00EC476D">
      <w:pPr>
        <w:rPr>
          <w:rFonts w:ascii="Calibri" w:eastAsia="Malgun Gothic" w:hAnsi="Calibri" w:cs="Batang"/>
          <w:lang w:val="en-GB" w:eastAsia="ko-KR"/>
        </w:rPr>
      </w:pPr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>RAN2 should support CHO with CondT1 for Rel-18 UE onboard mobile IAB nodes if the UE capability report indicates either the UEs is GNSS capable or supports absolute timing acquisition via SIB9.</w:t>
      </w:r>
    </w:p>
    <w:p w14:paraId="0BD12FC0" w14:textId="547F3D8C" w:rsidR="00FE6C15" w:rsidRPr="0076067D" w:rsidRDefault="00FE6C15" w:rsidP="0076067D">
      <w:pPr>
        <w:pStyle w:val="Heading1"/>
      </w:pPr>
      <w:r>
        <w:t>Reference</w:t>
      </w:r>
    </w:p>
    <w:p w14:paraId="38DD05DA" w14:textId="0E5C6281" w:rsidR="00B437E2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2" w:name="OLE_LINK51"/>
      <w:bookmarkStart w:id="13" w:name="OLE_LINK97"/>
      <w:r>
        <w:rPr>
          <w:rFonts w:cs="Times New Roman"/>
          <w:lang w:eastAsia="ko-KR"/>
        </w:rPr>
        <w:t>[1] RP-22</w:t>
      </w:r>
      <w:r w:rsidR="00F02678">
        <w:rPr>
          <w:rFonts w:cs="Times New Roman"/>
          <w:lang w:eastAsia="ko-KR"/>
        </w:rPr>
        <w:t>1815</w:t>
      </w:r>
      <w:r>
        <w:rPr>
          <w:rFonts w:cs="Times New Roman"/>
          <w:lang w:eastAsia="ko-KR"/>
        </w:rPr>
        <w:t xml:space="preserve"> </w:t>
      </w:r>
      <w:r w:rsidR="00F02678" w:rsidRPr="00F02678">
        <w:rPr>
          <w:rFonts w:cs="Times New Roman"/>
          <w:lang w:eastAsia="ko-KR"/>
        </w:rPr>
        <w:t>New WID on Mobile IAB</w:t>
      </w:r>
    </w:p>
    <w:bookmarkEnd w:id="12"/>
    <w:bookmarkEnd w:id="13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4FC4F" w14:textId="77777777" w:rsidR="00210690" w:rsidRDefault="00210690" w:rsidP="00424124">
      <w:pPr>
        <w:spacing w:before="0" w:after="0"/>
      </w:pPr>
      <w:r>
        <w:separator/>
      </w:r>
    </w:p>
  </w:endnote>
  <w:endnote w:type="continuationSeparator" w:id="0">
    <w:p w14:paraId="76F7E103" w14:textId="77777777" w:rsidR="00210690" w:rsidRDefault="00210690" w:rsidP="00424124">
      <w:pPr>
        <w:spacing w:before="0" w:after="0"/>
      </w:pPr>
      <w:r>
        <w:continuationSeparator/>
      </w:r>
    </w:p>
  </w:endnote>
  <w:endnote w:type="continuationNotice" w:id="1">
    <w:p w14:paraId="3484D91E" w14:textId="77777777" w:rsidR="00210690" w:rsidRDefault="002106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B6FE4" w14:textId="77777777" w:rsidR="00210690" w:rsidRDefault="00210690" w:rsidP="00424124">
      <w:pPr>
        <w:spacing w:before="0" w:after="0"/>
      </w:pPr>
      <w:r>
        <w:separator/>
      </w:r>
    </w:p>
  </w:footnote>
  <w:footnote w:type="continuationSeparator" w:id="0">
    <w:p w14:paraId="5D3DB807" w14:textId="77777777" w:rsidR="00210690" w:rsidRDefault="00210690" w:rsidP="00424124">
      <w:pPr>
        <w:spacing w:before="0" w:after="0"/>
      </w:pPr>
      <w:r>
        <w:continuationSeparator/>
      </w:r>
    </w:p>
  </w:footnote>
  <w:footnote w:type="continuationNotice" w:id="1">
    <w:p w14:paraId="11A178D9" w14:textId="77777777" w:rsidR="00210690" w:rsidRDefault="0021069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966287">
    <w:abstractNumId w:val="14"/>
  </w:num>
  <w:num w:numId="2" w16cid:durableId="373965654">
    <w:abstractNumId w:val="5"/>
  </w:num>
  <w:num w:numId="3" w16cid:durableId="1327633833">
    <w:abstractNumId w:val="19"/>
  </w:num>
  <w:num w:numId="4" w16cid:durableId="1921672436">
    <w:abstractNumId w:val="0"/>
  </w:num>
  <w:num w:numId="5" w16cid:durableId="161509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979132">
    <w:abstractNumId w:val="13"/>
  </w:num>
  <w:num w:numId="7" w16cid:durableId="2123576136">
    <w:abstractNumId w:val="11"/>
  </w:num>
  <w:num w:numId="8" w16cid:durableId="2074306897">
    <w:abstractNumId w:val="9"/>
  </w:num>
  <w:num w:numId="9" w16cid:durableId="1300765730">
    <w:abstractNumId w:val="22"/>
  </w:num>
  <w:num w:numId="10" w16cid:durableId="1150637467">
    <w:abstractNumId w:val="3"/>
  </w:num>
  <w:num w:numId="11" w16cid:durableId="767892389">
    <w:abstractNumId w:val="12"/>
  </w:num>
  <w:num w:numId="12" w16cid:durableId="1666279620">
    <w:abstractNumId w:val="4"/>
  </w:num>
  <w:num w:numId="13" w16cid:durableId="1173177971">
    <w:abstractNumId w:val="23"/>
  </w:num>
  <w:num w:numId="14" w16cid:durableId="823811775">
    <w:abstractNumId w:val="15"/>
  </w:num>
  <w:num w:numId="15" w16cid:durableId="908926294">
    <w:abstractNumId w:val="17"/>
  </w:num>
  <w:num w:numId="16" w16cid:durableId="220360974">
    <w:abstractNumId w:val="8"/>
  </w:num>
  <w:num w:numId="17" w16cid:durableId="17127630">
    <w:abstractNumId w:val="16"/>
  </w:num>
  <w:num w:numId="18" w16cid:durableId="163085835">
    <w:abstractNumId w:val="25"/>
  </w:num>
  <w:num w:numId="19" w16cid:durableId="475685115">
    <w:abstractNumId w:val="7"/>
  </w:num>
  <w:num w:numId="20" w16cid:durableId="1870485266">
    <w:abstractNumId w:val="10"/>
  </w:num>
  <w:num w:numId="21" w16cid:durableId="1066032205">
    <w:abstractNumId w:val="18"/>
  </w:num>
  <w:num w:numId="22" w16cid:durableId="1062369861">
    <w:abstractNumId w:val="20"/>
  </w:num>
  <w:num w:numId="23" w16cid:durableId="1396467391">
    <w:abstractNumId w:val="26"/>
  </w:num>
  <w:num w:numId="24" w16cid:durableId="565188601">
    <w:abstractNumId w:val="2"/>
  </w:num>
  <w:num w:numId="25" w16cid:durableId="879174278">
    <w:abstractNumId w:val="6"/>
  </w:num>
  <w:num w:numId="26" w16cid:durableId="2145341437">
    <w:abstractNumId w:val="21"/>
  </w:num>
  <w:num w:numId="27" w16cid:durableId="39709075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783D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4CC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7DA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1F74"/>
    <w:rsid w:val="000A36A9"/>
    <w:rsid w:val="000A540C"/>
    <w:rsid w:val="000B0720"/>
    <w:rsid w:val="000B58AF"/>
    <w:rsid w:val="000B6D99"/>
    <w:rsid w:val="000C1344"/>
    <w:rsid w:val="000C1E0E"/>
    <w:rsid w:val="000C21D0"/>
    <w:rsid w:val="000C42E2"/>
    <w:rsid w:val="000C57B9"/>
    <w:rsid w:val="000C71DE"/>
    <w:rsid w:val="000D38DC"/>
    <w:rsid w:val="000E0831"/>
    <w:rsid w:val="000E2126"/>
    <w:rsid w:val="000E29D8"/>
    <w:rsid w:val="000F2D17"/>
    <w:rsid w:val="000F6423"/>
    <w:rsid w:val="0010303E"/>
    <w:rsid w:val="00107E20"/>
    <w:rsid w:val="001116B0"/>
    <w:rsid w:val="001120B1"/>
    <w:rsid w:val="0011327D"/>
    <w:rsid w:val="0011498C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1208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77D08"/>
    <w:rsid w:val="00182F08"/>
    <w:rsid w:val="00196ED7"/>
    <w:rsid w:val="001A08AB"/>
    <w:rsid w:val="001A12F1"/>
    <w:rsid w:val="001A5A68"/>
    <w:rsid w:val="001A6212"/>
    <w:rsid w:val="001A75E0"/>
    <w:rsid w:val="001B0AF2"/>
    <w:rsid w:val="001B731B"/>
    <w:rsid w:val="001C10BE"/>
    <w:rsid w:val="001C22A7"/>
    <w:rsid w:val="001C2DBE"/>
    <w:rsid w:val="001C4ACE"/>
    <w:rsid w:val="001C699C"/>
    <w:rsid w:val="001D1016"/>
    <w:rsid w:val="001E0CE1"/>
    <w:rsid w:val="001E24F2"/>
    <w:rsid w:val="001E58CC"/>
    <w:rsid w:val="001E6F10"/>
    <w:rsid w:val="001F2A01"/>
    <w:rsid w:val="001F59ED"/>
    <w:rsid w:val="001F7209"/>
    <w:rsid w:val="002008F7"/>
    <w:rsid w:val="002036C1"/>
    <w:rsid w:val="00203DE4"/>
    <w:rsid w:val="00210690"/>
    <w:rsid w:val="002111DF"/>
    <w:rsid w:val="00211D37"/>
    <w:rsid w:val="00212204"/>
    <w:rsid w:val="00216763"/>
    <w:rsid w:val="00222269"/>
    <w:rsid w:val="00222811"/>
    <w:rsid w:val="002247F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C72"/>
    <w:rsid w:val="002801B8"/>
    <w:rsid w:val="0029147A"/>
    <w:rsid w:val="00297225"/>
    <w:rsid w:val="002A005E"/>
    <w:rsid w:val="002A0270"/>
    <w:rsid w:val="002A189A"/>
    <w:rsid w:val="002A3B91"/>
    <w:rsid w:val="002A50E9"/>
    <w:rsid w:val="002A66E2"/>
    <w:rsid w:val="002B09B8"/>
    <w:rsid w:val="002B348B"/>
    <w:rsid w:val="002B7AEB"/>
    <w:rsid w:val="002C0488"/>
    <w:rsid w:val="002C4097"/>
    <w:rsid w:val="002C594E"/>
    <w:rsid w:val="002C63CE"/>
    <w:rsid w:val="002D39D1"/>
    <w:rsid w:val="002D3D42"/>
    <w:rsid w:val="002D479B"/>
    <w:rsid w:val="002D4DDC"/>
    <w:rsid w:val="002D6EC9"/>
    <w:rsid w:val="002D787B"/>
    <w:rsid w:val="002E04E4"/>
    <w:rsid w:val="002E188B"/>
    <w:rsid w:val="002E5135"/>
    <w:rsid w:val="002E5FB2"/>
    <w:rsid w:val="002F135B"/>
    <w:rsid w:val="002F4772"/>
    <w:rsid w:val="002F692C"/>
    <w:rsid w:val="00300C8C"/>
    <w:rsid w:val="00312373"/>
    <w:rsid w:val="00313A86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1E9D"/>
    <w:rsid w:val="00342130"/>
    <w:rsid w:val="00343561"/>
    <w:rsid w:val="00346605"/>
    <w:rsid w:val="0035318F"/>
    <w:rsid w:val="00354C01"/>
    <w:rsid w:val="00355FF9"/>
    <w:rsid w:val="00361C2F"/>
    <w:rsid w:val="0036306A"/>
    <w:rsid w:val="00365A1F"/>
    <w:rsid w:val="003727DB"/>
    <w:rsid w:val="00383E05"/>
    <w:rsid w:val="003854FC"/>
    <w:rsid w:val="00386642"/>
    <w:rsid w:val="0039078B"/>
    <w:rsid w:val="00390912"/>
    <w:rsid w:val="00392176"/>
    <w:rsid w:val="003921C9"/>
    <w:rsid w:val="003921D6"/>
    <w:rsid w:val="003A0928"/>
    <w:rsid w:val="003A298A"/>
    <w:rsid w:val="003A553B"/>
    <w:rsid w:val="003A566A"/>
    <w:rsid w:val="003B1C07"/>
    <w:rsid w:val="003B1EC9"/>
    <w:rsid w:val="003B2DFA"/>
    <w:rsid w:val="003B3184"/>
    <w:rsid w:val="003B32A7"/>
    <w:rsid w:val="003B4548"/>
    <w:rsid w:val="003B4CFC"/>
    <w:rsid w:val="003B75E5"/>
    <w:rsid w:val="003C0238"/>
    <w:rsid w:val="003C03E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7121"/>
    <w:rsid w:val="003F0731"/>
    <w:rsid w:val="003F09DD"/>
    <w:rsid w:val="003F2CAF"/>
    <w:rsid w:val="003F33B4"/>
    <w:rsid w:val="003F36B0"/>
    <w:rsid w:val="003F5CAC"/>
    <w:rsid w:val="004031E0"/>
    <w:rsid w:val="004032C1"/>
    <w:rsid w:val="0040372C"/>
    <w:rsid w:val="004047F5"/>
    <w:rsid w:val="00405F6D"/>
    <w:rsid w:val="0041692F"/>
    <w:rsid w:val="00424124"/>
    <w:rsid w:val="004261A0"/>
    <w:rsid w:val="00434212"/>
    <w:rsid w:val="0043652D"/>
    <w:rsid w:val="00440B51"/>
    <w:rsid w:val="00440F6E"/>
    <w:rsid w:val="0044351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77DA2"/>
    <w:rsid w:val="00480799"/>
    <w:rsid w:val="00480BBD"/>
    <w:rsid w:val="00481601"/>
    <w:rsid w:val="0048301B"/>
    <w:rsid w:val="004866E3"/>
    <w:rsid w:val="00492168"/>
    <w:rsid w:val="0049450F"/>
    <w:rsid w:val="004A250E"/>
    <w:rsid w:val="004A5ABE"/>
    <w:rsid w:val="004A6424"/>
    <w:rsid w:val="004A69D0"/>
    <w:rsid w:val="004A6A82"/>
    <w:rsid w:val="004B185B"/>
    <w:rsid w:val="004B22E2"/>
    <w:rsid w:val="004B2D38"/>
    <w:rsid w:val="004B3B22"/>
    <w:rsid w:val="004B6AA8"/>
    <w:rsid w:val="004B6E00"/>
    <w:rsid w:val="004B76EC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4800"/>
    <w:rsid w:val="004D780D"/>
    <w:rsid w:val="004D7CF8"/>
    <w:rsid w:val="004E26A1"/>
    <w:rsid w:val="004E4188"/>
    <w:rsid w:val="004E6BC0"/>
    <w:rsid w:val="004E6D3B"/>
    <w:rsid w:val="004F10C3"/>
    <w:rsid w:val="004F2986"/>
    <w:rsid w:val="004F3417"/>
    <w:rsid w:val="004F39D2"/>
    <w:rsid w:val="004F46BC"/>
    <w:rsid w:val="004F47DC"/>
    <w:rsid w:val="004F5864"/>
    <w:rsid w:val="005007E9"/>
    <w:rsid w:val="00504773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C3F"/>
    <w:rsid w:val="00534DE7"/>
    <w:rsid w:val="005363F5"/>
    <w:rsid w:val="005425F7"/>
    <w:rsid w:val="00544843"/>
    <w:rsid w:val="0054560C"/>
    <w:rsid w:val="00545FD3"/>
    <w:rsid w:val="0055464C"/>
    <w:rsid w:val="00561FB7"/>
    <w:rsid w:val="005622D6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6C5F"/>
    <w:rsid w:val="00591529"/>
    <w:rsid w:val="00596A83"/>
    <w:rsid w:val="00596F33"/>
    <w:rsid w:val="005A0E71"/>
    <w:rsid w:val="005A1A97"/>
    <w:rsid w:val="005A1CCB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5E31"/>
    <w:rsid w:val="0060603E"/>
    <w:rsid w:val="006167FF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24D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63A8"/>
    <w:rsid w:val="006A7498"/>
    <w:rsid w:val="006B0776"/>
    <w:rsid w:val="006B16C1"/>
    <w:rsid w:val="006B1BE9"/>
    <w:rsid w:val="006C1C85"/>
    <w:rsid w:val="006C452E"/>
    <w:rsid w:val="006C48AC"/>
    <w:rsid w:val="006D14F0"/>
    <w:rsid w:val="006D6ABC"/>
    <w:rsid w:val="006E0825"/>
    <w:rsid w:val="006E1700"/>
    <w:rsid w:val="006E1CF4"/>
    <w:rsid w:val="006E790B"/>
    <w:rsid w:val="006F055C"/>
    <w:rsid w:val="006F5485"/>
    <w:rsid w:val="00702C40"/>
    <w:rsid w:val="0070754C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8D6"/>
    <w:rsid w:val="00733B22"/>
    <w:rsid w:val="00737F2A"/>
    <w:rsid w:val="00740B36"/>
    <w:rsid w:val="007410C9"/>
    <w:rsid w:val="00741B79"/>
    <w:rsid w:val="00747A6F"/>
    <w:rsid w:val="00751076"/>
    <w:rsid w:val="00751B56"/>
    <w:rsid w:val="007531BC"/>
    <w:rsid w:val="00755E5E"/>
    <w:rsid w:val="0075622F"/>
    <w:rsid w:val="0075696D"/>
    <w:rsid w:val="0076067D"/>
    <w:rsid w:val="00760B67"/>
    <w:rsid w:val="007677CC"/>
    <w:rsid w:val="007704B9"/>
    <w:rsid w:val="007762F3"/>
    <w:rsid w:val="00776EF2"/>
    <w:rsid w:val="007814F3"/>
    <w:rsid w:val="00782CDC"/>
    <w:rsid w:val="007839F9"/>
    <w:rsid w:val="00784132"/>
    <w:rsid w:val="007849BC"/>
    <w:rsid w:val="00786229"/>
    <w:rsid w:val="00791D57"/>
    <w:rsid w:val="00795A55"/>
    <w:rsid w:val="007977FF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2156"/>
    <w:rsid w:val="007E546F"/>
    <w:rsid w:val="007F0AF3"/>
    <w:rsid w:val="007F1928"/>
    <w:rsid w:val="007F3600"/>
    <w:rsid w:val="007F392E"/>
    <w:rsid w:val="007F39C0"/>
    <w:rsid w:val="007F6162"/>
    <w:rsid w:val="007F73FA"/>
    <w:rsid w:val="00801867"/>
    <w:rsid w:val="00807435"/>
    <w:rsid w:val="00807992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3BEB"/>
    <w:rsid w:val="00885004"/>
    <w:rsid w:val="00886B7B"/>
    <w:rsid w:val="00887AB4"/>
    <w:rsid w:val="008900D7"/>
    <w:rsid w:val="00894290"/>
    <w:rsid w:val="008A03FB"/>
    <w:rsid w:val="008A1A9D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48C2"/>
    <w:rsid w:val="008E526C"/>
    <w:rsid w:val="008E5C05"/>
    <w:rsid w:val="008F1CFE"/>
    <w:rsid w:val="008F1ED3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3491C"/>
    <w:rsid w:val="00941A13"/>
    <w:rsid w:val="009453B3"/>
    <w:rsid w:val="0094586E"/>
    <w:rsid w:val="00951766"/>
    <w:rsid w:val="00957CD1"/>
    <w:rsid w:val="00960F96"/>
    <w:rsid w:val="00961DB2"/>
    <w:rsid w:val="00962456"/>
    <w:rsid w:val="009721F8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33D4"/>
    <w:rsid w:val="009E4418"/>
    <w:rsid w:val="009E5838"/>
    <w:rsid w:val="00A0235E"/>
    <w:rsid w:val="00A024AB"/>
    <w:rsid w:val="00A02FD3"/>
    <w:rsid w:val="00A04526"/>
    <w:rsid w:val="00A07EAB"/>
    <w:rsid w:val="00A11704"/>
    <w:rsid w:val="00A1178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B31"/>
    <w:rsid w:val="00A35DBF"/>
    <w:rsid w:val="00A40CAD"/>
    <w:rsid w:val="00A411FE"/>
    <w:rsid w:val="00A41CF3"/>
    <w:rsid w:val="00A4200A"/>
    <w:rsid w:val="00A4674D"/>
    <w:rsid w:val="00A547CE"/>
    <w:rsid w:val="00A555A6"/>
    <w:rsid w:val="00A55FF3"/>
    <w:rsid w:val="00A603CE"/>
    <w:rsid w:val="00A64CF7"/>
    <w:rsid w:val="00A65FD7"/>
    <w:rsid w:val="00A706F5"/>
    <w:rsid w:val="00A7535D"/>
    <w:rsid w:val="00A7677A"/>
    <w:rsid w:val="00A80FA1"/>
    <w:rsid w:val="00A81AFF"/>
    <w:rsid w:val="00A81FEF"/>
    <w:rsid w:val="00A821EA"/>
    <w:rsid w:val="00A8721E"/>
    <w:rsid w:val="00A902EF"/>
    <w:rsid w:val="00A92495"/>
    <w:rsid w:val="00AA5109"/>
    <w:rsid w:val="00AA5160"/>
    <w:rsid w:val="00AA5899"/>
    <w:rsid w:val="00AA6DEA"/>
    <w:rsid w:val="00AB38F0"/>
    <w:rsid w:val="00AB6418"/>
    <w:rsid w:val="00AB75A3"/>
    <w:rsid w:val="00AB7FC6"/>
    <w:rsid w:val="00AC05AE"/>
    <w:rsid w:val="00AD115D"/>
    <w:rsid w:val="00AD16AE"/>
    <w:rsid w:val="00AD30EE"/>
    <w:rsid w:val="00AD6C53"/>
    <w:rsid w:val="00AE72F4"/>
    <w:rsid w:val="00AF0A4B"/>
    <w:rsid w:val="00AF31F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37E2"/>
    <w:rsid w:val="00B468FE"/>
    <w:rsid w:val="00B50950"/>
    <w:rsid w:val="00B548D4"/>
    <w:rsid w:val="00B55AB4"/>
    <w:rsid w:val="00B574FB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776DD"/>
    <w:rsid w:val="00B82B83"/>
    <w:rsid w:val="00B8611D"/>
    <w:rsid w:val="00B86A23"/>
    <w:rsid w:val="00B909F7"/>
    <w:rsid w:val="00B96A24"/>
    <w:rsid w:val="00BA1EB9"/>
    <w:rsid w:val="00BA550E"/>
    <w:rsid w:val="00BA677D"/>
    <w:rsid w:val="00BA6FDB"/>
    <w:rsid w:val="00BB02ED"/>
    <w:rsid w:val="00BB1D03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6E29"/>
    <w:rsid w:val="00BD70CD"/>
    <w:rsid w:val="00BE373F"/>
    <w:rsid w:val="00BF0B4F"/>
    <w:rsid w:val="00BF0E9C"/>
    <w:rsid w:val="00BF1232"/>
    <w:rsid w:val="00BF2C5D"/>
    <w:rsid w:val="00BF31E3"/>
    <w:rsid w:val="00BF5F1C"/>
    <w:rsid w:val="00C0471E"/>
    <w:rsid w:val="00C07731"/>
    <w:rsid w:val="00C078AC"/>
    <w:rsid w:val="00C147AA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8496B"/>
    <w:rsid w:val="00C913B6"/>
    <w:rsid w:val="00C91C5E"/>
    <w:rsid w:val="00C92DD7"/>
    <w:rsid w:val="00C92E44"/>
    <w:rsid w:val="00CA6EA3"/>
    <w:rsid w:val="00CB15A7"/>
    <w:rsid w:val="00CB3398"/>
    <w:rsid w:val="00CB367A"/>
    <w:rsid w:val="00CB37E9"/>
    <w:rsid w:val="00CB424D"/>
    <w:rsid w:val="00CB4E3D"/>
    <w:rsid w:val="00CB6D97"/>
    <w:rsid w:val="00CC09CE"/>
    <w:rsid w:val="00CC13A4"/>
    <w:rsid w:val="00CC18CA"/>
    <w:rsid w:val="00CC2B1A"/>
    <w:rsid w:val="00CC6426"/>
    <w:rsid w:val="00CD32A6"/>
    <w:rsid w:val="00CD32CA"/>
    <w:rsid w:val="00CD451E"/>
    <w:rsid w:val="00CD7021"/>
    <w:rsid w:val="00CE0C9D"/>
    <w:rsid w:val="00CE20E2"/>
    <w:rsid w:val="00CF0059"/>
    <w:rsid w:val="00CF29C8"/>
    <w:rsid w:val="00CF7730"/>
    <w:rsid w:val="00D11258"/>
    <w:rsid w:val="00D12496"/>
    <w:rsid w:val="00D12A86"/>
    <w:rsid w:val="00D134C5"/>
    <w:rsid w:val="00D20E5E"/>
    <w:rsid w:val="00D23CDC"/>
    <w:rsid w:val="00D26593"/>
    <w:rsid w:val="00D268EB"/>
    <w:rsid w:val="00D26CFF"/>
    <w:rsid w:val="00D274C6"/>
    <w:rsid w:val="00D435BA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25F"/>
    <w:rsid w:val="00D56786"/>
    <w:rsid w:val="00D61EAB"/>
    <w:rsid w:val="00D64528"/>
    <w:rsid w:val="00D645A9"/>
    <w:rsid w:val="00D701D3"/>
    <w:rsid w:val="00D7445F"/>
    <w:rsid w:val="00D74845"/>
    <w:rsid w:val="00D75292"/>
    <w:rsid w:val="00D85B0C"/>
    <w:rsid w:val="00D9137B"/>
    <w:rsid w:val="00D91E8D"/>
    <w:rsid w:val="00D92B1D"/>
    <w:rsid w:val="00D96F05"/>
    <w:rsid w:val="00DA44F8"/>
    <w:rsid w:val="00DA75DC"/>
    <w:rsid w:val="00DB0323"/>
    <w:rsid w:val="00DB1FA7"/>
    <w:rsid w:val="00DB3BFC"/>
    <w:rsid w:val="00DB5910"/>
    <w:rsid w:val="00DB6DB1"/>
    <w:rsid w:val="00DC0E31"/>
    <w:rsid w:val="00DC34C3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E7EC3"/>
    <w:rsid w:val="00DF1113"/>
    <w:rsid w:val="00DF5F45"/>
    <w:rsid w:val="00E03E65"/>
    <w:rsid w:val="00E07FE0"/>
    <w:rsid w:val="00E11CBA"/>
    <w:rsid w:val="00E13146"/>
    <w:rsid w:val="00E174FC"/>
    <w:rsid w:val="00E20070"/>
    <w:rsid w:val="00E20994"/>
    <w:rsid w:val="00E22124"/>
    <w:rsid w:val="00E261AD"/>
    <w:rsid w:val="00E324C0"/>
    <w:rsid w:val="00E40344"/>
    <w:rsid w:val="00E5306C"/>
    <w:rsid w:val="00E566CC"/>
    <w:rsid w:val="00E56C7E"/>
    <w:rsid w:val="00E576BD"/>
    <w:rsid w:val="00E57BE9"/>
    <w:rsid w:val="00E604D6"/>
    <w:rsid w:val="00E625D9"/>
    <w:rsid w:val="00E65978"/>
    <w:rsid w:val="00E67086"/>
    <w:rsid w:val="00E67A6E"/>
    <w:rsid w:val="00E75B4B"/>
    <w:rsid w:val="00E826B1"/>
    <w:rsid w:val="00E857E4"/>
    <w:rsid w:val="00E85B05"/>
    <w:rsid w:val="00E87CDE"/>
    <w:rsid w:val="00E9139D"/>
    <w:rsid w:val="00E92487"/>
    <w:rsid w:val="00E932BA"/>
    <w:rsid w:val="00E94123"/>
    <w:rsid w:val="00EA219F"/>
    <w:rsid w:val="00EA26E5"/>
    <w:rsid w:val="00EA3B02"/>
    <w:rsid w:val="00EA5A59"/>
    <w:rsid w:val="00EA6213"/>
    <w:rsid w:val="00EB0C39"/>
    <w:rsid w:val="00EB3301"/>
    <w:rsid w:val="00EB7F64"/>
    <w:rsid w:val="00EC476D"/>
    <w:rsid w:val="00EC5FCD"/>
    <w:rsid w:val="00EC66AA"/>
    <w:rsid w:val="00EE013E"/>
    <w:rsid w:val="00EE2068"/>
    <w:rsid w:val="00EE314D"/>
    <w:rsid w:val="00EE4A18"/>
    <w:rsid w:val="00EF093C"/>
    <w:rsid w:val="00EF1F69"/>
    <w:rsid w:val="00EF2787"/>
    <w:rsid w:val="00EF41A0"/>
    <w:rsid w:val="00EF61D1"/>
    <w:rsid w:val="00F00551"/>
    <w:rsid w:val="00F01D00"/>
    <w:rsid w:val="00F02678"/>
    <w:rsid w:val="00F05333"/>
    <w:rsid w:val="00F15410"/>
    <w:rsid w:val="00F154D0"/>
    <w:rsid w:val="00F173D1"/>
    <w:rsid w:val="00F24880"/>
    <w:rsid w:val="00F261D6"/>
    <w:rsid w:val="00F26D45"/>
    <w:rsid w:val="00F27EFD"/>
    <w:rsid w:val="00F30C84"/>
    <w:rsid w:val="00F35704"/>
    <w:rsid w:val="00F35911"/>
    <w:rsid w:val="00F359EF"/>
    <w:rsid w:val="00F35DD7"/>
    <w:rsid w:val="00F37513"/>
    <w:rsid w:val="00F42D43"/>
    <w:rsid w:val="00F44535"/>
    <w:rsid w:val="00F465CD"/>
    <w:rsid w:val="00F509C2"/>
    <w:rsid w:val="00F54103"/>
    <w:rsid w:val="00F57965"/>
    <w:rsid w:val="00F60351"/>
    <w:rsid w:val="00F60640"/>
    <w:rsid w:val="00F6398D"/>
    <w:rsid w:val="00F6461F"/>
    <w:rsid w:val="00F66A95"/>
    <w:rsid w:val="00F70A83"/>
    <w:rsid w:val="00F70D9A"/>
    <w:rsid w:val="00F70F29"/>
    <w:rsid w:val="00F71810"/>
    <w:rsid w:val="00F72ABE"/>
    <w:rsid w:val="00F72B1B"/>
    <w:rsid w:val="00F74326"/>
    <w:rsid w:val="00F75873"/>
    <w:rsid w:val="00F7596C"/>
    <w:rsid w:val="00F765DB"/>
    <w:rsid w:val="00F77BAA"/>
    <w:rsid w:val="00F77E12"/>
    <w:rsid w:val="00F80CBC"/>
    <w:rsid w:val="00F814DE"/>
    <w:rsid w:val="00F84ED2"/>
    <w:rsid w:val="00F90045"/>
    <w:rsid w:val="00F925FE"/>
    <w:rsid w:val="00F976CC"/>
    <w:rsid w:val="00FA0472"/>
    <w:rsid w:val="00FA28D1"/>
    <w:rsid w:val="00FA41E9"/>
    <w:rsid w:val="00FA6558"/>
    <w:rsid w:val="00FB2665"/>
    <w:rsid w:val="00FB27A4"/>
    <w:rsid w:val="00FB485F"/>
    <w:rsid w:val="00FC293E"/>
    <w:rsid w:val="00FC46AF"/>
    <w:rsid w:val="00FC79A8"/>
    <w:rsid w:val="00FD18A1"/>
    <w:rsid w:val="00FD489B"/>
    <w:rsid w:val="00FD530D"/>
    <w:rsid w:val="00FD791D"/>
    <w:rsid w:val="00FE0217"/>
    <w:rsid w:val="00FE6C15"/>
    <w:rsid w:val="00FF02B6"/>
    <w:rsid w:val="00FF0F79"/>
    <w:rsid w:val="00FF18E1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D17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977FF"/>
    <w:pPr>
      <w:numPr>
        <w:numId w:val="27"/>
      </w:numPr>
      <w:spacing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3634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2023-09-29T05:33:00Z</dcterms:created>
  <dcterms:modified xsi:type="dcterms:W3CDTF">2023-09-29T05:33:00Z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