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7F4A4386"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w:t>
      </w:r>
      <w:r w:rsidR="00F25D75">
        <w:rPr>
          <w:noProof w:val="0"/>
          <w:sz w:val="24"/>
          <w:szCs w:val="24"/>
          <w:lang w:val="en-US"/>
        </w:rPr>
        <w:t>3</w:t>
      </w:r>
      <w:r w:rsidR="009377B3">
        <w:rPr>
          <w:noProof w:val="0"/>
          <w:sz w:val="24"/>
          <w:szCs w:val="24"/>
          <w:lang w:val="en-US"/>
        </w:rPr>
        <w:t>bis</w:t>
      </w:r>
      <w:r w:rsidRPr="001C1A03">
        <w:rPr>
          <w:bCs/>
          <w:noProof w:val="0"/>
          <w:sz w:val="24"/>
          <w:szCs w:val="24"/>
          <w:lang w:val="en-US"/>
        </w:rPr>
        <w:tab/>
      </w:r>
      <w:r w:rsidR="00A54ADF" w:rsidRPr="00A54ADF">
        <w:rPr>
          <w:bCs/>
          <w:noProof w:val="0"/>
          <w:sz w:val="24"/>
          <w:szCs w:val="24"/>
        </w:rPr>
        <w:t>R2-2310342</w:t>
      </w:r>
    </w:p>
    <w:p w14:paraId="15E990BB" w14:textId="2C3ECB73" w:rsidR="004770F0" w:rsidRPr="00737122" w:rsidRDefault="009377B3" w:rsidP="004770F0">
      <w:pPr>
        <w:pStyle w:val="Header"/>
        <w:tabs>
          <w:tab w:val="right" w:pos="9639"/>
        </w:tabs>
        <w:rPr>
          <w:noProof w:val="0"/>
          <w:sz w:val="24"/>
          <w:szCs w:val="24"/>
          <w:lang w:val="da-DK"/>
        </w:rPr>
      </w:pPr>
      <w:r>
        <w:rPr>
          <w:bCs/>
          <w:sz w:val="24"/>
        </w:rPr>
        <w:t>Xiamen</w:t>
      </w:r>
      <w:r w:rsidR="00F25D75">
        <w:rPr>
          <w:rFonts w:eastAsia="SimSun"/>
          <w:sz w:val="24"/>
          <w:szCs w:val="24"/>
          <w:lang w:eastAsia="zh-CN"/>
        </w:rPr>
        <w:t xml:space="preserve">, </w:t>
      </w:r>
      <w:r>
        <w:rPr>
          <w:rFonts w:eastAsia="SimSun"/>
          <w:sz w:val="24"/>
          <w:szCs w:val="24"/>
          <w:lang w:eastAsia="zh-CN"/>
        </w:rPr>
        <w:t>China</w:t>
      </w:r>
      <w:r w:rsidR="00F25D75">
        <w:rPr>
          <w:rFonts w:eastAsia="SimSun"/>
          <w:sz w:val="24"/>
          <w:szCs w:val="24"/>
          <w:lang w:eastAsia="zh-CN"/>
        </w:rPr>
        <w:t xml:space="preserve">, </w:t>
      </w:r>
      <w:r>
        <w:rPr>
          <w:rFonts w:eastAsia="SimSun"/>
          <w:sz w:val="24"/>
          <w:szCs w:val="24"/>
          <w:lang w:eastAsia="zh-CN"/>
        </w:rPr>
        <w:t xml:space="preserve">9 </w:t>
      </w:r>
      <w:r w:rsidR="00F25D75" w:rsidRPr="0099316A">
        <w:rPr>
          <w:rFonts w:eastAsia="SimSun"/>
          <w:sz w:val="24"/>
          <w:szCs w:val="24"/>
          <w:lang w:val="en-US" w:eastAsia="zh-CN"/>
        </w:rPr>
        <w:t>–</w:t>
      </w:r>
      <w:r w:rsidR="00F25D75" w:rsidRPr="0099316A">
        <w:rPr>
          <w:rFonts w:eastAsia="SimSun"/>
          <w:sz w:val="24"/>
          <w:szCs w:val="24"/>
          <w:lang w:eastAsia="zh-CN"/>
        </w:rPr>
        <w:t xml:space="preserve"> </w:t>
      </w:r>
      <w:r>
        <w:rPr>
          <w:rFonts w:eastAsia="SimSun"/>
          <w:sz w:val="24"/>
          <w:szCs w:val="24"/>
          <w:lang w:eastAsia="zh-CN"/>
        </w:rPr>
        <w:t>13</w:t>
      </w:r>
      <w:r w:rsidR="00F25D75" w:rsidRPr="0099316A">
        <w:rPr>
          <w:rFonts w:eastAsia="SimSun"/>
          <w:sz w:val="24"/>
          <w:szCs w:val="24"/>
          <w:lang w:eastAsia="zh-CN"/>
        </w:rPr>
        <w:t xml:space="preserve"> </w:t>
      </w:r>
      <w:r>
        <w:rPr>
          <w:rFonts w:eastAsia="SimSun"/>
          <w:sz w:val="24"/>
          <w:szCs w:val="24"/>
          <w:lang w:eastAsia="zh-CN"/>
        </w:rPr>
        <w:t>October</w:t>
      </w:r>
      <w:r w:rsidR="00F25D75" w:rsidRPr="0099316A">
        <w:rPr>
          <w:rFonts w:eastAsia="SimSun"/>
          <w:sz w:val="24"/>
          <w:szCs w:val="24"/>
          <w:lang w:eastAsia="zh-CN"/>
        </w:rPr>
        <w:t xml:space="preserve"> </w:t>
      </w:r>
      <w:r w:rsidR="00F25D75">
        <w:rPr>
          <w:rFonts w:eastAsia="SimSun"/>
          <w:sz w:val="24"/>
          <w:szCs w:val="24"/>
          <w:lang w:eastAsia="zh-CN"/>
        </w:rPr>
        <w:t>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73EF534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D36A2">
        <w:rPr>
          <w:rFonts w:cs="Arial"/>
          <w:b/>
          <w:bCs/>
          <w:sz w:val="24"/>
          <w:lang w:val="da-DK"/>
        </w:rPr>
        <w:t>6.1.3.1</w:t>
      </w:r>
    </w:p>
    <w:p w14:paraId="52412B5A" w14:textId="419AC899"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DF6A47">
        <w:rPr>
          <w:rFonts w:ascii="Arial" w:hAnsi="Arial" w:cs="Arial"/>
          <w:b/>
          <w:bCs/>
          <w:sz w:val="24"/>
          <w:szCs w:val="24"/>
          <w:lang w:val="en-US"/>
        </w:rPr>
        <w:t xml:space="preserve"> Inc, T-Mobile USA, Qualcomm Inc</w:t>
      </w:r>
    </w:p>
    <w:p w14:paraId="2928F323" w14:textId="2287D6F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D36A2" w:rsidRPr="00AD36A2">
        <w:rPr>
          <w:rFonts w:ascii="Arial" w:hAnsi="Arial" w:cs="Arial"/>
          <w:b/>
          <w:bCs/>
          <w:sz w:val="24"/>
        </w:rPr>
        <w:t>Emergency call handling in RedCap in barred cells</w:t>
      </w:r>
    </w:p>
    <w:p w14:paraId="040E0889" w14:textId="63331DEB"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AD36A2" w:rsidRPr="00AD36A2">
        <w:rPr>
          <w:rFonts w:ascii="Arial" w:hAnsi="Arial" w:cs="Arial"/>
          <w:b/>
          <w:bCs/>
          <w:sz w:val="24"/>
        </w:rPr>
        <w:t>NR_redcap</w:t>
      </w:r>
      <w:proofErr w:type="spellEnd"/>
      <w:r w:rsidR="00AD36A2" w:rsidRPr="00AD36A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pPr>
        <w:pStyle w:val="Heading1"/>
        <w:rPr>
          <w:lang w:val="en-US"/>
        </w:rPr>
      </w:pPr>
      <w:r w:rsidRPr="00CB5EE9">
        <w:rPr>
          <w:lang w:val="en-US"/>
        </w:rPr>
        <w:t>Introduction</w:t>
      </w:r>
    </w:p>
    <w:p w14:paraId="6F250FD0" w14:textId="42322682" w:rsidR="00F54EE2" w:rsidRDefault="00AD36A2" w:rsidP="003109F6">
      <w:pPr>
        <w:jc w:val="both"/>
        <w:rPr>
          <w:iCs/>
          <w:lang w:val="en-US"/>
        </w:rPr>
      </w:pPr>
      <w:r>
        <w:rPr>
          <w:iCs/>
          <w:lang w:val="en-US"/>
        </w:rPr>
        <w:t>Among the different types of Release 17 RedCap UEs, wearables and other forms of UEs where voice service is offered to the user, also exist. RAN2 introduced the concept of UE barring the cell if the cell does not support a specific set of redcap capabilities that cell wants to the UE to support. While it does make sense to have the UE bar the cell if the UE cannot meet the capability requirements of the cell, for the RedCap case, this needs to be revisited.</w:t>
      </w:r>
    </w:p>
    <w:p w14:paraId="48D74A25" w14:textId="3A2487D8" w:rsidR="003109F6" w:rsidRDefault="003109F6" w:rsidP="003109F6">
      <w:pPr>
        <w:jc w:val="both"/>
        <w:rPr>
          <w:iCs/>
          <w:lang w:val="en-US"/>
        </w:rPr>
      </w:pPr>
      <w:r>
        <w:rPr>
          <w:iCs/>
          <w:lang w:val="en-US"/>
        </w:rPr>
        <w:t xml:space="preserve">In this short paper, we provide reasons for allowing </w:t>
      </w:r>
      <w:r w:rsidR="00AD36A2">
        <w:rPr>
          <w:iCs/>
          <w:lang w:val="en-US"/>
        </w:rPr>
        <w:t>such RedCap UEs to camp on ‘any cell’ state in the urgent cases where the UE needs to offer emergency call services to the user</w:t>
      </w:r>
      <w:r>
        <w:rPr>
          <w:iCs/>
          <w:lang w:val="en-US"/>
        </w:rPr>
        <w:t>.</w:t>
      </w:r>
    </w:p>
    <w:p w14:paraId="2DC958A9" w14:textId="318D5979" w:rsidR="00C93081" w:rsidRPr="00F25D75" w:rsidRDefault="003C1DEF" w:rsidP="00C93081">
      <w:pPr>
        <w:pStyle w:val="Heading1"/>
        <w:rPr>
          <w:lang w:val="en-US"/>
        </w:rPr>
      </w:pPr>
      <w:r>
        <w:rPr>
          <w:lang w:val="en-US"/>
        </w:rPr>
        <w:t>Discussion</w:t>
      </w:r>
    </w:p>
    <w:p w14:paraId="03A36FBA" w14:textId="079D904B" w:rsidR="00DA6383" w:rsidRDefault="00004870" w:rsidP="00946A59">
      <w:pPr>
        <w:pStyle w:val="Heading2"/>
        <w:rPr>
          <w:lang w:val="en-US"/>
        </w:rPr>
      </w:pPr>
      <w:r>
        <w:rPr>
          <w:lang w:val="en-US"/>
        </w:rPr>
        <w:t>Background</w:t>
      </w:r>
      <w:r w:rsidR="00AD36A2">
        <w:rPr>
          <w:lang w:val="en-US"/>
        </w:rPr>
        <w:t xml:space="preserve"> on UE barring the </w:t>
      </w:r>
      <w:proofErr w:type="gramStart"/>
      <w:r w:rsidR="00AD36A2">
        <w:rPr>
          <w:lang w:val="en-US"/>
        </w:rPr>
        <w:t>cell</w:t>
      </w:r>
      <w:proofErr w:type="gramEnd"/>
      <w:r w:rsidR="00D84C6E">
        <w:rPr>
          <w:lang w:val="en-US"/>
        </w:rPr>
        <w:t xml:space="preserve"> </w:t>
      </w:r>
    </w:p>
    <w:p w14:paraId="4985DC6C" w14:textId="5152BA6B" w:rsidR="00004870" w:rsidRDefault="00AD36A2" w:rsidP="00EF44B2">
      <w:pPr>
        <w:jc w:val="both"/>
        <w:rPr>
          <w:lang w:val="en-US"/>
        </w:rPr>
      </w:pPr>
      <w:r>
        <w:rPr>
          <w:lang w:val="en-US"/>
        </w:rPr>
        <w:t xml:space="preserve">Traditionally RAN2 implemented the concept of UE barring the </w:t>
      </w:r>
      <w:r w:rsidR="00064A2C">
        <w:rPr>
          <w:lang w:val="en-US"/>
        </w:rPr>
        <w:t xml:space="preserve">NR </w:t>
      </w:r>
      <w:r>
        <w:rPr>
          <w:lang w:val="en-US"/>
        </w:rPr>
        <w:t>cell</w:t>
      </w:r>
      <w:r w:rsidR="00064A2C">
        <w:rPr>
          <w:lang w:val="en-US"/>
        </w:rPr>
        <w:t xml:space="preserve"> (which is functional and serving other UEs)</w:t>
      </w:r>
      <w:r>
        <w:rPr>
          <w:lang w:val="en-US"/>
        </w:rPr>
        <w:t xml:space="preserve"> in case the UE does not support some “minimum” radio access capabilities that the UE needs to have implemented, </w:t>
      </w:r>
      <w:proofErr w:type="gramStart"/>
      <w:r>
        <w:rPr>
          <w:lang w:val="en-US"/>
        </w:rPr>
        <w:t>in order to</w:t>
      </w:r>
      <w:proofErr w:type="gramEnd"/>
      <w:r>
        <w:rPr>
          <w:lang w:val="en-US"/>
        </w:rPr>
        <w:t xml:space="preserve"> sustain a call with that NR cell</w:t>
      </w:r>
      <w:r w:rsidR="003109F6">
        <w:rPr>
          <w:lang w:val="en-US"/>
        </w:rPr>
        <w:t>.</w:t>
      </w:r>
      <w:r>
        <w:rPr>
          <w:lang w:val="en-US"/>
        </w:rPr>
        <w:t xml:space="preserve"> The driving reason behind this is that if the UE cannot support these minimum capabilities, the UE cannot get into CONNECTED mode and maintain this state with the cell.</w:t>
      </w:r>
      <w:r w:rsidR="00365344">
        <w:rPr>
          <w:lang w:val="en-US"/>
        </w:rPr>
        <w:t xml:space="preserve"> Some of the parameters that are considered here are the support of channel bandwidth by the UE, or the support of a particular sub-carrier spacing etc., where many of these are evaluated on the UE support for both uplink and downlink directions.</w:t>
      </w:r>
    </w:p>
    <w:p w14:paraId="2F774FDE" w14:textId="371043B1" w:rsidR="00AD36A2" w:rsidRDefault="00AD36A2" w:rsidP="00EF44B2">
      <w:pPr>
        <w:jc w:val="both"/>
        <w:rPr>
          <w:lang w:val="en-US"/>
        </w:rPr>
      </w:pPr>
      <w:r>
        <w:rPr>
          <w:lang w:val="en-US"/>
        </w:rPr>
        <w:t>Correspondingly, even in the case of emergency call, the UE is not expected to try placing the call in these UE barred cells.</w:t>
      </w:r>
    </w:p>
    <w:tbl>
      <w:tblPr>
        <w:tblStyle w:val="TableGrid"/>
        <w:tblW w:w="0" w:type="auto"/>
        <w:tblLook w:val="04A0" w:firstRow="1" w:lastRow="0" w:firstColumn="1" w:lastColumn="0" w:noHBand="0" w:noVBand="1"/>
      </w:tblPr>
      <w:tblGrid>
        <w:gridCol w:w="9350"/>
      </w:tblGrid>
      <w:tr w:rsidR="00D84C6E" w14:paraId="4444CD9C" w14:textId="77777777" w:rsidTr="00D84C6E">
        <w:tc>
          <w:tcPr>
            <w:tcW w:w="9350" w:type="dxa"/>
          </w:tcPr>
          <w:p w14:paraId="0D1E73D2" w14:textId="25B67F35" w:rsidR="00D84C6E" w:rsidRDefault="00064A2C" w:rsidP="00AD36A2">
            <w:pPr>
              <w:jc w:val="both"/>
              <w:rPr>
                <w:lang w:val="en-US"/>
              </w:rPr>
            </w:pPr>
            <w:r>
              <w:rPr>
                <w:lang w:val="en-US"/>
              </w:rPr>
              <w:t>TS 38.304 sec 5.3.1</w:t>
            </w:r>
          </w:p>
          <w:p w14:paraId="644E008D" w14:textId="77777777" w:rsidR="00064A2C" w:rsidRPr="00426903" w:rsidRDefault="00064A2C" w:rsidP="00064A2C">
            <w:r w:rsidRPr="00426903">
              <w:t xml:space="preserve">When cell status "barred" is indicated or </w:t>
            </w:r>
            <w:r w:rsidRPr="00064A2C">
              <w:rPr>
                <w:highlight w:val="yellow"/>
              </w:rPr>
              <w:t>to be treated as if the cell status is "barred",</w:t>
            </w:r>
          </w:p>
          <w:p w14:paraId="1F780315" w14:textId="77777777" w:rsidR="00064A2C" w:rsidRPr="00426903" w:rsidRDefault="00064A2C" w:rsidP="00064A2C">
            <w:pPr>
              <w:pStyle w:val="B1"/>
            </w:pPr>
            <w:r w:rsidRPr="00426903">
              <w:t>-</w:t>
            </w:r>
            <w:r w:rsidRPr="00426903">
              <w:tab/>
              <w:t xml:space="preserve">The UE is not permitted to select/reselect this cell, </w:t>
            </w:r>
            <w:r w:rsidRPr="00064A2C">
              <w:rPr>
                <w:highlight w:val="yellow"/>
              </w:rPr>
              <w:t>not even for emergency calls.</w:t>
            </w:r>
          </w:p>
          <w:p w14:paraId="5A1AF8A5" w14:textId="77777777" w:rsidR="00064A2C" w:rsidRPr="00426903" w:rsidRDefault="00064A2C" w:rsidP="00064A2C">
            <w:pPr>
              <w:pStyle w:val="B1"/>
            </w:pPr>
            <w:r w:rsidRPr="00426903">
              <w:t>-</w:t>
            </w:r>
            <w:r w:rsidRPr="00426903">
              <w:tab/>
              <w:t>The UE shall select another cell according to the following rule:</w:t>
            </w:r>
          </w:p>
          <w:p w14:paraId="57C1BEBC" w14:textId="77777777" w:rsidR="00064A2C" w:rsidRPr="00426903" w:rsidRDefault="00064A2C" w:rsidP="00064A2C">
            <w:pPr>
              <w:pStyle w:val="B1"/>
            </w:pPr>
            <w:r w:rsidRPr="00426903">
              <w:t>-</w:t>
            </w:r>
            <w:r w:rsidRPr="00426903">
              <w:tab/>
              <w:t xml:space="preserve">If the cell is to be treated as if the cell status is "barred" due to being unable to acquire the </w:t>
            </w:r>
            <w:r w:rsidRPr="00426903">
              <w:rPr>
                <w:i/>
              </w:rPr>
              <w:t>MIB</w:t>
            </w:r>
            <w:r w:rsidRPr="00426903">
              <w:t>:</w:t>
            </w:r>
          </w:p>
          <w:p w14:paraId="3EBF289C" w14:textId="77777777" w:rsidR="00064A2C" w:rsidRPr="00426903" w:rsidRDefault="00064A2C" w:rsidP="00064A2C">
            <w:pPr>
              <w:pStyle w:val="B2"/>
            </w:pPr>
            <w:r w:rsidRPr="00426903">
              <w:t>-</w:t>
            </w:r>
            <w:r w:rsidRPr="00426903">
              <w:tab/>
              <w:t>the UE may exclude the barred cell as a candidate for cell selection/reselection for up to 300 seconds.</w:t>
            </w:r>
          </w:p>
          <w:p w14:paraId="4685BB3E" w14:textId="77777777" w:rsidR="00064A2C" w:rsidRPr="00426903" w:rsidRDefault="00064A2C" w:rsidP="00064A2C">
            <w:pPr>
              <w:pStyle w:val="B2"/>
            </w:pPr>
            <w:r w:rsidRPr="00426903">
              <w:t>-</w:t>
            </w:r>
            <w:r w:rsidRPr="00426903">
              <w:tab/>
              <w:t>the UE may select another cell on the same frequency if the selection criteria are fulfilled.</w:t>
            </w:r>
          </w:p>
          <w:p w14:paraId="1E3A791B" w14:textId="5A22A77B" w:rsidR="00064A2C" w:rsidRDefault="00064A2C" w:rsidP="00AD36A2">
            <w:pPr>
              <w:jc w:val="both"/>
              <w:rPr>
                <w:lang w:val="en-US"/>
              </w:rPr>
            </w:pPr>
          </w:p>
        </w:tc>
      </w:tr>
    </w:tbl>
    <w:p w14:paraId="398D8C1C" w14:textId="77777777" w:rsidR="00D84C6E" w:rsidRDefault="00D84C6E" w:rsidP="00EF44B2">
      <w:pPr>
        <w:jc w:val="both"/>
        <w:rPr>
          <w:lang w:val="en-US"/>
        </w:rPr>
      </w:pPr>
    </w:p>
    <w:p w14:paraId="2C1F2C32" w14:textId="24ACCF57" w:rsidR="00AD36A2" w:rsidRPr="00064A2C" w:rsidRDefault="00AD36A2" w:rsidP="00EF44B2">
      <w:pPr>
        <w:jc w:val="both"/>
        <w:rPr>
          <w:b/>
          <w:bCs/>
          <w:lang w:val="en-US"/>
        </w:rPr>
      </w:pPr>
      <w:r w:rsidRPr="00064A2C">
        <w:rPr>
          <w:b/>
          <w:bCs/>
          <w:lang w:val="en-US"/>
        </w:rPr>
        <w:lastRenderedPageBreak/>
        <w:t xml:space="preserve">Observation 1: </w:t>
      </w:r>
      <w:r w:rsidR="00064A2C" w:rsidRPr="00064A2C">
        <w:rPr>
          <w:b/>
          <w:bCs/>
          <w:lang w:val="en-US"/>
        </w:rPr>
        <w:t xml:space="preserve">Driving reason behind RAN2’s intention of UE barring a functional </w:t>
      </w:r>
      <w:r w:rsidR="00064A2C">
        <w:rPr>
          <w:b/>
          <w:bCs/>
          <w:lang w:val="en-US"/>
        </w:rPr>
        <w:t>cell (</w:t>
      </w:r>
      <w:proofErr w:type="spellStart"/>
      <w:r w:rsidR="00064A2C">
        <w:rPr>
          <w:b/>
          <w:bCs/>
          <w:lang w:val="en-US"/>
        </w:rPr>
        <w:t>i.e</w:t>
      </w:r>
      <w:proofErr w:type="spellEnd"/>
      <w:r w:rsidR="00064A2C">
        <w:rPr>
          <w:b/>
          <w:bCs/>
          <w:lang w:val="en-US"/>
        </w:rPr>
        <w:t>,</w:t>
      </w:r>
      <w:r w:rsidR="00064A2C" w:rsidRPr="00064A2C">
        <w:rPr>
          <w:b/>
          <w:bCs/>
          <w:lang w:val="en-US"/>
        </w:rPr>
        <w:t xml:space="preserve"> serving other UEs</w:t>
      </w:r>
      <w:r w:rsidR="00064A2C">
        <w:rPr>
          <w:b/>
          <w:bCs/>
          <w:lang w:val="en-US"/>
        </w:rPr>
        <w:t>)</w:t>
      </w:r>
      <w:r w:rsidR="00064A2C" w:rsidRPr="00064A2C">
        <w:rPr>
          <w:b/>
          <w:bCs/>
          <w:lang w:val="en-US"/>
        </w:rPr>
        <w:t xml:space="preserve"> if it cannot support the SIB1 broadcasted requirements (for </w:t>
      </w:r>
      <w:proofErr w:type="spellStart"/>
      <w:r w:rsidR="00064A2C" w:rsidRPr="00064A2C">
        <w:rPr>
          <w:b/>
          <w:bCs/>
          <w:lang w:val="en-US"/>
        </w:rPr>
        <w:t>eg.</w:t>
      </w:r>
      <w:proofErr w:type="spellEnd"/>
      <w:r w:rsidR="00064A2C" w:rsidRPr="00064A2C">
        <w:rPr>
          <w:b/>
          <w:bCs/>
          <w:lang w:val="en-US"/>
        </w:rPr>
        <w:t xml:space="preserve">, CH BW, SCS support </w:t>
      </w:r>
      <w:proofErr w:type="spellStart"/>
      <w:r w:rsidR="00064A2C" w:rsidRPr="00064A2C">
        <w:rPr>
          <w:b/>
          <w:bCs/>
          <w:lang w:val="en-US"/>
        </w:rPr>
        <w:t>etc</w:t>
      </w:r>
      <w:proofErr w:type="spellEnd"/>
      <w:r w:rsidR="00064A2C" w:rsidRPr="00064A2C">
        <w:rPr>
          <w:b/>
          <w:bCs/>
          <w:lang w:val="en-US"/>
        </w:rPr>
        <w:t>) is that the UE cannot sustain a CONNECTED mode call with the NW in case the UE does not support these.</w:t>
      </w:r>
    </w:p>
    <w:p w14:paraId="68234813" w14:textId="0C53DEB3" w:rsidR="00AD36A2" w:rsidRPr="00AD36A2" w:rsidRDefault="00AD36A2" w:rsidP="00AD36A2">
      <w:pPr>
        <w:pStyle w:val="Heading2"/>
        <w:rPr>
          <w:lang w:val="en-US"/>
        </w:rPr>
      </w:pPr>
      <w:r>
        <w:rPr>
          <w:lang w:val="en-US"/>
        </w:rPr>
        <w:t xml:space="preserve">Changed dynamics with </w:t>
      </w:r>
      <w:proofErr w:type="gramStart"/>
      <w:r>
        <w:rPr>
          <w:lang w:val="en-US"/>
        </w:rPr>
        <w:t>RedCap</w:t>
      </w:r>
      <w:proofErr w:type="gramEnd"/>
      <w:r>
        <w:rPr>
          <w:lang w:val="en-US"/>
        </w:rPr>
        <w:t xml:space="preserve"> </w:t>
      </w:r>
    </w:p>
    <w:p w14:paraId="6DEFD41B" w14:textId="7E02C007" w:rsidR="00DA264D" w:rsidRDefault="00AD36A2" w:rsidP="00EF44B2">
      <w:pPr>
        <w:jc w:val="both"/>
        <w:rPr>
          <w:lang w:val="en-US"/>
        </w:rPr>
      </w:pPr>
      <w:r>
        <w:rPr>
          <w:lang w:val="en-US"/>
        </w:rPr>
        <w:t xml:space="preserve">The earlier assumption (from observation 1 in sec 2.1) does not hold very well with the evolution of NR through releases 16 and 17. Specially with the introduction of RedCap devices in Rel-17, the mechanism of UE barring the cell is now used to prevent the UE from accessing a cell that does not/have not implemented some of the features. In other cases, the UE barring the cell is used to prevent certain UEs which may not be efficient in operating in the cell. </w:t>
      </w:r>
    </w:p>
    <w:p w14:paraId="39CFB158" w14:textId="25F79454" w:rsidR="00AD36A2" w:rsidRDefault="00AD36A2" w:rsidP="00EF44B2">
      <w:pPr>
        <w:jc w:val="both"/>
        <w:rPr>
          <w:lang w:val="en-US"/>
        </w:rPr>
      </w:pPr>
      <w:r>
        <w:rPr>
          <w:lang w:val="en-US"/>
        </w:rPr>
        <w:t>In other words, the UE barring the cell concept is now used for other purposes like enabling the NR cell to allow/not allow certain type of UEs based on the NW implementation or based on the efficiency of allowing/not allowing certain UEs.</w:t>
      </w:r>
    </w:p>
    <w:p w14:paraId="30D0A400" w14:textId="77777777" w:rsidR="007E063C" w:rsidRDefault="007E063C" w:rsidP="007E063C">
      <w:pPr>
        <w:jc w:val="both"/>
        <w:rPr>
          <w:lang w:val="en-US"/>
        </w:rPr>
      </w:pPr>
      <w:r>
        <w:rPr>
          <w:lang w:val="en-US"/>
        </w:rPr>
        <w:t xml:space="preserve">We do note that cell barring due to other “situations” in the NW (for </w:t>
      </w:r>
      <w:proofErr w:type="spellStart"/>
      <w:r>
        <w:rPr>
          <w:lang w:val="en-US"/>
        </w:rPr>
        <w:t>eg.</w:t>
      </w:r>
      <w:proofErr w:type="spellEnd"/>
      <w:r>
        <w:rPr>
          <w:lang w:val="en-US"/>
        </w:rPr>
        <w:t>, cell is under maintenance – ‘reserved for operator’) are not considered here, as we are focusing on UE barring the cell based on certain NW ‘</w:t>
      </w:r>
      <w:proofErr w:type="gramStart"/>
      <w:r>
        <w:rPr>
          <w:lang w:val="en-US"/>
        </w:rPr>
        <w:t>filters’</w:t>
      </w:r>
      <w:proofErr w:type="gramEnd"/>
      <w:r>
        <w:rPr>
          <w:lang w:val="en-US"/>
        </w:rPr>
        <w:t>.</w:t>
      </w:r>
    </w:p>
    <w:p w14:paraId="0AB373E7" w14:textId="0BF84360" w:rsidR="002F2145" w:rsidRPr="002F2145" w:rsidRDefault="00365344" w:rsidP="002F2145">
      <w:pPr>
        <w:jc w:val="both"/>
        <w:rPr>
          <w:b/>
          <w:bCs/>
          <w:lang w:val="en-US"/>
        </w:rPr>
      </w:pPr>
      <w:r w:rsidRPr="002F2145">
        <w:rPr>
          <w:b/>
          <w:bCs/>
          <w:lang w:val="en-US"/>
        </w:rPr>
        <w:t>Observation 2:</w:t>
      </w:r>
      <w:r w:rsidR="002F2145" w:rsidRPr="002F2145">
        <w:rPr>
          <w:b/>
          <w:bCs/>
          <w:lang w:val="en-US"/>
        </w:rPr>
        <w:t xml:space="preserve"> The UE barring the cell concept is </w:t>
      </w:r>
      <w:r w:rsidR="002F2145" w:rsidRPr="002F2145">
        <w:rPr>
          <w:b/>
          <w:bCs/>
          <w:highlight w:val="yellow"/>
          <w:lang w:val="en-US"/>
        </w:rPr>
        <w:t>also</w:t>
      </w:r>
      <w:r w:rsidR="002F2145" w:rsidRPr="002F2145">
        <w:rPr>
          <w:b/>
          <w:bCs/>
          <w:lang w:val="en-US"/>
        </w:rPr>
        <w:t xml:space="preserve"> used for other purposes like enabling the NR cell to allow/not allow certain type of UEs based on the NW implementation or based on the system efficiency of allowing/not allowing certain UEs.</w:t>
      </w:r>
    </w:p>
    <w:p w14:paraId="27E36AD5" w14:textId="4684C86A" w:rsidR="00365344" w:rsidRDefault="00365344" w:rsidP="00EF44B2">
      <w:pPr>
        <w:jc w:val="both"/>
        <w:rPr>
          <w:lang w:val="en-US"/>
        </w:rPr>
      </w:pPr>
      <w:r>
        <w:rPr>
          <w:lang w:val="en-US"/>
        </w:rPr>
        <w:t>While we agree with this (after all, this has been standardized in NR), we think this line of reasoning needs to be revisited in ‘special’ cases where it is very useful (and in some cases, very likely a regulatory requirement) to allow the UE to access the UE barred cell.</w:t>
      </w:r>
    </w:p>
    <w:p w14:paraId="53AF5AC8" w14:textId="2651EBCF" w:rsidR="00365344" w:rsidRDefault="00365344" w:rsidP="00EF44B2">
      <w:pPr>
        <w:jc w:val="both"/>
        <w:rPr>
          <w:lang w:val="en-US"/>
        </w:rPr>
      </w:pPr>
      <w:r>
        <w:rPr>
          <w:lang w:val="en-US"/>
        </w:rPr>
        <w:t xml:space="preserve">For us the prime use-case is the handling of emergency call in RedCap UEs which offer voice services to the user. In cases where the current UE capability </w:t>
      </w:r>
      <w:proofErr w:type="gramStart"/>
      <w:r>
        <w:rPr>
          <w:lang w:val="en-US"/>
        </w:rPr>
        <w:t xml:space="preserve">is </w:t>
      </w:r>
      <w:r w:rsidR="002F2145">
        <w:rPr>
          <w:lang w:val="en-US"/>
        </w:rPr>
        <w:t>“</w:t>
      </w:r>
      <w:r>
        <w:rPr>
          <w:lang w:val="en-US"/>
        </w:rPr>
        <w:t>able</w:t>
      </w:r>
      <w:r w:rsidR="002F2145">
        <w:rPr>
          <w:lang w:val="en-US"/>
        </w:rPr>
        <w:t>”</w:t>
      </w:r>
      <w:r>
        <w:rPr>
          <w:lang w:val="en-US"/>
        </w:rPr>
        <w:t xml:space="preserve"> to</w:t>
      </w:r>
      <w:proofErr w:type="gramEnd"/>
      <w:r>
        <w:rPr>
          <w:lang w:val="en-US"/>
        </w:rPr>
        <w:t xml:space="preserve"> sustain a voice call with the cell (assuming that the cell can support this with this UE), we think that this RedCap UE accessing the NR cell in ‘camped any cell</w:t>
      </w:r>
      <w:r w:rsidR="002F2145">
        <w:rPr>
          <w:lang w:val="en-US"/>
        </w:rPr>
        <w:t xml:space="preserve"> selection</w:t>
      </w:r>
      <w:r>
        <w:rPr>
          <w:lang w:val="en-US"/>
        </w:rPr>
        <w:t xml:space="preserve">’ state for initiating the emergency call, should be allowed. </w:t>
      </w:r>
    </w:p>
    <w:p w14:paraId="2BE49874" w14:textId="5E2B6B21" w:rsidR="009D3030" w:rsidRPr="00AD36A2" w:rsidRDefault="009D3030" w:rsidP="009D3030">
      <w:pPr>
        <w:pStyle w:val="Heading2"/>
        <w:rPr>
          <w:lang w:val="en-US"/>
        </w:rPr>
      </w:pPr>
      <w:r>
        <w:rPr>
          <w:lang w:val="en-US"/>
        </w:rPr>
        <w:t>Further evaluation of handling EM calls</w:t>
      </w:r>
    </w:p>
    <w:p w14:paraId="34EEC239" w14:textId="32DC4D2F" w:rsidR="009D3030" w:rsidRPr="00697F95" w:rsidRDefault="009D3030" w:rsidP="00EF44B2">
      <w:pPr>
        <w:jc w:val="both"/>
        <w:rPr>
          <w:lang w:val="en-US"/>
        </w:rPr>
      </w:pPr>
      <w:r>
        <w:rPr>
          <w:lang w:val="en-US"/>
        </w:rPr>
        <w:t xml:space="preserve">Let’s dive a bit further on why a 3GPP RAN2 discussion would be helpful for this situation. We list the below </w:t>
      </w:r>
      <w:r w:rsidRPr="00697F95">
        <w:rPr>
          <w:lang w:val="en-US"/>
        </w:rPr>
        <w:t>observations:</w:t>
      </w:r>
    </w:p>
    <w:p w14:paraId="39D394AF" w14:textId="71CB575C" w:rsidR="00365344" w:rsidRPr="00697F95" w:rsidRDefault="00365344" w:rsidP="00EF44B2">
      <w:pPr>
        <w:jc w:val="both"/>
        <w:rPr>
          <w:b/>
          <w:bCs/>
          <w:lang w:val="en-US"/>
        </w:rPr>
      </w:pPr>
      <w:r w:rsidRPr="00697F95">
        <w:rPr>
          <w:b/>
          <w:bCs/>
          <w:lang w:val="en-US"/>
        </w:rPr>
        <w:t>Observation 3:</w:t>
      </w:r>
      <w:r w:rsidR="009D3030" w:rsidRPr="00697F95">
        <w:rPr>
          <w:b/>
          <w:bCs/>
          <w:lang w:val="en-US"/>
        </w:rPr>
        <w:t xml:space="preserve"> While it is possible for a RedCap UE which had to bar the current RedCap supporting NR cell (as the UE could not support the cell required RedCap specific capabilities), </w:t>
      </w:r>
      <w:r w:rsidR="009D3030" w:rsidRPr="00697F95">
        <w:rPr>
          <w:b/>
          <w:bCs/>
          <w:highlight w:val="yellow"/>
          <w:lang w:val="en-US"/>
        </w:rPr>
        <w:t>to “artificially” advertise</w:t>
      </w:r>
      <w:r w:rsidR="009D3030" w:rsidRPr="00697F95">
        <w:rPr>
          <w:b/>
          <w:bCs/>
          <w:lang w:val="en-US"/>
        </w:rPr>
        <w:t xml:space="preserve"> the NW required capabilities – just for the purpose of placing the emergency call,  it creates a mis-match at the NW in terms of what the NW thinks the UE supports vs what the UE actually supports, which can result in the call getting dropped!</w:t>
      </w:r>
    </w:p>
    <w:p w14:paraId="1169920B" w14:textId="3909E87A" w:rsidR="009D3030" w:rsidRPr="00697F95" w:rsidRDefault="009D3030" w:rsidP="009D3030">
      <w:pPr>
        <w:jc w:val="both"/>
        <w:rPr>
          <w:b/>
          <w:bCs/>
          <w:lang w:val="en-US"/>
        </w:rPr>
      </w:pPr>
      <w:r w:rsidRPr="00697F95">
        <w:rPr>
          <w:b/>
          <w:bCs/>
          <w:lang w:val="en-US"/>
        </w:rPr>
        <w:t xml:space="preserve">Observation 4: While the UE can try to find a suitable/acceptable cell </w:t>
      </w:r>
      <w:r w:rsidRPr="00697F95">
        <w:rPr>
          <w:b/>
          <w:bCs/>
          <w:highlight w:val="yellow"/>
          <w:lang w:val="en-US"/>
        </w:rPr>
        <w:t>in NR</w:t>
      </w:r>
      <w:r w:rsidRPr="00697F95">
        <w:rPr>
          <w:b/>
          <w:bCs/>
          <w:lang w:val="en-US"/>
        </w:rPr>
        <w:t>,  (and possibly advertise itself as a non-RedCap UE just to get the emergency call to go through), we run the risk of observation 3 – a mis-match between what the NW thinks the UE supports vs what the UE supports, and the risk is even more with this approach, as the likelihood of using a &gt;20MHz BW for a BWP is pretty high!</w:t>
      </w:r>
    </w:p>
    <w:p w14:paraId="4C64B938" w14:textId="7E0ED4A4" w:rsidR="009D3030" w:rsidRPr="00697F95" w:rsidRDefault="009D3030" w:rsidP="00697F95">
      <w:pPr>
        <w:jc w:val="both"/>
        <w:rPr>
          <w:b/>
          <w:bCs/>
          <w:lang w:val="en-US"/>
        </w:rPr>
      </w:pPr>
      <w:r w:rsidRPr="00697F95">
        <w:rPr>
          <w:b/>
          <w:bCs/>
          <w:lang w:val="en-US"/>
        </w:rPr>
        <w:t>Observation 5: While the UE can try to find a suitable cell in LTE (one can argue that LTE coverage should be available more widespread than RedCap support)</w:t>
      </w:r>
      <w:r w:rsidR="00697F95" w:rsidRPr="00697F95">
        <w:rPr>
          <w:b/>
          <w:bCs/>
          <w:lang w:val="en-US"/>
        </w:rPr>
        <w:t>, and we do have the advantage of limiting the BW to 20MHz (or less), this means that we are indirectly nudging the UE to perform IRAT selection for handling EM call, and also, we would be not addressing the case where the UE couldn’t find an acceptable cell in LTE! – cases where the current NR cell on which the UE has campe</w:t>
      </w:r>
      <w:r w:rsidR="00E91BD8">
        <w:rPr>
          <w:b/>
          <w:bCs/>
          <w:lang w:val="en-US"/>
        </w:rPr>
        <w:t>d</w:t>
      </w:r>
      <w:r w:rsidR="00697F95" w:rsidRPr="00697F95">
        <w:rPr>
          <w:b/>
          <w:bCs/>
          <w:lang w:val="en-US"/>
        </w:rPr>
        <w:t xml:space="preserve"> on ‘any cell selection’ state is better and can be used!</w:t>
      </w:r>
    </w:p>
    <w:p w14:paraId="13FBCF21" w14:textId="1A00A4D2" w:rsidR="00365344" w:rsidRDefault="00365344" w:rsidP="00EF44B2">
      <w:pPr>
        <w:jc w:val="both"/>
        <w:rPr>
          <w:lang w:val="en-US"/>
        </w:rPr>
      </w:pPr>
      <w:r>
        <w:rPr>
          <w:lang w:val="en-US"/>
        </w:rPr>
        <w:t xml:space="preserve">We understand that </w:t>
      </w:r>
      <w:proofErr w:type="gramStart"/>
      <w:r>
        <w:rPr>
          <w:lang w:val="en-US"/>
        </w:rPr>
        <w:t>opening up</w:t>
      </w:r>
      <w:proofErr w:type="gramEnd"/>
      <w:r>
        <w:rPr>
          <w:lang w:val="en-US"/>
        </w:rPr>
        <w:t xml:space="preserve"> the UE barring cell logic would create discussions and compatibility issues, and we intend to minimize the discussion. </w:t>
      </w:r>
      <w:proofErr w:type="gramStart"/>
      <w:r>
        <w:rPr>
          <w:lang w:val="en-US"/>
        </w:rPr>
        <w:t>So</w:t>
      </w:r>
      <w:proofErr w:type="gramEnd"/>
      <w:r>
        <w:rPr>
          <w:lang w:val="en-US"/>
        </w:rPr>
        <w:t xml:space="preserve"> we want to narrow this to the only case of 1Rx/2Rx incompatibility for the below reasons:</w:t>
      </w:r>
    </w:p>
    <w:p w14:paraId="7C337585" w14:textId="77777777" w:rsidR="00365344" w:rsidRDefault="00365344" w:rsidP="00365344">
      <w:pPr>
        <w:pStyle w:val="ListParagraph"/>
        <w:numPr>
          <w:ilvl w:val="0"/>
          <w:numId w:val="24"/>
        </w:numPr>
        <w:jc w:val="both"/>
        <w:rPr>
          <w:lang w:val="en-US"/>
        </w:rPr>
      </w:pPr>
      <w:r>
        <w:rPr>
          <w:lang w:val="en-US"/>
        </w:rPr>
        <w:lastRenderedPageBreak/>
        <w:t xml:space="preserve">Both UE and the NW are expected to sustain a call with the minimal 1Rx support from the UE, </w:t>
      </w:r>
      <w:proofErr w:type="spellStart"/>
      <w:r>
        <w:rPr>
          <w:lang w:val="en-US"/>
        </w:rPr>
        <w:t>atleast</w:t>
      </w:r>
      <w:proofErr w:type="spellEnd"/>
      <w:r>
        <w:rPr>
          <w:lang w:val="en-US"/>
        </w:rPr>
        <w:t xml:space="preserve"> for providing voice services </w:t>
      </w:r>
      <w:proofErr w:type="gramStart"/>
      <w:r>
        <w:rPr>
          <w:lang w:val="en-US"/>
        </w:rPr>
        <w:t xml:space="preserve">( </w:t>
      </w:r>
      <w:proofErr w:type="spellStart"/>
      <w:r>
        <w:rPr>
          <w:lang w:val="en-US"/>
        </w:rPr>
        <w:t>i.e</w:t>
      </w:r>
      <w:proofErr w:type="spellEnd"/>
      <w:proofErr w:type="gramEnd"/>
      <w:r>
        <w:rPr>
          <w:lang w:val="en-US"/>
        </w:rPr>
        <w:t>, low data rate IMS call).</w:t>
      </w:r>
    </w:p>
    <w:p w14:paraId="3D66D1F3" w14:textId="77777777" w:rsidR="00365344" w:rsidRDefault="00365344" w:rsidP="00365344">
      <w:pPr>
        <w:pStyle w:val="ListParagraph"/>
        <w:numPr>
          <w:ilvl w:val="0"/>
          <w:numId w:val="24"/>
        </w:numPr>
        <w:jc w:val="both"/>
        <w:rPr>
          <w:lang w:val="en-US"/>
        </w:rPr>
      </w:pPr>
      <w:r>
        <w:rPr>
          <w:lang w:val="en-US"/>
        </w:rPr>
        <w:t>While it has been contentious among the 3GPP community on the 1Rx/2Rx support from the devices, the discussion has been on the loss of performance in allowing such UEs and for emergency call, the metric of efficiency is not as important as the ability to allow the user to access the emergency voice service.</w:t>
      </w:r>
    </w:p>
    <w:p w14:paraId="5F3F938B" w14:textId="49D3E3FD" w:rsidR="00365344" w:rsidRPr="00365344" w:rsidRDefault="00365344" w:rsidP="00365344">
      <w:pPr>
        <w:pStyle w:val="ListParagraph"/>
        <w:numPr>
          <w:ilvl w:val="1"/>
          <w:numId w:val="24"/>
        </w:numPr>
        <w:jc w:val="both"/>
        <w:rPr>
          <w:lang w:val="en-US"/>
        </w:rPr>
      </w:pPr>
      <w:r>
        <w:rPr>
          <w:lang w:val="en-US"/>
        </w:rPr>
        <w:t>Also, the occurrence of such calls should be very low, to factor in the inefficiency.</w:t>
      </w:r>
    </w:p>
    <w:p w14:paraId="1EE1128C" w14:textId="77777777" w:rsidR="001F2E2A" w:rsidRDefault="00880FF8" w:rsidP="001F2E2A">
      <w:pPr>
        <w:jc w:val="both"/>
        <w:rPr>
          <w:b/>
          <w:bCs/>
          <w:lang w:val="en-US"/>
        </w:rPr>
      </w:pPr>
      <w:r w:rsidRPr="00697F95">
        <w:rPr>
          <w:b/>
          <w:bCs/>
          <w:lang w:val="en-US"/>
        </w:rPr>
        <w:t xml:space="preserve">Observation </w:t>
      </w:r>
      <w:r w:rsidR="00697F95" w:rsidRPr="00697F95">
        <w:rPr>
          <w:b/>
          <w:bCs/>
          <w:lang w:val="en-US"/>
        </w:rPr>
        <w:t>6</w:t>
      </w:r>
      <w:r w:rsidRPr="00697F95">
        <w:rPr>
          <w:b/>
          <w:bCs/>
          <w:lang w:val="en-US"/>
        </w:rPr>
        <w:t>:</w:t>
      </w:r>
      <w:r w:rsidR="00697F95" w:rsidRPr="00697F95">
        <w:rPr>
          <w:b/>
          <w:bCs/>
          <w:lang w:val="en-US"/>
        </w:rPr>
        <w:t xml:space="preserve"> To limit the impact on the specification and implementation, we can limit the cases where the RedCap UE can be allowed to use the NR cell only to one where the UE could not satisfy the 1Rx/2Rx SIB1 requirement as broadcasted in the SIB1 of the RedCap supporting NR Cell.</w:t>
      </w:r>
      <w:r w:rsidR="001F2E2A">
        <w:rPr>
          <w:b/>
          <w:bCs/>
          <w:lang w:val="en-US"/>
        </w:rPr>
        <w:t xml:space="preserve"> </w:t>
      </w:r>
    </w:p>
    <w:p w14:paraId="127C20A5" w14:textId="129FA70A" w:rsidR="001F2E2A" w:rsidRPr="001F2E2A" w:rsidRDefault="001F2E2A" w:rsidP="001F2E2A">
      <w:pPr>
        <w:ind w:left="284"/>
        <w:jc w:val="both"/>
        <w:rPr>
          <w:b/>
          <w:bCs/>
          <w:lang w:val="en-US"/>
        </w:rPr>
      </w:pPr>
      <w:r>
        <w:rPr>
          <w:b/>
          <w:bCs/>
          <w:lang w:val="en-US"/>
        </w:rPr>
        <w:t xml:space="preserve">Observation 6.1: </w:t>
      </w:r>
      <w:r w:rsidRPr="001F2E2A">
        <w:rPr>
          <w:b/>
          <w:bCs/>
          <w:lang w:val="en-US"/>
        </w:rPr>
        <w:t xml:space="preserve">Both UE and the NW are expected to sustain a call with the minimal 1Rx support from the UE, </w:t>
      </w:r>
      <w:proofErr w:type="spellStart"/>
      <w:r w:rsidRPr="001F2E2A">
        <w:rPr>
          <w:b/>
          <w:bCs/>
          <w:lang w:val="en-US"/>
        </w:rPr>
        <w:t>atleast</w:t>
      </w:r>
      <w:proofErr w:type="spellEnd"/>
      <w:r w:rsidRPr="001F2E2A">
        <w:rPr>
          <w:b/>
          <w:bCs/>
          <w:lang w:val="en-US"/>
        </w:rPr>
        <w:t xml:space="preserve"> for providing voice services </w:t>
      </w:r>
      <w:proofErr w:type="gramStart"/>
      <w:r w:rsidRPr="001F2E2A">
        <w:rPr>
          <w:b/>
          <w:bCs/>
          <w:lang w:val="en-US"/>
        </w:rPr>
        <w:t xml:space="preserve">( </w:t>
      </w:r>
      <w:proofErr w:type="spellStart"/>
      <w:r w:rsidRPr="001F2E2A">
        <w:rPr>
          <w:b/>
          <w:bCs/>
          <w:lang w:val="en-US"/>
        </w:rPr>
        <w:t>i.e</w:t>
      </w:r>
      <w:proofErr w:type="spellEnd"/>
      <w:proofErr w:type="gramEnd"/>
      <w:r w:rsidRPr="001F2E2A">
        <w:rPr>
          <w:b/>
          <w:bCs/>
          <w:lang w:val="en-US"/>
        </w:rPr>
        <w:t>, low data rate IMS call).</w:t>
      </w:r>
    </w:p>
    <w:p w14:paraId="578E8B20" w14:textId="74C15FAD" w:rsidR="001F2E2A" w:rsidRPr="001F2E2A" w:rsidRDefault="001F2E2A" w:rsidP="001F2E2A">
      <w:pPr>
        <w:ind w:left="284"/>
        <w:jc w:val="both"/>
        <w:rPr>
          <w:b/>
          <w:bCs/>
          <w:lang w:val="en-US"/>
        </w:rPr>
      </w:pPr>
      <w:r>
        <w:rPr>
          <w:b/>
          <w:bCs/>
          <w:lang w:val="en-US"/>
        </w:rPr>
        <w:t xml:space="preserve">Observation 6.2: Considering the low </w:t>
      </w:r>
      <w:r w:rsidR="00E91BD8">
        <w:rPr>
          <w:b/>
          <w:bCs/>
          <w:lang w:val="en-US"/>
        </w:rPr>
        <w:t>occurrences</w:t>
      </w:r>
      <w:r>
        <w:rPr>
          <w:b/>
          <w:bCs/>
          <w:lang w:val="en-US"/>
        </w:rPr>
        <w:t xml:space="preserve"> of this, </w:t>
      </w:r>
      <w:r w:rsidRPr="001F2E2A">
        <w:rPr>
          <w:b/>
          <w:bCs/>
          <w:lang w:val="en-US"/>
        </w:rPr>
        <w:t xml:space="preserve">the metric of efficiency is not as important as the ability to allow the user to access the emergency voice </w:t>
      </w:r>
      <w:proofErr w:type="gramStart"/>
      <w:r w:rsidRPr="001F2E2A">
        <w:rPr>
          <w:b/>
          <w:bCs/>
          <w:lang w:val="en-US"/>
        </w:rPr>
        <w:t>service</w:t>
      </w:r>
      <w:proofErr w:type="gramEnd"/>
    </w:p>
    <w:p w14:paraId="16F84F7D" w14:textId="6424480D" w:rsidR="00880FF8" w:rsidRDefault="00880FF8" w:rsidP="00EF44B2">
      <w:pPr>
        <w:jc w:val="both"/>
        <w:rPr>
          <w:lang w:val="en-US"/>
        </w:rPr>
      </w:pPr>
      <w:r>
        <w:rPr>
          <w:lang w:val="en-US"/>
        </w:rPr>
        <w:t>Based on the above arguments/reasons, we propose that RAN2 agreed to the below.</w:t>
      </w:r>
    </w:p>
    <w:p w14:paraId="45A270A3" w14:textId="7E01BB85" w:rsidR="00880FF8" w:rsidRPr="00697F95" w:rsidRDefault="00880FF8" w:rsidP="00EF44B2">
      <w:pPr>
        <w:jc w:val="both"/>
        <w:rPr>
          <w:b/>
          <w:bCs/>
          <w:lang w:val="en-US"/>
        </w:rPr>
      </w:pPr>
      <w:r w:rsidRPr="00697F95">
        <w:rPr>
          <w:b/>
          <w:bCs/>
          <w:lang w:val="en-US"/>
        </w:rPr>
        <w:t xml:space="preserve">Proposal 1: </w:t>
      </w:r>
      <w:r w:rsidR="00697F95" w:rsidRPr="00697F95">
        <w:rPr>
          <w:b/>
          <w:bCs/>
          <w:lang w:val="en-US"/>
        </w:rPr>
        <w:t xml:space="preserve">A </w:t>
      </w:r>
      <w:r w:rsidRPr="00697F95">
        <w:rPr>
          <w:b/>
          <w:bCs/>
          <w:lang w:val="en-US"/>
        </w:rPr>
        <w:t xml:space="preserve">RedCap UE </w:t>
      </w:r>
      <w:r w:rsidR="00697F95" w:rsidRPr="00697F95">
        <w:rPr>
          <w:b/>
          <w:bCs/>
          <w:lang w:val="en-US"/>
        </w:rPr>
        <w:t>(</w:t>
      </w:r>
      <w:r w:rsidRPr="00697F95">
        <w:rPr>
          <w:b/>
          <w:bCs/>
          <w:lang w:val="en-US"/>
        </w:rPr>
        <w:t>that provides voice services</w:t>
      </w:r>
      <w:r w:rsidR="00697F95" w:rsidRPr="00697F95">
        <w:rPr>
          <w:b/>
          <w:bCs/>
          <w:lang w:val="en-US"/>
        </w:rPr>
        <w:t xml:space="preserve">) that has considered the RedCap supporting NR cell as barred due to not being able to support the SIB1 broadcasted 1Rx/2Rx requirement (from the IEs </w:t>
      </w:r>
      <w:r w:rsidR="00697F95" w:rsidRPr="00904DA4">
        <w:rPr>
          <w:b/>
          <w:bCs/>
          <w:i/>
          <w:iCs/>
          <w:lang w:val="en-US"/>
        </w:rPr>
        <w:t>cellBarredRedCap1Rx-r17</w:t>
      </w:r>
      <w:r w:rsidR="00697F95" w:rsidRPr="00697F95">
        <w:rPr>
          <w:b/>
          <w:bCs/>
          <w:lang w:val="en-US"/>
        </w:rPr>
        <w:t xml:space="preserve"> and </w:t>
      </w:r>
      <w:r w:rsidR="00697F95" w:rsidRPr="00904DA4">
        <w:rPr>
          <w:b/>
          <w:bCs/>
          <w:i/>
          <w:iCs/>
          <w:lang w:val="en-US"/>
        </w:rPr>
        <w:t>cellBarredRedCap</w:t>
      </w:r>
      <w:r w:rsidR="00697F95" w:rsidRPr="00697F95">
        <w:rPr>
          <w:b/>
          <w:bCs/>
          <w:i/>
          <w:iCs/>
          <w:lang w:val="en-US"/>
        </w:rPr>
        <w:t>2</w:t>
      </w:r>
      <w:r w:rsidR="00697F95" w:rsidRPr="00904DA4">
        <w:rPr>
          <w:b/>
          <w:bCs/>
          <w:i/>
          <w:iCs/>
          <w:lang w:val="en-US"/>
        </w:rPr>
        <w:t>Rx-r17</w:t>
      </w:r>
      <w:r w:rsidR="00162C1C">
        <w:rPr>
          <w:b/>
          <w:bCs/>
          <w:lang w:val="en-US"/>
        </w:rPr>
        <w:t>), is allowed to consider</w:t>
      </w:r>
      <w:r w:rsidRPr="00697F95">
        <w:rPr>
          <w:b/>
          <w:bCs/>
          <w:lang w:val="en-US"/>
        </w:rPr>
        <w:t xml:space="preserve"> </w:t>
      </w:r>
      <w:r w:rsidR="00697F95" w:rsidRPr="00697F95">
        <w:rPr>
          <w:b/>
          <w:bCs/>
          <w:lang w:val="en-US"/>
        </w:rPr>
        <w:t>this</w:t>
      </w:r>
      <w:r w:rsidRPr="00697F95">
        <w:rPr>
          <w:b/>
          <w:bCs/>
          <w:lang w:val="en-US"/>
        </w:rPr>
        <w:t xml:space="preserve"> NR cell </w:t>
      </w:r>
      <w:r w:rsidR="00162C1C">
        <w:rPr>
          <w:b/>
          <w:bCs/>
          <w:lang w:val="en-US"/>
        </w:rPr>
        <w:t>as an acceptable cell</w:t>
      </w:r>
      <w:r w:rsidRPr="00697F95">
        <w:rPr>
          <w:b/>
          <w:bCs/>
          <w:lang w:val="en-US"/>
        </w:rPr>
        <w:t xml:space="preserve"> for</w:t>
      </w:r>
      <w:r w:rsidR="00162C1C">
        <w:rPr>
          <w:b/>
          <w:bCs/>
          <w:lang w:val="en-US"/>
        </w:rPr>
        <w:t xml:space="preserve"> the purpose of</w:t>
      </w:r>
      <w:r w:rsidRPr="00697F95">
        <w:rPr>
          <w:b/>
          <w:bCs/>
          <w:lang w:val="en-US"/>
        </w:rPr>
        <w:t xml:space="preserve"> placing </w:t>
      </w:r>
      <w:r w:rsidR="00162C1C">
        <w:rPr>
          <w:b/>
          <w:bCs/>
          <w:lang w:val="en-US"/>
        </w:rPr>
        <w:t xml:space="preserve">an </w:t>
      </w:r>
      <w:r w:rsidRPr="00697F95">
        <w:rPr>
          <w:b/>
          <w:bCs/>
          <w:lang w:val="en-US"/>
        </w:rPr>
        <w:t>emergency call</w:t>
      </w:r>
      <w:r w:rsidR="00697F95" w:rsidRPr="00697F95">
        <w:rPr>
          <w:b/>
          <w:bCs/>
          <w:lang w:val="en-US"/>
        </w:rPr>
        <w:t>. This is</w:t>
      </w:r>
      <w:r w:rsidRPr="00697F95">
        <w:rPr>
          <w:b/>
          <w:bCs/>
          <w:lang w:val="en-US"/>
        </w:rPr>
        <w:t xml:space="preserve"> only in the case where the RedCap UE supports all the capabilities based on SIB1 except for the 1Rx/2Rx requirement</w:t>
      </w:r>
      <w:r w:rsidR="005B261E">
        <w:rPr>
          <w:b/>
          <w:bCs/>
          <w:lang w:val="en-US"/>
        </w:rPr>
        <w:t>.</w:t>
      </w:r>
    </w:p>
    <w:p w14:paraId="6FD74117" w14:textId="3442D35B" w:rsidR="00904DA4" w:rsidRDefault="00697F95" w:rsidP="00EF44B2">
      <w:pPr>
        <w:jc w:val="both"/>
        <w:rPr>
          <w:lang w:val="en-US"/>
        </w:rPr>
      </w:pPr>
      <w:r>
        <w:rPr>
          <w:lang w:val="en-US"/>
        </w:rPr>
        <w:t>We can propose how to capture this in the 38.304 (and if needed in 38.331) based on the progress made in RAN2-123bis.</w:t>
      </w:r>
    </w:p>
    <w:p w14:paraId="3B62EC4A" w14:textId="77777777" w:rsidR="009B0746" w:rsidRPr="00CB5EE9" w:rsidRDefault="009B0746">
      <w:pPr>
        <w:pStyle w:val="Heading1"/>
        <w:rPr>
          <w:lang w:val="en-US"/>
        </w:rPr>
      </w:pPr>
      <w:r>
        <w:rPr>
          <w:lang w:val="en-US"/>
        </w:rPr>
        <w:t>Conclusions</w:t>
      </w:r>
    </w:p>
    <w:p w14:paraId="65630AEF" w14:textId="77777777" w:rsidR="00F94C3D" w:rsidRPr="00064A2C" w:rsidRDefault="00F94C3D" w:rsidP="00F94C3D">
      <w:pPr>
        <w:jc w:val="both"/>
        <w:rPr>
          <w:b/>
          <w:bCs/>
          <w:lang w:val="en-US"/>
        </w:rPr>
      </w:pPr>
      <w:r w:rsidRPr="00064A2C">
        <w:rPr>
          <w:b/>
          <w:bCs/>
          <w:lang w:val="en-US"/>
        </w:rPr>
        <w:t xml:space="preserve">Observation 1: Driving reason behind RAN2’s intention of UE barring a functional </w:t>
      </w:r>
      <w:r>
        <w:rPr>
          <w:b/>
          <w:bCs/>
          <w:lang w:val="en-US"/>
        </w:rPr>
        <w:t>cell (</w:t>
      </w:r>
      <w:proofErr w:type="spellStart"/>
      <w:r>
        <w:rPr>
          <w:b/>
          <w:bCs/>
          <w:lang w:val="en-US"/>
        </w:rPr>
        <w:t>i.e</w:t>
      </w:r>
      <w:proofErr w:type="spellEnd"/>
      <w:r>
        <w:rPr>
          <w:b/>
          <w:bCs/>
          <w:lang w:val="en-US"/>
        </w:rPr>
        <w:t>,</w:t>
      </w:r>
      <w:r w:rsidRPr="00064A2C">
        <w:rPr>
          <w:b/>
          <w:bCs/>
          <w:lang w:val="en-US"/>
        </w:rPr>
        <w:t xml:space="preserve"> serving other UEs</w:t>
      </w:r>
      <w:r>
        <w:rPr>
          <w:b/>
          <w:bCs/>
          <w:lang w:val="en-US"/>
        </w:rPr>
        <w:t>)</w:t>
      </w:r>
      <w:r w:rsidRPr="00064A2C">
        <w:rPr>
          <w:b/>
          <w:bCs/>
          <w:lang w:val="en-US"/>
        </w:rPr>
        <w:t xml:space="preserve"> if it cannot support the SIB1 broadcasted requirements (for </w:t>
      </w:r>
      <w:proofErr w:type="spellStart"/>
      <w:r w:rsidRPr="00064A2C">
        <w:rPr>
          <w:b/>
          <w:bCs/>
          <w:lang w:val="en-US"/>
        </w:rPr>
        <w:t>eg.</w:t>
      </w:r>
      <w:proofErr w:type="spellEnd"/>
      <w:r w:rsidRPr="00064A2C">
        <w:rPr>
          <w:b/>
          <w:bCs/>
          <w:lang w:val="en-US"/>
        </w:rPr>
        <w:t xml:space="preserve">, CH BW, SCS support </w:t>
      </w:r>
      <w:proofErr w:type="spellStart"/>
      <w:r w:rsidRPr="00064A2C">
        <w:rPr>
          <w:b/>
          <w:bCs/>
          <w:lang w:val="en-US"/>
        </w:rPr>
        <w:t>etc</w:t>
      </w:r>
      <w:proofErr w:type="spellEnd"/>
      <w:r w:rsidRPr="00064A2C">
        <w:rPr>
          <w:b/>
          <w:bCs/>
          <w:lang w:val="en-US"/>
        </w:rPr>
        <w:t>) is that the UE cannot sustain a CONNECTED mode call with the NW in case the UE does not support these.</w:t>
      </w:r>
    </w:p>
    <w:p w14:paraId="00FFE444" w14:textId="77777777" w:rsidR="00F94C3D" w:rsidRPr="002F2145" w:rsidRDefault="00F94C3D" w:rsidP="00F94C3D">
      <w:pPr>
        <w:jc w:val="both"/>
        <w:rPr>
          <w:b/>
          <w:bCs/>
          <w:lang w:val="en-US"/>
        </w:rPr>
      </w:pPr>
      <w:r w:rsidRPr="002F2145">
        <w:rPr>
          <w:b/>
          <w:bCs/>
          <w:lang w:val="en-US"/>
        </w:rPr>
        <w:t xml:space="preserve">Observation 2: The UE barring the cell concept is </w:t>
      </w:r>
      <w:r w:rsidRPr="002F2145">
        <w:rPr>
          <w:b/>
          <w:bCs/>
          <w:highlight w:val="yellow"/>
          <w:lang w:val="en-US"/>
        </w:rPr>
        <w:t>also</w:t>
      </w:r>
      <w:r w:rsidRPr="002F2145">
        <w:rPr>
          <w:b/>
          <w:bCs/>
          <w:lang w:val="en-US"/>
        </w:rPr>
        <w:t xml:space="preserve"> used for other purposes like enabling the NR cell to allow/not allow certain type of UEs based on the NW implementation or based on the system efficiency of allowing/not allowing certain UEs.</w:t>
      </w:r>
    </w:p>
    <w:p w14:paraId="11C07A88" w14:textId="7D4AA133" w:rsidR="00F94C3D" w:rsidRPr="00697F95" w:rsidRDefault="00F94C3D" w:rsidP="00F94C3D">
      <w:pPr>
        <w:jc w:val="both"/>
        <w:rPr>
          <w:b/>
          <w:bCs/>
          <w:lang w:val="en-US"/>
        </w:rPr>
      </w:pPr>
      <w:r w:rsidRPr="00697F95">
        <w:rPr>
          <w:b/>
          <w:bCs/>
          <w:lang w:val="en-US"/>
        </w:rPr>
        <w:t xml:space="preserve">Observation 3: While it is possible for a RedCap UE which had to bar the current RedCap supporting NR cell (as the UE could not support the cell required RedCap specific capabilities), </w:t>
      </w:r>
      <w:r w:rsidRPr="00697F95">
        <w:rPr>
          <w:b/>
          <w:bCs/>
          <w:highlight w:val="yellow"/>
          <w:lang w:val="en-US"/>
        </w:rPr>
        <w:t>to “artificially” advertise</w:t>
      </w:r>
      <w:r w:rsidRPr="00697F95">
        <w:rPr>
          <w:b/>
          <w:bCs/>
          <w:lang w:val="en-US"/>
        </w:rPr>
        <w:t xml:space="preserve"> the NW required capabilities – just for the purpose of placing the emergency call,  it creates a mis-match at the NW in terms of what the NW thinks the UE supports vs what the UE actually supports, which can result in the call getting dropped!</w:t>
      </w:r>
    </w:p>
    <w:p w14:paraId="20297C17" w14:textId="77777777" w:rsidR="00F94C3D" w:rsidRPr="00697F95" w:rsidRDefault="00F94C3D" w:rsidP="00F94C3D">
      <w:pPr>
        <w:jc w:val="both"/>
        <w:rPr>
          <w:b/>
          <w:bCs/>
          <w:lang w:val="en-US"/>
        </w:rPr>
      </w:pPr>
      <w:r w:rsidRPr="00697F95">
        <w:rPr>
          <w:b/>
          <w:bCs/>
          <w:lang w:val="en-US"/>
        </w:rPr>
        <w:t xml:space="preserve">Observation 4: While the UE can try to find a suitable/acceptable cell </w:t>
      </w:r>
      <w:r w:rsidRPr="00697F95">
        <w:rPr>
          <w:b/>
          <w:bCs/>
          <w:highlight w:val="yellow"/>
          <w:lang w:val="en-US"/>
        </w:rPr>
        <w:t>in NR</w:t>
      </w:r>
      <w:r w:rsidRPr="00697F95">
        <w:rPr>
          <w:b/>
          <w:bCs/>
          <w:lang w:val="en-US"/>
        </w:rPr>
        <w:t>,  (and possibly advertise itself as a non-RedCap UE just to get the emergency call to go through), we run the risk of observation 3 – a mis-match between what the NW thinks the UE supports vs what the UE supports, and the risk is even more with this approach, as the likelihood of using a &gt;20MHz BW for a BWP is pretty high!</w:t>
      </w:r>
    </w:p>
    <w:p w14:paraId="728A392C" w14:textId="77777777" w:rsidR="00F94C3D" w:rsidRPr="00697F95" w:rsidRDefault="00F94C3D" w:rsidP="00F94C3D">
      <w:pPr>
        <w:jc w:val="both"/>
        <w:rPr>
          <w:b/>
          <w:bCs/>
          <w:lang w:val="en-US"/>
        </w:rPr>
      </w:pPr>
      <w:r w:rsidRPr="00697F95">
        <w:rPr>
          <w:b/>
          <w:bCs/>
          <w:lang w:val="en-US"/>
        </w:rPr>
        <w:t>Observation 5: While the UE can try to find a suitable cell in LTE (one can argue that LTE coverage should be available more widespread than RedCap support), and we do have the advantage of limiting the BW to 20MHz (or less), this means that we are indirectly nudging the UE to perform IRAT selection for handling EM call, and also, we would be not addressing the case where the UE couldn’t find an acceptable cell in LTE! – cases where the current NR cell on which the UE has camper on ‘any cell selection’ state is better and can be used!</w:t>
      </w:r>
    </w:p>
    <w:p w14:paraId="0ED02008" w14:textId="77777777" w:rsidR="00F94C3D" w:rsidRPr="00697F95" w:rsidRDefault="00F94C3D" w:rsidP="00F94C3D">
      <w:pPr>
        <w:jc w:val="both"/>
        <w:rPr>
          <w:b/>
          <w:bCs/>
          <w:lang w:val="en-US"/>
        </w:rPr>
      </w:pPr>
      <w:r w:rsidRPr="00697F95">
        <w:rPr>
          <w:b/>
          <w:bCs/>
          <w:lang w:val="en-US"/>
        </w:rPr>
        <w:lastRenderedPageBreak/>
        <w:t>Observation 6: To limit the impact on the specification and implementation, we can limit the cases where the RedCap UE can be allowed to use the NR cell only to one where the UE could not satisfy the 1Rx/2Rx SIB1 requirement as broadcasted in the SIB1 of the RedCap supporting NR Cell.</w:t>
      </w:r>
    </w:p>
    <w:p w14:paraId="19BCE223" w14:textId="77777777" w:rsidR="001F2E2A" w:rsidRPr="001F2E2A" w:rsidRDefault="001F2E2A" w:rsidP="001F2E2A">
      <w:pPr>
        <w:ind w:left="284"/>
        <w:jc w:val="both"/>
        <w:rPr>
          <w:b/>
          <w:bCs/>
          <w:lang w:val="en-US"/>
        </w:rPr>
      </w:pPr>
      <w:r>
        <w:rPr>
          <w:b/>
          <w:bCs/>
          <w:lang w:val="en-US"/>
        </w:rPr>
        <w:t xml:space="preserve">Observation 6.1: </w:t>
      </w:r>
      <w:r w:rsidRPr="001F2E2A">
        <w:rPr>
          <w:b/>
          <w:bCs/>
          <w:lang w:val="en-US"/>
        </w:rPr>
        <w:t xml:space="preserve">Both UE and the NW are expected to sustain a call with the minimal 1Rx support from the UE, </w:t>
      </w:r>
      <w:proofErr w:type="spellStart"/>
      <w:r w:rsidRPr="001F2E2A">
        <w:rPr>
          <w:b/>
          <w:bCs/>
          <w:lang w:val="en-US"/>
        </w:rPr>
        <w:t>atleast</w:t>
      </w:r>
      <w:proofErr w:type="spellEnd"/>
      <w:r w:rsidRPr="001F2E2A">
        <w:rPr>
          <w:b/>
          <w:bCs/>
          <w:lang w:val="en-US"/>
        </w:rPr>
        <w:t xml:space="preserve"> for providing voice services </w:t>
      </w:r>
      <w:proofErr w:type="gramStart"/>
      <w:r w:rsidRPr="001F2E2A">
        <w:rPr>
          <w:b/>
          <w:bCs/>
          <w:lang w:val="en-US"/>
        </w:rPr>
        <w:t xml:space="preserve">( </w:t>
      </w:r>
      <w:proofErr w:type="spellStart"/>
      <w:r w:rsidRPr="001F2E2A">
        <w:rPr>
          <w:b/>
          <w:bCs/>
          <w:lang w:val="en-US"/>
        </w:rPr>
        <w:t>i.e</w:t>
      </w:r>
      <w:proofErr w:type="spellEnd"/>
      <w:proofErr w:type="gramEnd"/>
      <w:r w:rsidRPr="001F2E2A">
        <w:rPr>
          <w:b/>
          <w:bCs/>
          <w:lang w:val="en-US"/>
        </w:rPr>
        <w:t>, low data rate IMS call).</w:t>
      </w:r>
    </w:p>
    <w:p w14:paraId="5FBEFCCD" w14:textId="5CA2F84C" w:rsidR="00F94C3D" w:rsidRDefault="001F2E2A" w:rsidP="001F2E2A">
      <w:pPr>
        <w:ind w:left="284"/>
        <w:jc w:val="both"/>
        <w:rPr>
          <w:lang w:val="en-US"/>
        </w:rPr>
      </w:pPr>
      <w:r>
        <w:rPr>
          <w:b/>
          <w:bCs/>
          <w:lang w:val="en-US"/>
        </w:rPr>
        <w:t xml:space="preserve">Observation 6.2: Considering the low </w:t>
      </w:r>
      <w:r w:rsidR="00E91BD8">
        <w:rPr>
          <w:b/>
          <w:bCs/>
          <w:lang w:val="en-US"/>
        </w:rPr>
        <w:t>occurrences</w:t>
      </w:r>
      <w:r>
        <w:rPr>
          <w:b/>
          <w:bCs/>
          <w:lang w:val="en-US"/>
        </w:rPr>
        <w:t xml:space="preserve"> of this, </w:t>
      </w:r>
      <w:r w:rsidRPr="001F2E2A">
        <w:rPr>
          <w:b/>
          <w:bCs/>
          <w:lang w:val="en-US"/>
        </w:rPr>
        <w:t xml:space="preserve">the metric of efficiency is not as important as the ability to allow the user to access the emergency voice </w:t>
      </w:r>
      <w:proofErr w:type="gramStart"/>
      <w:r w:rsidRPr="001F2E2A">
        <w:rPr>
          <w:b/>
          <w:bCs/>
          <w:lang w:val="en-US"/>
        </w:rPr>
        <w:t>service</w:t>
      </w:r>
      <w:proofErr w:type="gramEnd"/>
    </w:p>
    <w:p w14:paraId="27613DA5" w14:textId="77777777" w:rsidR="00F94C3D" w:rsidRDefault="00F94C3D" w:rsidP="00F94C3D">
      <w:pPr>
        <w:jc w:val="both"/>
        <w:rPr>
          <w:lang w:val="en-US"/>
        </w:rPr>
      </w:pPr>
    </w:p>
    <w:p w14:paraId="52D2BB32" w14:textId="77777777" w:rsidR="00F13500" w:rsidRPr="00697F95" w:rsidRDefault="00F13500" w:rsidP="00F13500">
      <w:pPr>
        <w:jc w:val="both"/>
        <w:rPr>
          <w:b/>
          <w:bCs/>
          <w:lang w:val="en-US"/>
        </w:rPr>
      </w:pPr>
      <w:r w:rsidRPr="00697F95">
        <w:rPr>
          <w:b/>
          <w:bCs/>
          <w:lang w:val="en-US"/>
        </w:rPr>
        <w:t xml:space="preserve">Proposal 1: A RedCap UE (that provides voice services) that has considered the RedCap supporting NR cell as barred due to not being able to support the SIB1 broadcasted 1Rx/2Rx requirement (from the IEs </w:t>
      </w:r>
      <w:r w:rsidRPr="00904DA4">
        <w:rPr>
          <w:b/>
          <w:bCs/>
          <w:i/>
          <w:iCs/>
          <w:lang w:val="en-US"/>
        </w:rPr>
        <w:t>cellBarredRedCap1Rx-r17</w:t>
      </w:r>
      <w:r w:rsidRPr="00697F95">
        <w:rPr>
          <w:b/>
          <w:bCs/>
          <w:lang w:val="en-US"/>
        </w:rPr>
        <w:t xml:space="preserve"> and </w:t>
      </w:r>
      <w:r w:rsidRPr="00904DA4">
        <w:rPr>
          <w:b/>
          <w:bCs/>
          <w:i/>
          <w:iCs/>
          <w:lang w:val="en-US"/>
        </w:rPr>
        <w:t>cellBarredRedCap</w:t>
      </w:r>
      <w:r w:rsidRPr="00697F95">
        <w:rPr>
          <w:b/>
          <w:bCs/>
          <w:i/>
          <w:iCs/>
          <w:lang w:val="en-US"/>
        </w:rPr>
        <w:t>2</w:t>
      </w:r>
      <w:r w:rsidRPr="00904DA4">
        <w:rPr>
          <w:b/>
          <w:bCs/>
          <w:i/>
          <w:iCs/>
          <w:lang w:val="en-US"/>
        </w:rPr>
        <w:t>Rx-r17</w:t>
      </w:r>
      <w:r>
        <w:rPr>
          <w:b/>
          <w:bCs/>
          <w:lang w:val="en-US"/>
        </w:rPr>
        <w:t>), is allowed to consider</w:t>
      </w:r>
      <w:r w:rsidRPr="00697F95">
        <w:rPr>
          <w:b/>
          <w:bCs/>
          <w:lang w:val="en-US"/>
        </w:rPr>
        <w:t xml:space="preserve"> this NR cell </w:t>
      </w:r>
      <w:r>
        <w:rPr>
          <w:b/>
          <w:bCs/>
          <w:lang w:val="en-US"/>
        </w:rPr>
        <w:t>as an acceptable cell</w:t>
      </w:r>
      <w:r w:rsidRPr="00697F95">
        <w:rPr>
          <w:b/>
          <w:bCs/>
          <w:lang w:val="en-US"/>
        </w:rPr>
        <w:t xml:space="preserve"> for</w:t>
      </w:r>
      <w:r>
        <w:rPr>
          <w:b/>
          <w:bCs/>
          <w:lang w:val="en-US"/>
        </w:rPr>
        <w:t xml:space="preserve"> the purpose of</w:t>
      </w:r>
      <w:r w:rsidRPr="00697F95">
        <w:rPr>
          <w:b/>
          <w:bCs/>
          <w:lang w:val="en-US"/>
        </w:rPr>
        <w:t xml:space="preserve"> placing </w:t>
      </w:r>
      <w:r>
        <w:rPr>
          <w:b/>
          <w:bCs/>
          <w:lang w:val="en-US"/>
        </w:rPr>
        <w:t xml:space="preserve">an </w:t>
      </w:r>
      <w:r w:rsidRPr="00697F95">
        <w:rPr>
          <w:b/>
          <w:bCs/>
          <w:lang w:val="en-US"/>
        </w:rPr>
        <w:t>emergency call. This is only in the case where the RedCap UE supports all the capabilities based on SIB1 except for the 1Rx/2Rx requirement</w:t>
      </w:r>
      <w:r>
        <w:rPr>
          <w:b/>
          <w:bCs/>
          <w:lang w:val="en-US"/>
        </w:rPr>
        <w:t>.</w:t>
      </w:r>
    </w:p>
    <w:p w14:paraId="769F10BF" w14:textId="77777777" w:rsidR="00410291" w:rsidRPr="005E5B8D" w:rsidRDefault="00410291"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66EFB6A" w14:textId="73233709" w:rsidR="00C01713" w:rsidRPr="00DF0426" w:rsidRDefault="00AD6AAF" w:rsidP="00DF0426">
      <w:pPr>
        <w:numPr>
          <w:ilvl w:val="0"/>
          <w:numId w:val="5"/>
        </w:numPr>
        <w:overflowPunct w:val="0"/>
        <w:autoSpaceDE w:val="0"/>
        <w:autoSpaceDN w:val="0"/>
        <w:adjustRightInd w:val="0"/>
        <w:spacing w:before="100" w:beforeAutospacing="1" w:after="100" w:afterAutospacing="1"/>
        <w:ind w:left="562" w:hanging="562"/>
        <w:textAlignment w:val="baseline"/>
      </w:pPr>
      <w:r>
        <w:t xml:space="preserve">  </w:t>
      </w:r>
    </w:p>
    <w:sectPr w:rsidR="00C01713" w:rsidRPr="00DF0426"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1D54F" w14:textId="77777777" w:rsidR="00FB5D2D" w:rsidRDefault="00FB5D2D">
      <w:r>
        <w:separator/>
      </w:r>
    </w:p>
  </w:endnote>
  <w:endnote w:type="continuationSeparator" w:id="0">
    <w:p w14:paraId="1B495EEE" w14:textId="77777777" w:rsidR="00FB5D2D" w:rsidRDefault="00FB5D2D">
      <w:r>
        <w:continuationSeparator/>
      </w:r>
    </w:p>
  </w:endnote>
  <w:endnote w:type="continuationNotice" w:id="1">
    <w:p w14:paraId="63B97289" w14:textId="77777777" w:rsidR="00FB5D2D" w:rsidRDefault="00FB5D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EFF" w:usb1="C000247B"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ED52B" w14:textId="77777777" w:rsidR="00FB5D2D" w:rsidRDefault="00FB5D2D">
      <w:r>
        <w:separator/>
      </w:r>
    </w:p>
  </w:footnote>
  <w:footnote w:type="continuationSeparator" w:id="0">
    <w:p w14:paraId="303E3580" w14:textId="77777777" w:rsidR="00FB5D2D" w:rsidRDefault="00FB5D2D">
      <w:r>
        <w:continuationSeparator/>
      </w:r>
    </w:p>
  </w:footnote>
  <w:footnote w:type="continuationNotice" w:id="1">
    <w:p w14:paraId="0E4A52C6" w14:textId="77777777" w:rsidR="00FB5D2D" w:rsidRDefault="00FB5D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1F8B5B7F"/>
    <w:multiLevelType w:val="hybridMultilevel"/>
    <w:tmpl w:val="CB0C00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85433E5"/>
    <w:multiLevelType w:val="multilevel"/>
    <w:tmpl w:val="385433E5"/>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C15EE3"/>
    <w:multiLevelType w:val="hybridMultilevel"/>
    <w:tmpl w:val="D1A89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9FF7922"/>
    <w:multiLevelType w:val="hybridMultilevel"/>
    <w:tmpl w:val="CF9AE726"/>
    <w:lvl w:ilvl="0" w:tplc="4C06D1E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C26AD"/>
    <w:multiLevelType w:val="hybridMultilevel"/>
    <w:tmpl w:val="0B507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8D41787"/>
    <w:multiLevelType w:val="hybridMultilevel"/>
    <w:tmpl w:val="9B909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EC580A"/>
    <w:multiLevelType w:val="hybridMultilevel"/>
    <w:tmpl w:val="8842F5E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10E2114"/>
    <w:multiLevelType w:val="hybridMultilevel"/>
    <w:tmpl w:val="045800E6"/>
    <w:lvl w:ilvl="0" w:tplc="766C8878">
      <w:start w:val="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917E7"/>
    <w:multiLevelType w:val="hybridMultilevel"/>
    <w:tmpl w:val="EDC2DDA8"/>
    <w:lvl w:ilvl="0" w:tplc="3514A9FE">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5624D8"/>
    <w:multiLevelType w:val="hybridMultilevel"/>
    <w:tmpl w:val="34FE648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6F026382"/>
    <w:multiLevelType w:val="multilevel"/>
    <w:tmpl w:val="6F026382"/>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22" w15:restartNumberingAfterBreak="0">
    <w:nsid w:val="71EE0A86"/>
    <w:multiLevelType w:val="hybridMultilevel"/>
    <w:tmpl w:val="A65EDD54"/>
    <w:lvl w:ilvl="0" w:tplc="B8CC0FFC">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54045"/>
    <w:multiLevelType w:val="hybridMultilevel"/>
    <w:tmpl w:val="B1849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319961661">
    <w:abstractNumId w:val="21"/>
  </w:num>
  <w:num w:numId="2" w16cid:durableId="176426893">
    <w:abstractNumId w:val="0"/>
  </w:num>
  <w:num w:numId="3" w16cid:durableId="1870484718">
    <w:abstractNumId w:val="1"/>
  </w:num>
  <w:num w:numId="4" w16cid:durableId="202599525">
    <w:abstractNumId w:val="24"/>
  </w:num>
  <w:num w:numId="5" w16cid:durableId="507334277">
    <w:abstractNumId w:val="2"/>
  </w:num>
  <w:num w:numId="6" w16cid:durableId="689189331">
    <w:abstractNumId w:val="16"/>
  </w:num>
  <w:num w:numId="7" w16cid:durableId="921764171">
    <w:abstractNumId w:val="5"/>
  </w:num>
  <w:num w:numId="8" w16cid:durableId="90929846">
    <w:abstractNumId w:val="7"/>
  </w:num>
  <w:num w:numId="9" w16cid:durableId="702678920">
    <w:abstractNumId w:val="4"/>
  </w:num>
  <w:num w:numId="10" w16cid:durableId="842361702">
    <w:abstractNumId w:val="10"/>
  </w:num>
  <w:num w:numId="11" w16cid:durableId="2143376372">
    <w:abstractNumId w:val="11"/>
  </w:num>
  <w:num w:numId="12" w16cid:durableId="623073271">
    <w:abstractNumId w:val="12"/>
  </w:num>
  <w:num w:numId="13" w16cid:durableId="1841382603">
    <w:abstractNumId w:val="9"/>
  </w:num>
  <w:num w:numId="14" w16cid:durableId="1650865071">
    <w:abstractNumId w:val="6"/>
  </w:num>
  <w:num w:numId="15" w16cid:durableId="1941647155">
    <w:abstractNumId w:val="8"/>
  </w:num>
  <w:num w:numId="16" w16cid:durableId="1143541254">
    <w:abstractNumId w:val="23"/>
  </w:num>
  <w:num w:numId="17" w16cid:durableId="623266804">
    <w:abstractNumId w:val="19"/>
  </w:num>
  <w:num w:numId="18" w16cid:durableId="1677728038">
    <w:abstractNumId w:val="13"/>
  </w:num>
  <w:num w:numId="19" w16cid:durableId="1054502">
    <w:abstractNumId w:val="3"/>
  </w:num>
  <w:num w:numId="20" w16cid:durableId="154953279">
    <w:abstractNumId w:val="18"/>
  </w:num>
  <w:num w:numId="21" w16cid:durableId="630748113">
    <w:abstractNumId w:val="14"/>
  </w:num>
  <w:num w:numId="22" w16cid:durableId="2022461996">
    <w:abstractNumId w:val="15"/>
  </w:num>
  <w:num w:numId="23" w16cid:durableId="1933125755">
    <w:abstractNumId w:val="20"/>
  </w:num>
  <w:num w:numId="24" w16cid:durableId="668556432">
    <w:abstractNumId w:val="22"/>
  </w:num>
  <w:num w:numId="25" w16cid:durableId="72032996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46"/>
    <w:rsid w:val="0000168C"/>
    <w:rsid w:val="00001732"/>
    <w:rsid w:val="00001ACE"/>
    <w:rsid w:val="00002D17"/>
    <w:rsid w:val="000040B9"/>
    <w:rsid w:val="000041BD"/>
    <w:rsid w:val="0000422A"/>
    <w:rsid w:val="00004350"/>
    <w:rsid w:val="00004398"/>
    <w:rsid w:val="00004870"/>
    <w:rsid w:val="0000592C"/>
    <w:rsid w:val="000059A9"/>
    <w:rsid w:val="0000613B"/>
    <w:rsid w:val="00006493"/>
    <w:rsid w:val="000067F8"/>
    <w:rsid w:val="00007A6D"/>
    <w:rsid w:val="00007E3D"/>
    <w:rsid w:val="00012038"/>
    <w:rsid w:val="0001224D"/>
    <w:rsid w:val="0001297A"/>
    <w:rsid w:val="00012B6B"/>
    <w:rsid w:val="00012FD5"/>
    <w:rsid w:val="00014204"/>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1A8"/>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4A2C"/>
    <w:rsid w:val="00065113"/>
    <w:rsid w:val="00066101"/>
    <w:rsid w:val="00066766"/>
    <w:rsid w:val="000673D8"/>
    <w:rsid w:val="0006743B"/>
    <w:rsid w:val="0007009E"/>
    <w:rsid w:val="00070EF0"/>
    <w:rsid w:val="000715AE"/>
    <w:rsid w:val="00072022"/>
    <w:rsid w:val="00072315"/>
    <w:rsid w:val="000723D8"/>
    <w:rsid w:val="00072963"/>
    <w:rsid w:val="00072D5E"/>
    <w:rsid w:val="00072E78"/>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2F8D"/>
    <w:rsid w:val="00083771"/>
    <w:rsid w:val="00084947"/>
    <w:rsid w:val="00084C7D"/>
    <w:rsid w:val="00084D1B"/>
    <w:rsid w:val="00084FC3"/>
    <w:rsid w:val="00085F1F"/>
    <w:rsid w:val="0008618A"/>
    <w:rsid w:val="0008688D"/>
    <w:rsid w:val="0008712F"/>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664"/>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20A"/>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35D"/>
    <w:rsid w:val="000D08C2"/>
    <w:rsid w:val="000D0B45"/>
    <w:rsid w:val="000D0B66"/>
    <w:rsid w:val="000D1418"/>
    <w:rsid w:val="000D335B"/>
    <w:rsid w:val="000D388D"/>
    <w:rsid w:val="000D3C51"/>
    <w:rsid w:val="000D3CAA"/>
    <w:rsid w:val="000D4A15"/>
    <w:rsid w:val="000D5485"/>
    <w:rsid w:val="000D58AB"/>
    <w:rsid w:val="000D617C"/>
    <w:rsid w:val="000D62C9"/>
    <w:rsid w:val="000D7979"/>
    <w:rsid w:val="000D7C48"/>
    <w:rsid w:val="000D7CDC"/>
    <w:rsid w:val="000D7CFB"/>
    <w:rsid w:val="000E0E2A"/>
    <w:rsid w:val="000E11E4"/>
    <w:rsid w:val="000E1E2C"/>
    <w:rsid w:val="000E277C"/>
    <w:rsid w:val="000E2969"/>
    <w:rsid w:val="000E2D8D"/>
    <w:rsid w:val="000E3005"/>
    <w:rsid w:val="000E3A11"/>
    <w:rsid w:val="000E41CB"/>
    <w:rsid w:val="000E42F8"/>
    <w:rsid w:val="000E46F1"/>
    <w:rsid w:val="000E4B45"/>
    <w:rsid w:val="000E4D28"/>
    <w:rsid w:val="000E5919"/>
    <w:rsid w:val="000E5D7A"/>
    <w:rsid w:val="000E5E5D"/>
    <w:rsid w:val="000E6058"/>
    <w:rsid w:val="000E62E2"/>
    <w:rsid w:val="000E6529"/>
    <w:rsid w:val="000E6DF9"/>
    <w:rsid w:val="000E794A"/>
    <w:rsid w:val="000E7C7D"/>
    <w:rsid w:val="000F003D"/>
    <w:rsid w:val="000F04B3"/>
    <w:rsid w:val="000F0CEA"/>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4B62"/>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7FE"/>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6931"/>
    <w:rsid w:val="001275A4"/>
    <w:rsid w:val="0013039C"/>
    <w:rsid w:val="00131FE1"/>
    <w:rsid w:val="0013235C"/>
    <w:rsid w:val="00132727"/>
    <w:rsid w:val="00132946"/>
    <w:rsid w:val="0013306F"/>
    <w:rsid w:val="0013309E"/>
    <w:rsid w:val="001333CE"/>
    <w:rsid w:val="00133EA9"/>
    <w:rsid w:val="00133EED"/>
    <w:rsid w:val="0013490B"/>
    <w:rsid w:val="001349C1"/>
    <w:rsid w:val="00134AD7"/>
    <w:rsid w:val="00135218"/>
    <w:rsid w:val="001358C7"/>
    <w:rsid w:val="00136498"/>
    <w:rsid w:val="00136D94"/>
    <w:rsid w:val="00141392"/>
    <w:rsid w:val="001425AD"/>
    <w:rsid w:val="001430EB"/>
    <w:rsid w:val="00143492"/>
    <w:rsid w:val="001434D9"/>
    <w:rsid w:val="00143A6A"/>
    <w:rsid w:val="00144239"/>
    <w:rsid w:val="00145075"/>
    <w:rsid w:val="00146272"/>
    <w:rsid w:val="001466C9"/>
    <w:rsid w:val="00147697"/>
    <w:rsid w:val="001504D5"/>
    <w:rsid w:val="00151851"/>
    <w:rsid w:val="00153412"/>
    <w:rsid w:val="001534A2"/>
    <w:rsid w:val="00154400"/>
    <w:rsid w:val="00154C37"/>
    <w:rsid w:val="00154F10"/>
    <w:rsid w:val="00155EB5"/>
    <w:rsid w:val="00155F61"/>
    <w:rsid w:val="0015656C"/>
    <w:rsid w:val="00156D99"/>
    <w:rsid w:val="00156EE9"/>
    <w:rsid w:val="00157043"/>
    <w:rsid w:val="00157278"/>
    <w:rsid w:val="00160208"/>
    <w:rsid w:val="001607DF"/>
    <w:rsid w:val="00160E13"/>
    <w:rsid w:val="00161AA7"/>
    <w:rsid w:val="0016286D"/>
    <w:rsid w:val="00162BD5"/>
    <w:rsid w:val="00162C1C"/>
    <w:rsid w:val="0016326D"/>
    <w:rsid w:val="001634C7"/>
    <w:rsid w:val="001639C3"/>
    <w:rsid w:val="00163AF0"/>
    <w:rsid w:val="00164169"/>
    <w:rsid w:val="00164B5D"/>
    <w:rsid w:val="00164C25"/>
    <w:rsid w:val="0016509A"/>
    <w:rsid w:val="001650E7"/>
    <w:rsid w:val="0016511A"/>
    <w:rsid w:val="00165B0B"/>
    <w:rsid w:val="00166808"/>
    <w:rsid w:val="00166FCF"/>
    <w:rsid w:val="00167237"/>
    <w:rsid w:val="001673B8"/>
    <w:rsid w:val="00167BDC"/>
    <w:rsid w:val="00167F22"/>
    <w:rsid w:val="0017081C"/>
    <w:rsid w:val="001710B4"/>
    <w:rsid w:val="001717BE"/>
    <w:rsid w:val="00172429"/>
    <w:rsid w:val="00172870"/>
    <w:rsid w:val="00172BD2"/>
    <w:rsid w:val="00172E50"/>
    <w:rsid w:val="00172E73"/>
    <w:rsid w:val="001731CA"/>
    <w:rsid w:val="00173EC5"/>
    <w:rsid w:val="00173FF6"/>
    <w:rsid w:val="00174107"/>
    <w:rsid w:val="001741A0"/>
    <w:rsid w:val="0017483B"/>
    <w:rsid w:val="00174BCA"/>
    <w:rsid w:val="001757A1"/>
    <w:rsid w:val="00175DC8"/>
    <w:rsid w:val="00175FA0"/>
    <w:rsid w:val="00176227"/>
    <w:rsid w:val="00177DBA"/>
    <w:rsid w:val="00177F10"/>
    <w:rsid w:val="0018078B"/>
    <w:rsid w:val="001812B3"/>
    <w:rsid w:val="001816BB"/>
    <w:rsid w:val="00181975"/>
    <w:rsid w:val="001821B9"/>
    <w:rsid w:val="001821DA"/>
    <w:rsid w:val="00182709"/>
    <w:rsid w:val="00182E5E"/>
    <w:rsid w:val="00183209"/>
    <w:rsid w:val="00183485"/>
    <w:rsid w:val="001835E7"/>
    <w:rsid w:val="00183D27"/>
    <w:rsid w:val="0018415C"/>
    <w:rsid w:val="00184502"/>
    <w:rsid w:val="00184B86"/>
    <w:rsid w:val="00184E0B"/>
    <w:rsid w:val="001852C9"/>
    <w:rsid w:val="00185FE3"/>
    <w:rsid w:val="0018629A"/>
    <w:rsid w:val="001862D5"/>
    <w:rsid w:val="001863E7"/>
    <w:rsid w:val="00186734"/>
    <w:rsid w:val="001871DE"/>
    <w:rsid w:val="00187B0B"/>
    <w:rsid w:val="00190570"/>
    <w:rsid w:val="001907EE"/>
    <w:rsid w:val="001912C3"/>
    <w:rsid w:val="00191D6A"/>
    <w:rsid w:val="00192BDE"/>
    <w:rsid w:val="00194615"/>
    <w:rsid w:val="00194CD0"/>
    <w:rsid w:val="001951AD"/>
    <w:rsid w:val="001952C0"/>
    <w:rsid w:val="0019542C"/>
    <w:rsid w:val="00195C30"/>
    <w:rsid w:val="0019625D"/>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390"/>
    <w:rsid w:val="001B15E2"/>
    <w:rsid w:val="001B171E"/>
    <w:rsid w:val="001B1738"/>
    <w:rsid w:val="001B279B"/>
    <w:rsid w:val="001B2F44"/>
    <w:rsid w:val="001B32A6"/>
    <w:rsid w:val="001B387E"/>
    <w:rsid w:val="001B3995"/>
    <w:rsid w:val="001B49C9"/>
    <w:rsid w:val="001B4C7B"/>
    <w:rsid w:val="001B513A"/>
    <w:rsid w:val="001B518B"/>
    <w:rsid w:val="001B61E9"/>
    <w:rsid w:val="001B634F"/>
    <w:rsid w:val="001B6440"/>
    <w:rsid w:val="001B6625"/>
    <w:rsid w:val="001B6B7D"/>
    <w:rsid w:val="001B7559"/>
    <w:rsid w:val="001B7642"/>
    <w:rsid w:val="001C0960"/>
    <w:rsid w:val="001C1A03"/>
    <w:rsid w:val="001C27AE"/>
    <w:rsid w:val="001C2892"/>
    <w:rsid w:val="001C3062"/>
    <w:rsid w:val="001C3118"/>
    <w:rsid w:val="001C31CF"/>
    <w:rsid w:val="001C36CF"/>
    <w:rsid w:val="001C4F79"/>
    <w:rsid w:val="001C6D48"/>
    <w:rsid w:val="001C6DB5"/>
    <w:rsid w:val="001C721F"/>
    <w:rsid w:val="001C7671"/>
    <w:rsid w:val="001C7718"/>
    <w:rsid w:val="001C779E"/>
    <w:rsid w:val="001D0A10"/>
    <w:rsid w:val="001D21F1"/>
    <w:rsid w:val="001D2DEC"/>
    <w:rsid w:val="001D2E7E"/>
    <w:rsid w:val="001D303A"/>
    <w:rsid w:val="001D3EA1"/>
    <w:rsid w:val="001D499A"/>
    <w:rsid w:val="001D5164"/>
    <w:rsid w:val="001D7814"/>
    <w:rsid w:val="001D78B9"/>
    <w:rsid w:val="001D79D1"/>
    <w:rsid w:val="001E01D3"/>
    <w:rsid w:val="001E0865"/>
    <w:rsid w:val="001E2C74"/>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2E2A"/>
    <w:rsid w:val="001F30C0"/>
    <w:rsid w:val="001F31F2"/>
    <w:rsid w:val="001F3B28"/>
    <w:rsid w:val="001F5198"/>
    <w:rsid w:val="001F5C04"/>
    <w:rsid w:val="001F5CE8"/>
    <w:rsid w:val="001F6B8B"/>
    <w:rsid w:val="001F703B"/>
    <w:rsid w:val="001F715C"/>
    <w:rsid w:val="001F7831"/>
    <w:rsid w:val="002000AF"/>
    <w:rsid w:val="00200194"/>
    <w:rsid w:val="00200870"/>
    <w:rsid w:val="002012E2"/>
    <w:rsid w:val="00202334"/>
    <w:rsid w:val="00202F98"/>
    <w:rsid w:val="0020336F"/>
    <w:rsid w:val="00203BFF"/>
    <w:rsid w:val="00204045"/>
    <w:rsid w:val="00204572"/>
    <w:rsid w:val="002048C0"/>
    <w:rsid w:val="002052AB"/>
    <w:rsid w:val="00205B07"/>
    <w:rsid w:val="00205DB0"/>
    <w:rsid w:val="00205DBC"/>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69A"/>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40E"/>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77D"/>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5F17"/>
    <w:rsid w:val="00296689"/>
    <w:rsid w:val="00297155"/>
    <w:rsid w:val="00297251"/>
    <w:rsid w:val="00297275"/>
    <w:rsid w:val="00297423"/>
    <w:rsid w:val="00297BB0"/>
    <w:rsid w:val="002A115D"/>
    <w:rsid w:val="002A1C94"/>
    <w:rsid w:val="002A1E96"/>
    <w:rsid w:val="002A230C"/>
    <w:rsid w:val="002A2E79"/>
    <w:rsid w:val="002A3480"/>
    <w:rsid w:val="002A3494"/>
    <w:rsid w:val="002A37F5"/>
    <w:rsid w:val="002A5832"/>
    <w:rsid w:val="002A58F4"/>
    <w:rsid w:val="002A61D5"/>
    <w:rsid w:val="002A6E7D"/>
    <w:rsid w:val="002A7758"/>
    <w:rsid w:val="002B08D8"/>
    <w:rsid w:val="002B0C8D"/>
    <w:rsid w:val="002B11EB"/>
    <w:rsid w:val="002B142F"/>
    <w:rsid w:val="002B1D37"/>
    <w:rsid w:val="002B1F3E"/>
    <w:rsid w:val="002B2578"/>
    <w:rsid w:val="002B62B2"/>
    <w:rsid w:val="002B662C"/>
    <w:rsid w:val="002B6D85"/>
    <w:rsid w:val="002B6FED"/>
    <w:rsid w:val="002B7D3A"/>
    <w:rsid w:val="002C05B6"/>
    <w:rsid w:val="002C1430"/>
    <w:rsid w:val="002C17CB"/>
    <w:rsid w:val="002C1D5A"/>
    <w:rsid w:val="002C20CB"/>
    <w:rsid w:val="002C2656"/>
    <w:rsid w:val="002C2D73"/>
    <w:rsid w:val="002C30AA"/>
    <w:rsid w:val="002C3C6A"/>
    <w:rsid w:val="002C4746"/>
    <w:rsid w:val="002C491B"/>
    <w:rsid w:val="002C7672"/>
    <w:rsid w:val="002D0335"/>
    <w:rsid w:val="002D053F"/>
    <w:rsid w:val="002D113B"/>
    <w:rsid w:val="002D11F3"/>
    <w:rsid w:val="002D1892"/>
    <w:rsid w:val="002D23AA"/>
    <w:rsid w:val="002D3169"/>
    <w:rsid w:val="002D40BB"/>
    <w:rsid w:val="002D4E3C"/>
    <w:rsid w:val="002D54B3"/>
    <w:rsid w:val="002D5DCD"/>
    <w:rsid w:val="002D649E"/>
    <w:rsid w:val="002D67C8"/>
    <w:rsid w:val="002E0ADE"/>
    <w:rsid w:val="002E1272"/>
    <w:rsid w:val="002E1777"/>
    <w:rsid w:val="002E1B0A"/>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1619"/>
    <w:rsid w:val="002F20F2"/>
    <w:rsid w:val="002F2145"/>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457"/>
    <w:rsid w:val="003109F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1C1"/>
    <w:rsid w:val="00321659"/>
    <w:rsid w:val="00324329"/>
    <w:rsid w:val="0032438D"/>
    <w:rsid w:val="0032536A"/>
    <w:rsid w:val="00325525"/>
    <w:rsid w:val="00325AE3"/>
    <w:rsid w:val="00325FC9"/>
    <w:rsid w:val="00326069"/>
    <w:rsid w:val="00326331"/>
    <w:rsid w:val="00326460"/>
    <w:rsid w:val="00326AE1"/>
    <w:rsid w:val="003272E3"/>
    <w:rsid w:val="00327367"/>
    <w:rsid w:val="00327C14"/>
    <w:rsid w:val="0033028E"/>
    <w:rsid w:val="003306C2"/>
    <w:rsid w:val="00331BA1"/>
    <w:rsid w:val="00331BDB"/>
    <w:rsid w:val="00333504"/>
    <w:rsid w:val="0033379A"/>
    <w:rsid w:val="0033391A"/>
    <w:rsid w:val="00334340"/>
    <w:rsid w:val="00334AE8"/>
    <w:rsid w:val="00335335"/>
    <w:rsid w:val="00335FDB"/>
    <w:rsid w:val="0033601B"/>
    <w:rsid w:val="0033627A"/>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46"/>
    <w:rsid w:val="003458B1"/>
    <w:rsid w:val="003458FB"/>
    <w:rsid w:val="00345C93"/>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344"/>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194"/>
    <w:rsid w:val="00374415"/>
    <w:rsid w:val="003747A9"/>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246A"/>
    <w:rsid w:val="00383250"/>
    <w:rsid w:val="00383A77"/>
    <w:rsid w:val="00383CF7"/>
    <w:rsid w:val="00383EFF"/>
    <w:rsid w:val="00384262"/>
    <w:rsid w:val="00384EA2"/>
    <w:rsid w:val="0038529B"/>
    <w:rsid w:val="003875D3"/>
    <w:rsid w:val="0039039F"/>
    <w:rsid w:val="003903EE"/>
    <w:rsid w:val="00391213"/>
    <w:rsid w:val="003912C4"/>
    <w:rsid w:val="003928A8"/>
    <w:rsid w:val="00393095"/>
    <w:rsid w:val="00393A12"/>
    <w:rsid w:val="00394FEA"/>
    <w:rsid w:val="00395022"/>
    <w:rsid w:val="00395BC6"/>
    <w:rsid w:val="0039657B"/>
    <w:rsid w:val="00397141"/>
    <w:rsid w:val="0039725D"/>
    <w:rsid w:val="00397E08"/>
    <w:rsid w:val="003A06EE"/>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4886"/>
    <w:rsid w:val="003D5281"/>
    <w:rsid w:val="003D5687"/>
    <w:rsid w:val="003D5BAA"/>
    <w:rsid w:val="003D62A9"/>
    <w:rsid w:val="003D6E66"/>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B2"/>
    <w:rsid w:val="003E76CC"/>
    <w:rsid w:val="003E7AA1"/>
    <w:rsid w:val="003F00CD"/>
    <w:rsid w:val="003F1632"/>
    <w:rsid w:val="003F1891"/>
    <w:rsid w:val="003F219F"/>
    <w:rsid w:val="003F28FD"/>
    <w:rsid w:val="003F2EDD"/>
    <w:rsid w:val="003F2EE4"/>
    <w:rsid w:val="003F3810"/>
    <w:rsid w:val="003F3E3B"/>
    <w:rsid w:val="003F4437"/>
    <w:rsid w:val="003F4E28"/>
    <w:rsid w:val="003F5003"/>
    <w:rsid w:val="003F5B64"/>
    <w:rsid w:val="003F5CDF"/>
    <w:rsid w:val="003F5FE4"/>
    <w:rsid w:val="003F67A6"/>
    <w:rsid w:val="003F6A8C"/>
    <w:rsid w:val="003F73A0"/>
    <w:rsid w:val="003F766E"/>
    <w:rsid w:val="003F7767"/>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6D5C"/>
    <w:rsid w:val="0040747D"/>
    <w:rsid w:val="0040790D"/>
    <w:rsid w:val="004079AB"/>
    <w:rsid w:val="00407E3D"/>
    <w:rsid w:val="00410291"/>
    <w:rsid w:val="00410F52"/>
    <w:rsid w:val="00411A48"/>
    <w:rsid w:val="00411E9E"/>
    <w:rsid w:val="0041221A"/>
    <w:rsid w:val="00412344"/>
    <w:rsid w:val="00412A4C"/>
    <w:rsid w:val="004138A9"/>
    <w:rsid w:val="0041407D"/>
    <w:rsid w:val="004140D6"/>
    <w:rsid w:val="00414474"/>
    <w:rsid w:val="0041481F"/>
    <w:rsid w:val="00415021"/>
    <w:rsid w:val="00415624"/>
    <w:rsid w:val="00416170"/>
    <w:rsid w:val="004161F0"/>
    <w:rsid w:val="0041623E"/>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278BA"/>
    <w:rsid w:val="00430BBF"/>
    <w:rsid w:val="00431156"/>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6BF"/>
    <w:rsid w:val="0044572F"/>
    <w:rsid w:val="00445A6F"/>
    <w:rsid w:val="00445C07"/>
    <w:rsid w:val="00445CA2"/>
    <w:rsid w:val="00446178"/>
    <w:rsid w:val="00446DC3"/>
    <w:rsid w:val="0044757D"/>
    <w:rsid w:val="004500DA"/>
    <w:rsid w:val="00450CFA"/>
    <w:rsid w:val="004512BA"/>
    <w:rsid w:val="00451D83"/>
    <w:rsid w:val="00452047"/>
    <w:rsid w:val="004529DA"/>
    <w:rsid w:val="00452AD9"/>
    <w:rsid w:val="00452C95"/>
    <w:rsid w:val="00454905"/>
    <w:rsid w:val="00454CD2"/>
    <w:rsid w:val="00455088"/>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9E"/>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490"/>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39C"/>
    <w:rsid w:val="004C1B95"/>
    <w:rsid w:val="004C257C"/>
    <w:rsid w:val="004C25F0"/>
    <w:rsid w:val="004C295E"/>
    <w:rsid w:val="004C2D6E"/>
    <w:rsid w:val="004C3F58"/>
    <w:rsid w:val="004C43DD"/>
    <w:rsid w:val="004C44D2"/>
    <w:rsid w:val="004C59EF"/>
    <w:rsid w:val="004C5ACA"/>
    <w:rsid w:val="004C5DA1"/>
    <w:rsid w:val="004C65DF"/>
    <w:rsid w:val="004C73D8"/>
    <w:rsid w:val="004C7C9B"/>
    <w:rsid w:val="004D0832"/>
    <w:rsid w:val="004D08C8"/>
    <w:rsid w:val="004D0C5F"/>
    <w:rsid w:val="004D126B"/>
    <w:rsid w:val="004D1B7A"/>
    <w:rsid w:val="004D211E"/>
    <w:rsid w:val="004D2884"/>
    <w:rsid w:val="004D3578"/>
    <w:rsid w:val="004D36A4"/>
    <w:rsid w:val="004D380D"/>
    <w:rsid w:val="004D3DDE"/>
    <w:rsid w:val="004D3FB2"/>
    <w:rsid w:val="004D4088"/>
    <w:rsid w:val="004D43C7"/>
    <w:rsid w:val="004D4AA2"/>
    <w:rsid w:val="004D4FA5"/>
    <w:rsid w:val="004D5AB4"/>
    <w:rsid w:val="004D61B9"/>
    <w:rsid w:val="004D6512"/>
    <w:rsid w:val="004D682A"/>
    <w:rsid w:val="004D6C16"/>
    <w:rsid w:val="004D6E42"/>
    <w:rsid w:val="004D7262"/>
    <w:rsid w:val="004D7718"/>
    <w:rsid w:val="004E1E94"/>
    <w:rsid w:val="004E2042"/>
    <w:rsid w:val="004E213A"/>
    <w:rsid w:val="004E2C06"/>
    <w:rsid w:val="004E3E76"/>
    <w:rsid w:val="004E4B52"/>
    <w:rsid w:val="004E50B8"/>
    <w:rsid w:val="004E54D8"/>
    <w:rsid w:val="004E54F2"/>
    <w:rsid w:val="004E5B45"/>
    <w:rsid w:val="004E5EEA"/>
    <w:rsid w:val="004E5EF9"/>
    <w:rsid w:val="004E6B06"/>
    <w:rsid w:val="004E711F"/>
    <w:rsid w:val="004E7223"/>
    <w:rsid w:val="004E72D8"/>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4E3F"/>
    <w:rsid w:val="0051520C"/>
    <w:rsid w:val="005152EE"/>
    <w:rsid w:val="00516664"/>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216"/>
    <w:rsid w:val="00525C80"/>
    <w:rsid w:val="005266FA"/>
    <w:rsid w:val="005269FA"/>
    <w:rsid w:val="00527197"/>
    <w:rsid w:val="00527503"/>
    <w:rsid w:val="00527931"/>
    <w:rsid w:val="00527C3D"/>
    <w:rsid w:val="00530530"/>
    <w:rsid w:val="005311A2"/>
    <w:rsid w:val="0053150E"/>
    <w:rsid w:val="00531D1A"/>
    <w:rsid w:val="005326DB"/>
    <w:rsid w:val="00532B77"/>
    <w:rsid w:val="00533DB6"/>
    <w:rsid w:val="00534099"/>
    <w:rsid w:val="00534627"/>
    <w:rsid w:val="00534666"/>
    <w:rsid w:val="0053480B"/>
    <w:rsid w:val="00534DA0"/>
    <w:rsid w:val="00535623"/>
    <w:rsid w:val="00535659"/>
    <w:rsid w:val="0053638C"/>
    <w:rsid w:val="005363EF"/>
    <w:rsid w:val="00537050"/>
    <w:rsid w:val="005373D9"/>
    <w:rsid w:val="0053792C"/>
    <w:rsid w:val="00540354"/>
    <w:rsid w:val="00540652"/>
    <w:rsid w:val="00540BC2"/>
    <w:rsid w:val="005412C9"/>
    <w:rsid w:val="00542E2E"/>
    <w:rsid w:val="005430B7"/>
    <w:rsid w:val="00543386"/>
    <w:rsid w:val="00543BB0"/>
    <w:rsid w:val="00543E1B"/>
    <w:rsid w:val="00543E6C"/>
    <w:rsid w:val="0054428A"/>
    <w:rsid w:val="005444DB"/>
    <w:rsid w:val="0054476D"/>
    <w:rsid w:val="00544D70"/>
    <w:rsid w:val="005450C8"/>
    <w:rsid w:val="005452D4"/>
    <w:rsid w:val="00545687"/>
    <w:rsid w:val="00546A65"/>
    <w:rsid w:val="0054710F"/>
    <w:rsid w:val="00547B62"/>
    <w:rsid w:val="00547F86"/>
    <w:rsid w:val="00550088"/>
    <w:rsid w:val="00550331"/>
    <w:rsid w:val="00551074"/>
    <w:rsid w:val="0055118D"/>
    <w:rsid w:val="005511E6"/>
    <w:rsid w:val="00552DC0"/>
    <w:rsid w:val="00554091"/>
    <w:rsid w:val="00554187"/>
    <w:rsid w:val="005556C1"/>
    <w:rsid w:val="00555828"/>
    <w:rsid w:val="00555829"/>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677"/>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A666A"/>
    <w:rsid w:val="005B052C"/>
    <w:rsid w:val="005B0E08"/>
    <w:rsid w:val="005B164A"/>
    <w:rsid w:val="005B19AC"/>
    <w:rsid w:val="005B1A4D"/>
    <w:rsid w:val="005B20D9"/>
    <w:rsid w:val="005B2316"/>
    <w:rsid w:val="005B261E"/>
    <w:rsid w:val="005B2F71"/>
    <w:rsid w:val="005B4C9D"/>
    <w:rsid w:val="005B4DE0"/>
    <w:rsid w:val="005B4F22"/>
    <w:rsid w:val="005B4F92"/>
    <w:rsid w:val="005B5A26"/>
    <w:rsid w:val="005B5A51"/>
    <w:rsid w:val="005B5A9E"/>
    <w:rsid w:val="005B5B30"/>
    <w:rsid w:val="005B5C01"/>
    <w:rsid w:val="005B5F78"/>
    <w:rsid w:val="005B6795"/>
    <w:rsid w:val="005B6A15"/>
    <w:rsid w:val="005B6B7F"/>
    <w:rsid w:val="005B6CCE"/>
    <w:rsid w:val="005B6CDF"/>
    <w:rsid w:val="005B7830"/>
    <w:rsid w:val="005B7DDD"/>
    <w:rsid w:val="005C0AC8"/>
    <w:rsid w:val="005C0F41"/>
    <w:rsid w:val="005C1A33"/>
    <w:rsid w:val="005C2C59"/>
    <w:rsid w:val="005C2EC1"/>
    <w:rsid w:val="005C3C8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24D5"/>
    <w:rsid w:val="005D2DD0"/>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5B8D"/>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3"/>
    <w:rsid w:val="0060025D"/>
    <w:rsid w:val="006006D3"/>
    <w:rsid w:val="00600759"/>
    <w:rsid w:val="00600B70"/>
    <w:rsid w:val="006024B2"/>
    <w:rsid w:val="00602905"/>
    <w:rsid w:val="00602AA9"/>
    <w:rsid w:val="00602C7C"/>
    <w:rsid w:val="0060330F"/>
    <w:rsid w:val="006034C9"/>
    <w:rsid w:val="006035DC"/>
    <w:rsid w:val="0060363E"/>
    <w:rsid w:val="00604562"/>
    <w:rsid w:val="00604720"/>
    <w:rsid w:val="006055D7"/>
    <w:rsid w:val="006060C6"/>
    <w:rsid w:val="006060FC"/>
    <w:rsid w:val="006070A8"/>
    <w:rsid w:val="006074B6"/>
    <w:rsid w:val="00607BCF"/>
    <w:rsid w:val="00607BE1"/>
    <w:rsid w:val="00607F28"/>
    <w:rsid w:val="00611187"/>
    <w:rsid w:val="00611566"/>
    <w:rsid w:val="0061178E"/>
    <w:rsid w:val="006118BB"/>
    <w:rsid w:val="00611C24"/>
    <w:rsid w:val="00612439"/>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31C"/>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3BD"/>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2AA6"/>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18"/>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3CBC"/>
    <w:rsid w:val="006943F2"/>
    <w:rsid w:val="0069563D"/>
    <w:rsid w:val="00696393"/>
    <w:rsid w:val="006963B6"/>
    <w:rsid w:val="00696418"/>
    <w:rsid w:val="00696A0C"/>
    <w:rsid w:val="00696E93"/>
    <w:rsid w:val="00697CF2"/>
    <w:rsid w:val="00697F95"/>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251E"/>
    <w:rsid w:val="006B37E3"/>
    <w:rsid w:val="006B3E04"/>
    <w:rsid w:val="006B474B"/>
    <w:rsid w:val="006B52E8"/>
    <w:rsid w:val="006B5C5D"/>
    <w:rsid w:val="006B646C"/>
    <w:rsid w:val="006B6D4A"/>
    <w:rsid w:val="006B6E53"/>
    <w:rsid w:val="006B7163"/>
    <w:rsid w:val="006B7C5B"/>
    <w:rsid w:val="006B7D86"/>
    <w:rsid w:val="006C0A72"/>
    <w:rsid w:val="006C1094"/>
    <w:rsid w:val="006C198B"/>
    <w:rsid w:val="006C1D49"/>
    <w:rsid w:val="006C41BD"/>
    <w:rsid w:val="006C5141"/>
    <w:rsid w:val="006C53F5"/>
    <w:rsid w:val="006C5453"/>
    <w:rsid w:val="006C5F4C"/>
    <w:rsid w:val="006C66D8"/>
    <w:rsid w:val="006C6E8C"/>
    <w:rsid w:val="006C725E"/>
    <w:rsid w:val="006C78EF"/>
    <w:rsid w:val="006C7C10"/>
    <w:rsid w:val="006C7DDC"/>
    <w:rsid w:val="006D06D2"/>
    <w:rsid w:val="006D0B06"/>
    <w:rsid w:val="006D0B19"/>
    <w:rsid w:val="006D0C49"/>
    <w:rsid w:val="006D0F06"/>
    <w:rsid w:val="006D17C9"/>
    <w:rsid w:val="006D182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4AD"/>
    <w:rsid w:val="006F56C7"/>
    <w:rsid w:val="006F605D"/>
    <w:rsid w:val="006F6060"/>
    <w:rsid w:val="006F6A2C"/>
    <w:rsid w:val="006F79F1"/>
    <w:rsid w:val="0070067E"/>
    <w:rsid w:val="00700B00"/>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4E95"/>
    <w:rsid w:val="00715B05"/>
    <w:rsid w:val="007169BC"/>
    <w:rsid w:val="0071792E"/>
    <w:rsid w:val="00717DDA"/>
    <w:rsid w:val="0072003C"/>
    <w:rsid w:val="00720F60"/>
    <w:rsid w:val="00721075"/>
    <w:rsid w:val="007210C4"/>
    <w:rsid w:val="007211A9"/>
    <w:rsid w:val="007212DB"/>
    <w:rsid w:val="007214E3"/>
    <w:rsid w:val="007216AE"/>
    <w:rsid w:val="00721BA2"/>
    <w:rsid w:val="007228A5"/>
    <w:rsid w:val="007228E2"/>
    <w:rsid w:val="007231BC"/>
    <w:rsid w:val="007241B2"/>
    <w:rsid w:val="007246D2"/>
    <w:rsid w:val="007250BA"/>
    <w:rsid w:val="007257C9"/>
    <w:rsid w:val="00725B2F"/>
    <w:rsid w:val="0072662E"/>
    <w:rsid w:val="007267B6"/>
    <w:rsid w:val="00726D03"/>
    <w:rsid w:val="007278B8"/>
    <w:rsid w:val="007279B2"/>
    <w:rsid w:val="0073070F"/>
    <w:rsid w:val="0073090B"/>
    <w:rsid w:val="00730C05"/>
    <w:rsid w:val="00731554"/>
    <w:rsid w:val="00732567"/>
    <w:rsid w:val="007331F1"/>
    <w:rsid w:val="00733B5F"/>
    <w:rsid w:val="0073425E"/>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75B"/>
    <w:rsid w:val="00750CB2"/>
    <w:rsid w:val="00751156"/>
    <w:rsid w:val="00751587"/>
    <w:rsid w:val="007519C4"/>
    <w:rsid w:val="00752758"/>
    <w:rsid w:val="00752F0C"/>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A83"/>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612"/>
    <w:rsid w:val="007C685F"/>
    <w:rsid w:val="007C6B57"/>
    <w:rsid w:val="007C70B8"/>
    <w:rsid w:val="007C72D5"/>
    <w:rsid w:val="007C775D"/>
    <w:rsid w:val="007C7D21"/>
    <w:rsid w:val="007C7EBB"/>
    <w:rsid w:val="007D007F"/>
    <w:rsid w:val="007D0D1A"/>
    <w:rsid w:val="007D107E"/>
    <w:rsid w:val="007D10D2"/>
    <w:rsid w:val="007D1127"/>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63C"/>
    <w:rsid w:val="007E076D"/>
    <w:rsid w:val="007E13CE"/>
    <w:rsid w:val="007E15EC"/>
    <w:rsid w:val="007E15F2"/>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0"/>
    <w:rsid w:val="0081159E"/>
    <w:rsid w:val="008119E6"/>
    <w:rsid w:val="00811BA2"/>
    <w:rsid w:val="0081211D"/>
    <w:rsid w:val="008123C3"/>
    <w:rsid w:val="00812927"/>
    <w:rsid w:val="008131F5"/>
    <w:rsid w:val="00813245"/>
    <w:rsid w:val="00813679"/>
    <w:rsid w:val="00813EAE"/>
    <w:rsid w:val="00813F81"/>
    <w:rsid w:val="00814787"/>
    <w:rsid w:val="00815341"/>
    <w:rsid w:val="00815A21"/>
    <w:rsid w:val="00815D92"/>
    <w:rsid w:val="00815F30"/>
    <w:rsid w:val="0081600F"/>
    <w:rsid w:val="00816DB6"/>
    <w:rsid w:val="00817072"/>
    <w:rsid w:val="00817362"/>
    <w:rsid w:val="0081776B"/>
    <w:rsid w:val="00817CBE"/>
    <w:rsid w:val="00821EB1"/>
    <w:rsid w:val="00821EFD"/>
    <w:rsid w:val="00821F16"/>
    <w:rsid w:val="00822D14"/>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C4B"/>
    <w:rsid w:val="00835EA1"/>
    <w:rsid w:val="008360B4"/>
    <w:rsid w:val="008362F6"/>
    <w:rsid w:val="00836B24"/>
    <w:rsid w:val="00837983"/>
    <w:rsid w:val="00837DE7"/>
    <w:rsid w:val="00837F66"/>
    <w:rsid w:val="008401FB"/>
    <w:rsid w:val="00840CD3"/>
    <w:rsid w:val="008411FD"/>
    <w:rsid w:val="00841B3D"/>
    <w:rsid w:val="00842245"/>
    <w:rsid w:val="00842466"/>
    <w:rsid w:val="0084301B"/>
    <w:rsid w:val="00843A40"/>
    <w:rsid w:val="0084414A"/>
    <w:rsid w:val="00844594"/>
    <w:rsid w:val="00845169"/>
    <w:rsid w:val="0084611C"/>
    <w:rsid w:val="00846905"/>
    <w:rsid w:val="00846EC5"/>
    <w:rsid w:val="008478BB"/>
    <w:rsid w:val="00847D23"/>
    <w:rsid w:val="00850A0E"/>
    <w:rsid w:val="00851851"/>
    <w:rsid w:val="0085203E"/>
    <w:rsid w:val="00852211"/>
    <w:rsid w:val="0085253F"/>
    <w:rsid w:val="00853039"/>
    <w:rsid w:val="008532EA"/>
    <w:rsid w:val="008536A2"/>
    <w:rsid w:val="008537B6"/>
    <w:rsid w:val="008539DB"/>
    <w:rsid w:val="00854445"/>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67FA8"/>
    <w:rsid w:val="00870163"/>
    <w:rsid w:val="0087099B"/>
    <w:rsid w:val="0087175F"/>
    <w:rsid w:val="008717C3"/>
    <w:rsid w:val="008718C4"/>
    <w:rsid w:val="00872EDF"/>
    <w:rsid w:val="0087355B"/>
    <w:rsid w:val="00873A6B"/>
    <w:rsid w:val="00873F3E"/>
    <w:rsid w:val="00873FFD"/>
    <w:rsid w:val="0087420C"/>
    <w:rsid w:val="00875190"/>
    <w:rsid w:val="008751E5"/>
    <w:rsid w:val="00875B87"/>
    <w:rsid w:val="00875EDF"/>
    <w:rsid w:val="008768CA"/>
    <w:rsid w:val="00877056"/>
    <w:rsid w:val="00877604"/>
    <w:rsid w:val="00877EF9"/>
    <w:rsid w:val="00880352"/>
    <w:rsid w:val="00880559"/>
    <w:rsid w:val="0088072B"/>
    <w:rsid w:val="0088075D"/>
    <w:rsid w:val="00880FCA"/>
    <w:rsid w:val="00880FF8"/>
    <w:rsid w:val="008819B8"/>
    <w:rsid w:val="00882761"/>
    <w:rsid w:val="00882A54"/>
    <w:rsid w:val="00882AB4"/>
    <w:rsid w:val="008837E3"/>
    <w:rsid w:val="00884A76"/>
    <w:rsid w:val="00884F5B"/>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48BE"/>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9CC"/>
    <w:rsid w:val="008C2CF2"/>
    <w:rsid w:val="008C2DA6"/>
    <w:rsid w:val="008C2FFA"/>
    <w:rsid w:val="008C3747"/>
    <w:rsid w:val="008C387B"/>
    <w:rsid w:val="008C4341"/>
    <w:rsid w:val="008C44C7"/>
    <w:rsid w:val="008C45B4"/>
    <w:rsid w:val="008C5D5D"/>
    <w:rsid w:val="008C61C7"/>
    <w:rsid w:val="008C705A"/>
    <w:rsid w:val="008D0A9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1F3A"/>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246"/>
    <w:rsid w:val="008F6F9F"/>
    <w:rsid w:val="008F74F3"/>
    <w:rsid w:val="00900005"/>
    <w:rsid w:val="00900059"/>
    <w:rsid w:val="009001D7"/>
    <w:rsid w:val="00900224"/>
    <w:rsid w:val="009007A2"/>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4DA4"/>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4FD9"/>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27731"/>
    <w:rsid w:val="0093039A"/>
    <w:rsid w:val="00930909"/>
    <w:rsid w:val="00930947"/>
    <w:rsid w:val="00931003"/>
    <w:rsid w:val="009312F5"/>
    <w:rsid w:val="009314E8"/>
    <w:rsid w:val="009318CC"/>
    <w:rsid w:val="00931C51"/>
    <w:rsid w:val="009321E1"/>
    <w:rsid w:val="00932635"/>
    <w:rsid w:val="009328CC"/>
    <w:rsid w:val="00932B3F"/>
    <w:rsid w:val="0093454B"/>
    <w:rsid w:val="009359C3"/>
    <w:rsid w:val="00936003"/>
    <w:rsid w:val="00936071"/>
    <w:rsid w:val="00936851"/>
    <w:rsid w:val="00937559"/>
    <w:rsid w:val="009377B3"/>
    <w:rsid w:val="00937E3E"/>
    <w:rsid w:val="00940212"/>
    <w:rsid w:val="009405AE"/>
    <w:rsid w:val="00940952"/>
    <w:rsid w:val="009414A9"/>
    <w:rsid w:val="00941C6A"/>
    <w:rsid w:val="00942337"/>
    <w:rsid w:val="00942EC2"/>
    <w:rsid w:val="00942F6D"/>
    <w:rsid w:val="00943738"/>
    <w:rsid w:val="00943B4A"/>
    <w:rsid w:val="00943D06"/>
    <w:rsid w:val="0094483D"/>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12F"/>
    <w:rsid w:val="00953AEC"/>
    <w:rsid w:val="00953FFE"/>
    <w:rsid w:val="009554D9"/>
    <w:rsid w:val="00955C83"/>
    <w:rsid w:val="00956050"/>
    <w:rsid w:val="00956612"/>
    <w:rsid w:val="009567FD"/>
    <w:rsid w:val="009577B3"/>
    <w:rsid w:val="00957C05"/>
    <w:rsid w:val="00961A34"/>
    <w:rsid w:val="00961B32"/>
    <w:rsid w:val="00964044"/>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3B7"/>
    <w:rsid w:val="0098276B"/>
    <w:rsid w:val="00983319"/>
    <w:rsid w:val="00983512"/>
    <w:rsid w:val="00983B3A"/>
    <w:rsid w:val="0098422A"/>
    <w:rsid w:val="009852C6"/>
    <w:rsid w:val="00985761"/>
    <w:rsid w:val="009864BD"/>
    <w:rsid w:val="00986773"/>
    <w:rsid w:val="009870EF"/>
    <w:rsid w:val="00987B87"/>
    <w:rsid w:val="009905F3"/>
    <w:rsid w:val="009906E1"/>
    <w:rsid w:val="0099241E"/>
    <w:rsid w:val="00992B88"/>
    <w:rsid w:val="00992E7F"/>
    <w:rsid w:val="009937FC"/>
    <w:rsid w:val="00993BDC"/>
    <w:rsid w:val="009948E7"/>
    <w:rsid w:val="00994995"/>
    <w:rsid w:val="0099639B"/>
    <w:rsid w:val="00996610"/>
    <w:rsid w:val="0099763A"/>
    <w:rsid w:val="00997E17"/>
    <w:rsid w:val="009A0AF3"/>
    <w:rsid w:val="009A0EA3"/>
    <w:rsid w:val="009A1C5A"/>
    <w:rsid w:val="009A20B3"/>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555"/>
    <w:rsid w:val="009B1676"/>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B74AD"/>
    <w:rsid w:val="009C0EFA"/>
    <w:rsid w:val="009C1347"/>
    <w:rsid w:val="009C1743"/>
    <w:rsid w:val="009C19E9"/>
    <w:rsid w:val="009C1DE4"/>
    <w:rsid w:val="009C212E"/>
    <w:rsid w:val="009C2E3B"/>
    <w:rsid w:val="009C4551"/>
    <w:rsid w:val="009C4778"/>
    <w:rsid w:val="009C4ACF"/>
    <w:rsid w:val="009C4CBE"/>
    <w:rsid w:val="009C52A9"/>
    <w:rsid w:val="009C5E02"/>
    <w:rsid w:val="009C6479"/>
    <w:rsid w:val="009C6BBE"/>
    <w:rsid w:val="009C6EFF"/>
    <w:rsid w:val="009D1537"/>
    <w:rsid w:val="009D3030"/>
    <w:rsid w:val="009D38F9"/>
    <w:rsid w:val="009D3B76"/>
    <w:rsid w:val="009D3D90"/>
    <w:rsid w:val="009D4882"/>
    <w:rsid w:val="009D5193"/>
    <w:rsid w:val="009D54A9"/>
    <w:rsid w:val="009D5B19"/>
    <w:rsid w:val="009D5F65"/>
    <w:rsid w:val="009D74A6"/>
    <w:rsid w:val="009E0EE7"/>
    <w:rsid w:val="009E15D8"/>
    <w:rsid w:val="009E2036"/>
    <w:rsid w:val="009E211E"/>
    <w:rsid w:val="009E225D"/>
    <w:rsid w:val="009E3859"/>
    <w:rsid w:val="009E455A"/>
    <w:rsid w:val="009E47D9"/>
    <w:rsid w:val="009E4BD5"/>
    <w:rsid w:val="009E50F1"/>
    <w:rsid w:val="009E5D0C"/>
    <w:rsid w:val="009E61F5"/>
    <w:rsid w:val="009E643C"/>
    <w:rsid w:val="009E6BBF"/>
    <w:rsid w:val="009E6D7F"/>
    <w:rsid w:val="009E77BD"/>
    <w:rsid w:val="009F0504"/>
    <w:rsid w:val="009F0C1D"/>
    <w:rsid w:val="009F0DE9"/>
    <w:rsid w:val="009F11B9"/>
    <w:rsid w:val="009F157E"/>
    <w:rsid w:val="009F267D"/>
    <w:rsid w:val="009F26B6"/>
    <w:rsid w:val="009F2870"/>
    <w:rsid w:val="009F28B3"/>
    <w:rsid w:val="009F2E9B"/>
    <w:rsid w:val="009F3AA0"/>
    <w:rsid w:val="009F3F4E"/>
    <w:rsid w:val="009F56E5"/>
    <w:rsid w:val="009F65DA"/>
    <w:rsid w:val="009F6D95"/>
    <w:rsid w:val="009F772A"/>
    <w:rsid w:val="009F776A"/>
    <w:rsid w:val="009F797F"/>
    <w:rsid w:val="009F7A6C"/>
    <w:rsid w:val="009F7D40"/>
    <w:rsid w:val="009F7E18"/>
    <w:rsid w:val="00A00145"/>
    <w:rsid w:val="00A00542"/>
    <w:rsid w:val="00A00A84"/>
    <w:rsid w:val="00A00A94"/>
    <w:rsid w:val="00A02103"/>
    <w:rsid w:val="00A022B8"/>
    <w:rsid w:val="00A0240E"/>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08E"/>
    <w:rsid w:val="00A204CA"/>
    <w:rsid w:val="00A20C07"/>
    <w:rsid w:val="00A2167E"/>
    <w:rsid w:val="00A2178C"/>
    <w:rsid w:val="00A217AC"/>
    <w:rsid w:val="00A217D5"/>
    <w:rsid w:val="00A217F9"/>
    <w:rsid w:val="00A21C0A"/>
    <w:rsid w:val="00A22C43"/>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93D"/>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0939"/>
    <w:rsid w:val="00A5139F"/>
    <w:rsid w:val="00A52BB7"/>
    <w:rsid w:val="00A53724"/>
    <w:rsid w:val="00A54197"/>
    <w:rsid w:val="00A545E1"/>
    <w:rsid w:val="00A54ADF"/>
    <w:rsid w:val="00A54DA7"/>
    <w:rsid w:val="00A552E5"/>
    <w:rsid w:val="00A556C2"/>
    <w:rsid w:val="00A5572A"/>
    <w:rsid w:val="00A560F0"/>
    <w:rsid w:val="00A56366"/>
    <w:rsid w:val="00A563D6"/>
    <w:rsid w:val="00A56D65"/>
    <w:rsid w:val="00A56D8B"/>
    <w:rsid w:val="00A579FD"/>
    <w:rsid w:val="00A57A08"/>
    <w:rsid w:val="00A60580"/>
    <w:rsid w:val="00A6283C"/>
    <w:rsid w:val="00A640C7"/>
    <w:rsid w:val="00A644C1"/>
    <w:rsid w:val="00A65146"/>
    <w:rsid w:val="00A6548E"/>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088A"/>
    <w:rsid w:val="00A81CC0"/>
    <w:rsid w:val="00A81E50"/>
    <w:rsid w:val="00A82346"/>
    <w:rsid w:val="00A839C0"/>
    <w:rsid w:val="00A83D2C"/>
    <w:rsid w:val="00A8425D"/>
    <w:rsid w:val="00A843C9"/>
    <w:rsid w:val="00A84CBC"/>
    <w:rsid w:val="00A84FFA"/>
    <w:rsid w:val="00A8505C"/>
    <w:rsid w:val="00A851A8"/>
    <w:rsid w:val="00A86BD0"/>
    <w:rsid w:val="00A87695"/>
    <w:rsid w:val="00A8782A"/>
    <w:rsid w:val="00A90086"/>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0C9"/>
    <w:rsid w:val="00AB7595"/>
    <w:rsid w:val="00AB7A66"/>
    <w:rsid w:val="00AB7FBE"/>
    <w:rsid w:val="00AC0460"/>
    <w:rsid w:val="00AC0480"/>
    <w:rsid w:val="00AC0C9B"/>
    <w:rsid w:val="00AC20D8"/>
    <w:rsid w:val="00AC247E"/>
    <w:rsid w:val="00AC3389"/>
    <w:rsid w:val="00AC39C3"/>
    <w:rsid w:val="00AC5D02"/>
    <w:rsid w:val="00AC6864"/>
    <w:rsid w:val="00AC69B1"/>
    <w:rsid w:val="00AC72CC"/>
    <w:rsid w:val="00AD0184"/>
    <w:rsid w:val="00AD0410"/>
    <w:rsid w:val="00AD044C"/>
    <w:rsid w:val="00AD1147"/>
    <w:rsid w:val="00AD12D5"/>
    <w:rsid w:val="00AD13B6"/>
    <w:rsid w:val="00AD26FD"/>
    <w:rsid w:val="00AD2CEF"/>
    <w:rsid w:val="00AD2EF4"/>
    <w:rsid w:val="00AD2EFA"/>
    <w:rsid w:val="00AD36A2"/>
    <w:rsid w:val="00AD3F42"/>
    <w:rsid w:val="00AD409B"/>
    <w:rsid w:val="00AD4526"/>
    <w:rsid w:val="00AD4BAD"/>
    <w:rsid w:val="00AD4CC5"/>
    <w:rsid w:val="00AD4DE2"/>
    <w:rsid w:val="00AD5BA2"/>
    <w:rsid w:val="00AD6255"/>
    <w:rsid w:val="00AD6474"/>
    <w:rsid w:val="00AD64E7"/>
    <w:rsid w:val="00AD6AAF"/>
    <w:rsid w:val="00AD7111"/>
    <w:rsid w:val="00AD781B"/>
    <w:rsid w:val="00AD78F1"/>
    <w:rsid w:val="00AD7CAC"/>
    <w:rsid w:val="00AE03A4"/>
    <w:rsid w:val="00AE1D46"/>
    <w:rsid w:val="00AE1E31"/>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3A"/>
    <w:rsid w:val="00AF3D83"/>
    <w:rsid w:val="00AF41E1"/>
    <w:rsid w:val="00AF4692"/>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49B"/>
    <w:rsid w:val="00B05962"/>
    <w:rsid w:val="00B061C4"/>
    <w:rsid w:val="00B068EB"/>
    <w:rsid w:val="00B06A14"/>
    <w:rsid w:val="00B06D14"/>
    <w:rsid w:val="00B073DD"/>
    <w:rsid w:val="00B07C10"/>
    <w:rsid w:val="00B07D78"/>
    <w:rsid w:val="00B1026D"/>
    <w:rsid w:val="00B1028C"/>
    <w:rsid w:val="00B1035C"/>
    <w:rsid w:val="00B1097F"/>
    <w:rsid w:val="00B10CA9"/>
    <w:rsid w:val="00B11949"/>
    <w:rsid w:val="00B1225A"/>
    <w:rsid w:val="00B14AA4"/>
    <w:rsid w:val="00B15449"/>
    <w:rsid w:val="00B154AD"/>
    <w:rsid w:val="00B16299"/>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2"/>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4EE"/>
    <w:rsid w:val="00B37F31"/>
    <w:rsid w:val="00B40200"/>
    <w:rsid w:val="00B41684"/>
    <w:rsid w:val="00B41982"/>
    <w:rsid w:val="00B41992"/>
    <w:rsid w:val="00B42FEC"/>
    <w:rsid w:val="00B43C6D"/>
    <w:rsid w:val="00B43D35"/>
    <w:rsid w:val="00B43E22"/>
    <w:rsid w:val="00B44380"/>
    <w:rsid w:val="00B44C73"/>
    <w:rsid w:val="00B45722"/>
    <w:rsid w:val="00B45F14"/>
    <w:rsid w:val="00B45F37"/>
    <w:rsid w:val="00B46180"/>
    <w:rsid w:val="00B46AF6"/>
    <w:rsid w:val="00B46BD9"/>
    <w:rsid w:val="00B4721B"/>
    <w:rsid w:val="00B476A4"/>
    <w:rsid w:val="00B47FD1"/>
    <w:rsid w:val="00B50105"/>
    <w:rsid w:val="00B51211"/>
    <w:rsid w:val="00B516BB"/>
    <w:rsid w:val="00B52309"/>
    <w:rsid w:val="00B5284F"/>
    <w:rsid w:val="00B528CB"/>
    <w:rsid w:val="00B52EAE"/>
    <w:rsid w:val="00B52F9B"/>
    <w:rsid w:val="00B5384A"/>
    <w:rsid w:val="00B53CD2"/>
    <w:rsid w:val="00B53D13"/>
    <w:rsid w:val="00B54239"/>
    <w:rsid w:val="00B5444A"/>
    <w:rsid w:val="00B54D5B"/>
    <w:rsid w:val="00B56159"/>
    <w:rsid w:val="00B60B93"/>
    <w:rsid w:val="00B6195D"/>
    <w:rsid w:val="00B62E45"/>
    <w:rsid w:val="00B6384E"/>
    <w:rsid w:val="00B64260"/>
    <w:rsid w:val="00B64A97"/>
    <w:rsid w:val="00B64B76"/>
    <w:rsid w:val="00B658EC"/>
    <w:rsid w:val="00B66D5F"/>
    <w:rsid w:val="00B67FC3"/>
    <w:rsid w:val="00B7012E"/>
    <w:rsid w:val="00B70FA2"/>
    <w:rsid w:val="00B717DB"/>
    <w:rsid w:val="00B7279B"/>
    <w:rsid w:val="00B72999"/>
    <w:rsid w:val="00B734E1"/>
    <w:rsid w:val="00B735BA"/>
    <w:rsid w:val="00B735ED"/>
    <w:rsid w:val="00B76595"/>
    <w:rsid w:val="00B777EA"/>
    <w:rsid w:val="00B77808"/>
    <w:rsid w:val="00B778D3"/>
    <w:rsid w:val="00B7796E"/>
    <w:rsid w:val="00B77D81"/>
    <w:rsid w:val="00B8007A"/>
    <w:rsid w:val="00B801C9"/>
    <w:rsid w:val="00B8042B"/>
    <w:rsid w:val="00B804DA"/>
    <w:rsid w:val="00B8134A"/>
    <w:rsid w:val="00B814E6"/>
    <w:rsid w:val="00B82184"/>
    <w:rsid w:val="00B82E6E"/>
    <w:rsid w:val="00B843B3"/>
    <w:rsid w:val="00B84F50"/>
    <w:rsid w:val="00B85AEE"/>
    <w:rsid w:val="00B86973"/>
    <w:rsid w:val="00B8713F"/>
    <w:rsid w:val="00B87534"/>
    <w:rsid w:val="00B878D2"/>
    <w:rsid w:val="00B905BE"/>
    <w:rsid w:val="00B915C6"/>
    <w:rsid w:val="00B91EE3"/>
    <w:rsid w:val="00B9252A"/>
    <w:rsid w:val="00B92BDF"/>
    <w:rsid w:val="00B92CCB"/>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6BB1"/>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1E1"/>
    <w:rsid w:val="00BB759C"/>
    <w:rsid w:val="00BB7916"/>
    <w:rsid w:val="00BB7A94"/>
    <w:rsid w:val="00BC03D0"/>
    <w:rsid w:val="00BC15CF"/>
    <w:rsid w:val="00BC15FF"/>
    <w:rsid w:val="00BC1656"/>
    <w:rsid w:val="00BC2946"/>
    <w:rsid w:val="00BC2CD0"/>
    <w:rsid w:val="00BC3555"/>
    <w:rsid w:val="00BC3D24"/>
    <w:rsid w:val="00BC3FD2"/>
    <w:rsid w:val="00BC4920"/>
    <w:rsid w:val="00BC63F5"/>
    <w:rsid w:val="00BC6448"/>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AA5"/>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04B"/>
    <w:rsid w:val="00BF28DC"/>
    <w:rsid w:val="00BF2AD3"/>
    <w:rsid w:val="00BF2F5C"/>
    <w:rsid w:val="00BF367C"/>
    <w:rsid w:val="00BF4211"/>
    <w:rsid w:val="00BF4421"/>
    <w:rsid w:val="00BF456E"/>
    <w:rsid w:val="00BF48FB"/>
    <w:rsid w:val="00BF4E82"/>
    <w:rsid w:val="00BF54A8"/>
    <w:rsid w:val="00BF6413"/>
    <w:rsid w:val="00BF7023"/>
    <w:rsid w:val="00C00553"/>
    <w:rsid w:val="00C00571"/>
    <w:rsid w:val="00C008AD"/>
    <w:rsid w:val="00C01713"/>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5DCE"/>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9D3"/>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266A"/>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0C1"/>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487"/>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0AD"/>
    <w:rsid w:val="00C875BA"/>
    <w:rsid w:val="00C87A3D"/>
    <w:rsid w:val="00C905CB"/>
    <w:rsid w:val="00C9068C"/>
    <w:rsid w:val="00C90850"/>
    <w:rsid w:val="00C90F90"/>
    <w:rsid w:val="00C914BF"/>
    <w:rsid w:val="00C927F3"/>
    <w:rsid w:val="00C92967"/>
    <w:rsid w:val="00C92D56"/>
    <w:rsid w:val="00C93081"/>
    <w:rsid w:val="00C93240"/>
    <w:rsid w:val="00C93330"/>
    <w:rsid w:val="00C9393C"/>
    <w:rsid w:val="00C94190"/>
    <w:rsid w:val="00C947CC"/>
    <w:rsid w:val="00C95E5C"/>
    <w:rsid w:val="00C960AF"/>
    <w:rsid w:val="00C964AC"/>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2DA"/>
    <w:rsid w:val="00CA7EC8"/>
    <w:rsid w:val="00CB03CB"/>
    <w:rsid w:val="00CB06FA"/>
    <w:rsid w:val="00CB1CD7"/>
    <w:rsid w:val="00CB30D0"/>
    <w:rsid w:val="00CB3B35"/>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3EDA"/>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687"/>
    <w:rsid w:val="00CD08A1"/>
    <w:rsid w:val="00CD13FD"/>
    <w:rsid w:val="00CD1D3B"/>
    <w:rsid w:val="00CD3051"/>
    <w:rsid w:val="00CD342E"/>
    <w:rsid w:val="00CD39FE"/>
    <w:rsid w:val="00CD3C0C"/>
    <w:rsid w:val="00CD3E17"/>
    <w:rsid w:val="00CD41A0"/>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CC1"/>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E72E9"/>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508E"/>
    <w:rsid w:val="00D07386"/>
    <w:rsid w:val="00D0770C"/>
    <w:rsid w:val="00D07C42"/>
    <w:rsid w:val="00D07CB3"/>
    <w:rsid w:val="00D07E85"/>
    <w:rsid w:val="00D10724"/>
    <w:rsid w:val="00D10ABF"/>
    <w:rsid w:val="00D10AE0"/>
    <w:rsid w:val="00D10E3C"/>
    <w:rsid w:val="00D11650"/>
    <w:rsid w:val="00D11722"/>
    <w:rsid w:val="00D12009"/>
    <w:rsid w:val="00D1211B"/>
    <w:rsid w:val="00D12404"/>
    <w:rsid w:val="00D12B98"/>
    <w:rsid w:val="00D13E65"/>
    <w:rsid w:val="00D14193"/>
    <w:rsid w:val="00D144BD"/>
    <w:rsid w:val="00D15B4B"/>
    <w:rsid w:val="00D15FEF"/>
    <w:rsid w:val="00D1637D"/>
    <w:rsid w:val="00D167C6"/>
    <w:rsid w:val="00D168E2"/>
    <w:rsid w:val="00D16960"/>
    <w:rsid w:val="00D16F66"/>
    <w:rsid w:val="00D17500"/>
    <w:rsid w:val="00D1752B"/>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354"/>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292"/>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C6E"/>
    <w:rsid w:val="00D84D3A"/>
    <w:rsid w:val="00D85153"/>
    <w:rsid w:val="00D854BE"/>
    <w:rsid w:val="00D85B7B"/>
    <w:rsid w:val="00D87599"/>
    <w:rsid w:val="00D87E00"/>
    <w:rsid w:val="00D87E24"/>
    <w:rsid w:val="00D90678"/>
    <w:rsid w:val="00D9068C"/>
    <w:rsid w:val="00D909EB"/>
    <w:rsid w:val="00D91311"/>
    <w:rsid w:val="00D9134D"/>
    <w:rsid w:val="00D91C8B"/>
    <w:rsid w:val="00D91F79"/>
    <w:rsid w:val="00D9244D"/>
    <w:rsid w:val="00D92633"/>
    <w:rsid w:val="00D92AA6"/>
    <w:rsid w:val="00D92D27"/>
    <w:rsid w:val="00D945AF"/>
    <w:rsid w:val="00D9509F"/>
    <w:rsid w:val="00D950FA"/>
    <w:rsid w:val="00D95369"/>
    <w:rsid w:val="00D9550C"/>
    <w:rsid w:val="00D96B96"/>
    <w:rsid w:val="00D96D11"/>
    <w:rsid w:val="00D96E1E"/>
    <w:rsid w:val="00D96E20"/>
    <w:rsid w:val="00D96FBF"/>
    <w:rsid w:val="00D973A2"/>
    <w:rsid w:val="00D9797B"/>
    <w:rsid w:val="00D97B43"/>
    <w:rsid w:val="00D97ED9"/>
    <w:rsid w:val="00DA0D9E"/>
    <w:rsid w:val="00DA19F8"/>
    <w:rsid w:val="00DA1E94"/>
    <w:rsid w:val="00DA264D"/>
    <w:rsid w:val="00DA2DBC"/>
    <w:rsid w:val="00DA5A9A"/>
    <w:rsid w:val="00DA5D90"/>
    <w:rsid w:val="00DA6383"/>
    <w:rsid w:val="00DA63AE"/>
    <w:rsid w:val="00DA6A26"/>
    <w:rsid w:val="00DA7114"/>
    <w:rsid w:val="00DA731A"/>
    <w:rsid w:val="00DA7A03"/>
    <w:rsid w:val="00DA7A85"/>
    <w:rsid w:val="00DA7F5D"/>
    <w:rsid w:val="00DB041B"/>
    <w:rsid w:val="00DB0543"/>
    <w:rsid w:val="00DB0D6E"/>
    <w:rsid w:val="00DB0DB8"/>
    <w:rsid w:val="00DB1818"/>
    <w:rsid w:val="00DB1AAF"/>
    <w:rsid w:val="00DB1F3D"/>
    <w:rsid w:val="00DB213D"/>
    <w:rsid w:val="00DB2D5E"/>
    <w:rsid w:val="00DB308C"/>
    <w:rsid w:val="00DB3450"/>
    <w:rsid w:val="00DB36B1"/>
    <w:rsid w:val="00DB3861"/>
    <w:rsid w:val="00DB431B"/>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6EA8"/>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7C3"/>
    <w:rsid w:val="00DD3AE1"/>
    <w:rsid w:val="00DD421B"/>
    <w:rsid w:val="00DD46C2"/>
    <w:rsid w:val="00DD574B"/>
    <w:rsid w:val="00DD5985"/>
    <w:rsid w:val="00DD5B06"/>
    <w:rsid w:val="00DD6022"/>
    <w:rsid w:val="00DD6F4D"/>
    <w:rsid w:val="00DD76A9"/>
    <w:rsid w:val="00DD7DD2"/>
    <w:rsid w:val="00DE0AB4"/>
    <w:rsid w:val="00DE1830"/>
    <w:rsid w:val="00DE1A7F"/>
    <w:rsid w:val="00DE3047"/>
    <w:rsid w:val="00DE34C2"/>
    <w:rsid w:val="00DE34FC"/>
    <w:rsid w:val="00DE35A0"/>
    <w:rsid w:val="00DE35AF"/>
    <w:rsid w:val="00DE39BE"/>
    <w:rsid w:val="00DE3A94"/>
    <w:rsid w:val="00DE3B42"/>
    <w:rsid w:val="00DE3F15"/>
    <w:rsid w:val="00DE4D7A"/>
    <w:rsid w:val="00DE4E72"/>
    <w:rsid w:val="00DE5122"/>
    <w:rsid w:val="00DE53F3"/>
    <w:rsid w:val="00DE55EC"/>
    <w:rsid w:val="00DE6D40"/>
    <w:rsid w:val="00DE71D8"/>
    <w:rsid w:val="00DE71E8"/>
    <w:rsid w:val="00DF0426"/>
    <w:rsid w:val="00DF05B6"/>
    <w:rsid w:val="00DF1B85"/>
    <w:rsid w:val="00DF2429"/>
    <w:rsid w:val="00DF2E49"/>
    <w:rsid w:val="00DF3300"/>
    <w:rsid w:val="00DF39F6"/>
    <w:rsid w:val="00DF4243"/>
    <w:rsid w:val="00DF4275"/>
    <w:rsid w:val="00DF4A6D"/>
    <w:rsid w:val="00DF4B1F"/>
    <w:rsid w:val="00DF5546"/>
    <w:rsid w:val="00DF5B92"/>
    <w:rsid w:val="00DF6922"/>
    <w:rsid w:val="00DF6A47"/>
    <w:rsid w:val="00DF7882"/>
    <w:rsid w:val="00DF7EFE"/>
    <w:rsid w:val="00E0006C"/>
    <w:rsid w:val="00E002B7"/>
    <w:rsid w:val="00E00AB6"/>
    <w:rsid w:val="00E02F09"/>
    <w:rsid w:val="00E034F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0C80"/>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2856"/>
    <w:rsid w:val="00E44382"/>
    <w:rsid w:val="00E4491A"/>
    <w:rsid w:val="00E449B4"/>
    <w:rsid w:val="00E45C45"/>
    <w:rsid w:val="00E461EF"/>
    <w:rsid w:val="00E46F44"/>
    <w:rsid w:val="00E471CF"/>
    <w:rsid w:val="00E47950"/>
    <w:rsid w:val="00E47B23"/>
    <w:rsid w:val="00E5003D"/>
    <w:rsid w:val="00E502D2"/>
    <w:rsid w:val="00E509BC"/>
    <w:rsid w:val="00E50AE9"/>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39D"/>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02"/>
    <w:rsid w:val="00E848F7"/>
    <w:rsid w:val="00E84D7D"/>
    <w:rsid w:val="00E85A89"/>
    <w:rsid w:val="00E864AA"/>
    <w:rsid w:val="00E86998"/>
    <w:rsid w:val="00E86EFA"/>
    <w:rsid w:val="00E87CFC"/>
    <w:rsid w:val="00E903E6"/>
    <w:rsid w:val="00E90438"/>
    <w:rsid w:val="00E90921"/>
    <w:rsid w:val="00E90DFF"/>
    <w:rsid w:val="00E9152B"/>
    <w:rsid w:val="00E919FD"/>
    <w:rsid w:val="00E91BD8"/>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3D54"/>
    <w:rsid w:val="00EA47F6"/>
    <w:rsid w:val="00EA53B2"/>
    <w:rsid w:val="00EA546E"/>
    <w:rsid w:val="00EA5546"/>
    <w:rsid w:val="00EA7411"/>
    <w:rsid w:val="00EB0011"/>
    <w:rsid w:val="00EB13CD"/>
    <w:rsid w:val="00EB1DCA"/>
    <w:rsid w:val="00EB256B"/>
    <w:rsid w:val="00EB3070"/>
    <w:rsid w:val="00EB36A5"/>
    <w:rsid w:val="00EB52C0"/>
    <w:rsid w:val="00EB5BED"/>
    <w:rsid w:val="00EB685E"/>
    <w:rsid w:val="00EB77B2"/>
    <w:rsid w:val="00EC0332"/>
    <w:rsid w:val="00EC188A"/>
    <w:rsid w:val="00EC20E3"/>
    <w:rsid w:val="00EC2939"/>
    <w:rsid w:val="00EC3069"/>
    <w:rsid w:val="00EC348B"/>
    <w:rsid w:val="00EC421D"/>
    <w:rsid w:val="00EC4A25"/>
    <w:rsid w:val="00EC4C15"/>
    <w:rsid w:val="00EC5084"/>
    <w:rsid w:val="00EC6CBF"/>
    <w:rsid w:val="00EC7851"/>
    <w:rsid w:val="00EC7B75"/>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19B6"/>
    <w:rsid w:val="00EF386A"/>
    <w:rsid w:val="00EF3C82"/>
    <w:rsid w:val="00EF42C9"/>
    <w:rsid w:val="00EF44B2"/>
    <w:rsid w:val="00EF494B"/>
    <w:rsid w:val="00EF58EA"/>
    <w:rsid w:val="00EF5EAE"/>
    <w:rsid w:val="00EF64BE"/>
    <w:rsid w:val="00EF67E2"/>
    <w:rsid w:val="00EF69B1"/>
    <w:rsid w:val="00EF73CE"/>
    <w:rsid w:val="00EF74F7"/>
    <w:rsid w:val="00EF7545"/>
    <w:rsid w:val="00EF75F7"/>
    <w:rsid w:val="00EF7BB6"/>
    <w:rsid w:val="00F0059F"/>
    <w:rsid w:val="00F00C4A"/>
    <w:rsid w:val="00F01889"/>
    <w:rsid w:val="00F0207E"/>
    <w:rsid w:val="00F025A2"/>
    <w:rsid w:val="00F0277A"/>
    <w:rsid w:val="00F02D47"/>
    <w:rsid w:val="00F03D4B"/>
    <w:rsid w:val="00F03FD4"/>
    <w:rsid w:val="00F040DC"/>
    <w:rsid w:val="00F04685"/>
    <w:rsid w:val="00F06034"/>
    <w:rsid w:val="00F06FAE"/>
    <w:rsid w:val="00F07388"/>
    <w:rsid w:val="00F07869"/>
    <w:rsid w:val="00F07E90"/>
    <w:rsid w:val="00F10052"/>
    <w:rsid w:val="00F119C2"/>
    <w:rsid w:val="00F12C4F"/>
    <w:rsid w:val="00F13500"/>
    <w:rsid w:val="00F1369D"/>
    <w:rsid w:val="00F13C89"/>
    <w:rsid w:val="00F14CA7"/>
    <w:rsid w:val="00F14F97"/>
    <w:rsid w:val="00F15B22"/>
    <w:rsid w:val="00F160E0"/>
    <w:rsid w:val="00F1688B"/>
    <w:rsid w:val="00F16B07"/>
    <w:rsid w:val="00F2026E"/>
    <w:rsid w:val="00F2033C"/>
    <w:rsid w:val="00F20401"/>
    <w:rsid w:val="00F20804"/>
    <w:rsid w:val="00F21F0A"/>
    <w:rsid w:val="00F2209C"/>
    <w:rsid w:val="00F2210A"/>
    <w:rsid w:val="00F22634"/>
    <w:rsid w:val="00F241D8"/>
    <w:rsid w:val="00F2440B"/>
    <w:rsid w:val="00F25D75"/>
    <w:rsid w:val="00F25DDA"/>
    <w:rsid w:val="00F261E1"/>
    <w:rsid w:val="00F2633C"/>
    <w:rsid w:val="00F26BF7"/>
    <w:rsid w:val="00F273DD"/>
    <w:rsid w:val="00F27B4B"/>
    <w:rsid w:val="00F30999"/>
    <w:rsid w:val="00F30B2A"/>
    <w:rsid w:val="00F31A67"/>
    <w:rsid w:val="00F31AF6"/>
    <w:rsid w:val="00F31FE4"/>
    <w:rsid w:val="00F32D31"/>
    <w:rsid w:val="00F34091"/>
    <w:rsid w:val="00F34874"/>
    <w:rsid w:val="00F348AA"/>
    <w:rsid w:val="00F35641"/>
    <w:rsid w:val="00F35ADA"/>
    <w:rsid w:val="00F36100"/>
    <w:rsid w:val="00F36A97"/>
    <w:rsid w:val="00F36FC9"/>
    <w:rsid w:val="00F37019"/>
    <w:rsid w:val="00F373B2"/>
    <w:rsid w:val="00F37743"/>
    <w:rsid w:val="00F37751"/>
    <w:rsid w:val="00F37FB3"/>
    <w:rsid w:val="00F4097B"/>
    <w:rsid w:val="00F40D04"/>
    <w:rsid w:val="00F425EC"/>
    <w:rsid w:val="00F42BF4"/>
    <w:rsid w:val="00F43B82"/>
    <w:rsid w:val="00F4403C"/>
    <w:rsid w:val="00F4415C"/>
    <w:rsid w:val="00F44DE2"/>
    <w:rsid w:val="00F4502B"/>
    <w:rsid w:val="00F45300"/>
    <w:rsid w:val="00F459B6"/>
    <w:rsid w:val="00F45B06"/>
    <w:rsid w:val="00F45C7B"/>
    <w:rsid w:val="00F46189"/>
    <w:rsid w:val="00F461D8"/>
    <w:rsid w:val="00F466E7"/>
    <w:rsid w:val="00F4731B"/>
    <w:rsid w:val="00F476BC"/>
    <w:rsid w:val="00F47B08"/>
    <w:rsid w:val="00F50148"/>
    <w:rsid w:val="00F503F6"/>
    <w:rsid w:val="00F507C8"/>
    <w:rsid w:val="00F509F6"/>
    <w:rsid w:val="00F5198C"/>
    <w:rsid w:val="00F51BDC"/>
    <w:rsid w:val="00F51E62"/>
    <w:rsid w:val="00F51F21"/>
    <w:rsid w:val="00F5258C"/>
    <w:rsid w:val="00F53119"/>
    <w:rsid w:val="00F53B5D"/>
    <w:rsid w:val="00F541B3"/>
    <w:rsid w:val="00F54A3D"/>
    <w:rsid w:val="00F54CB0"/>
    <w:rsid w:val="00F54EE2"/>
    <w:rsid w:val="00F55A56"/>
    <w:rsid w:val="00F55A8B"/>
    <w:rsid w:val="00F55D73"/>
    <w:rsid w:val="00F56832"/>
    <w:rsid w:val="00F56FC2"/>
    <w:rsid w:val="00F57840"/>
    <w:rsid w:val="00F57847"/>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531"/>
    <w:rsid w:val="00F839DF"/>
    <w:rsid w:val="00F83F72"/>
    <w:rsid w:val="00F846C9"/>
    <w:rsid w:val="00F846DF"/>
    <w:rsid w:val="00F8568D"/>
    <w:rsid w:val="00F85F4F"/>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C3D"/>
    <w:rsid w:val="00F94F4D"/>
    <w:rsid w:val="00F95754"/>
    <w:rsid w:val="00F959A5"/>
    <w:rsid w:val="00F964C1"/>
    <w:rsid w:val="00F96D5C"/>
    <w:rsid w:val="00F97231"/>
    <w:rsid w:val="00F9787E"/>
    <w:rsid w:val="00F97C6E"/>
    <w:rsid w:val="00F97DD6"/>
    <w:rsid w:val="00FA03D0"/>
    <w:rsid w:val="00FA04E7"/>
    <w:rsid w:val="00FA0893"/>
    <w:rsid w:val="00FA10DF"/>
    <w:rsid w:val="00FA1266"/>
    <w:rsid w:val="00FA13F1"/>
    <w:rsid w:val="00FA15D6"/>
    <w:rsid w:val="00FA161E"/>
    <w:rsid w:val="00FA1783"/>
    <w:rsid w:val="00FA1ABA"/>
    <w:rsid w:val="00FA2537"/>
    <w:rsid w:val="00FA4574"/>
    <w:rsid w:val="00FA4749"/>
    <w:rsid w:val="00FA48FA"/>
    <w:rsid w:val="00FA4B58"/>
    <w:rsid w:val="00FA5265"/>
    <w:rsid w:val="00FA564B"/>
    <w:rsid w:val="00FA5EAC"/>
    <w:rsid w:val="00FA65D3"/>
    <w:rsid w:val="00FA68A0"/>
    <w:rsid w:val="00FA7285"/>
    <w:rsid w:val="00FA7CC2"/>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5D2D"/>
    <w:rsid w:val="00FB62DE"/>
    <w:rsid w:val="00FB6BEC"/>
    <w:rsid w:val="00FB6EFD"/>
    <w:rsid w:val="00FB724C"/>
    <w:rsid w:val="00FB760E"/>
    <w:rsid w:val="00FB7DAD"/>
    <w:rsid w:val="00FC036F"/>
    <w:rsid w:val="00FC0FC2"/>
    <w:rsid w:val="00FC1192"/>
    <w:rsid w:val="00FC11AB"/>
    <w:rsid w:val="00FC1230"/>
    <w:rsid w:val="00FC1345"/>
    <w:rsid w:val="00FC1EC5"/>
    <w:rsid w:val="00FC233D"/>
    <w:rsid w:val="00FC2544"/>
    <w:rsid w:val="00FC28B8"/>
    <w:rsid w:val="00FC29CA"/>
    <w:rsid w:val="00FC3570"/>
    <w:rsid w:val="00FC3D10"/>
    <w:rsid w:val="00FC4C97"/>
    <w:rsid w:val="00FC5260"/>
    <w:rsid w:val="00FC6034"/>
    <w:rsid w:val="00FC62C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qFormat/>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 w:type="character" w:customStyle="1" w:styleId="B1Char1">
    <w:name w:val="B1 Char1"/>
    <w:qFormat/>
    <w:rsid w:val="00C15DCE"/>
  </w:style>
  <w:style w:type="paragraph" w:customStyle="1" w:styleId="Proposal">
    <w:name w:val="Proposal"/>
    <w:basedOn w:val="Normal"/>
    <w:link w:val="ProposalChar"/>
    <w:qFormat/>
    <w:rsid w:val="001C7718"/>
    <w:pPr>
      <w:overflowPunct w:val="0"/>
      <w:autoSpaceDE w:val="0"/>
      <w:autoSpaceDN w:val="0"/>
      <w:adjustRightInd w:val="0"/>
      <w:spacing w:line="259" w:lineRule="auto"/>
      <w:jc w:val="both"/>
    </w:pPr>
    <w:rPr>
      <w:rFonts w:eastAsia="SimSun"/>
      <w:lang w:eastAsia="zh-CN"/>
    </w:rPr>
  </w:style>
  <w:style w:type="character" w:customStyle="1" w:styleId="ProposalChar">
    <w:name w:val="Proposal Char"/>
    <w:link w:val="Proposal"/>
    <w:rsid w:val="001C7718"/>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50623">
      <w:bodyDiv w:val="1"/>
      <w:marLeft w:val="0"/>
      <w:marRight w:val="0"/>
      <w:marTop w:val="0"/>
      <w:marBottom w:val="0"/>
      <w:divBdr>
        <w:top w:val="none" w:sz="0" w:space="0" w:color="auto"/>
        <w:left w:val="none" w:sz="0" w:space="0" w:color="auto"/>
        <w:bottom w:val="none" w:sz="0" w:space="0" w:color="auto"/>
        <w:right w:val="none" w:sz="0" w:space="0" w:color="auto"/>
      </w:divBdr>
      <w:divsChild>
        <w:div w:id="1480614124">
          <w:marLeft w:val="0"/>
          <w:marRight w:val="0"/>
          <w:marTop w:val="0"/>
          <w:marBottom w:val="0"/>
          <w:divBdr>
            <w:top w:val="none" w:sz="0" w:space="0" w:color="auto"/>
            <w:left w:val="none" w:sz="0" w:space="0" w:color="auto"/>
            <w:bottom w:val="none" w:sz="0" w:space="0" w:color="auto"/>
            <w:right w:val="none" w:sz="0" w:space="0" w:color="auto"/>
          </w:divBdr>
        </w:div>
        <w:div w:id="1877545335">
          <w:marLeft w:val="0"/>
          <w:marRight w:val="0"/>
          <w:marTop w:val="0"/>
          <w:marBottom w:val="0"/>
          <w:divBdr>
            <w:top w:val="none" w:sz="0" w:space="0" w:color="auto"/>
            <w:left w:val="none" w:sz="0" w:space="0" w:color="auto"/>
            <w:bottom w:val="none" w:sz="0" w:space="0" w:color="auto"/>
            <w:right w:val="none" w:sz="0" w:space="0" w:color="auto"/>
          </w:divBdr>
        </w:div>
      </w:divsChild>
    </w:div>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06243318">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1572902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7130557">
      <w:bodyDiv w:val="1"/>
      <w:marLeft w:val="0"/>
      <w:marRight w:val="0"/>
      <w:marTop w:val="0"/>
      <w:marBottom w:val="0"/>
      <w:divBdr>
        <w:top w:val="none" w:sz="0" w:space="0" w:color="auto"/>
        <w:left w:val="none" w:sz="0" w:space="0" w:color="auto"/>
        <w:bottom w:val="none" w:sz="0" w:space="0" w:color="auto"/>
        <w:right w:val="none" w:sz="0" w:space="0" w:color="auto"/>
      </w:divBdr>
      <w:divsChild>
        <w:div w:id="716323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818016">
              <w:marLeft w:val="0"/>
              <w:marRight w:val="0"/>
              <w:marTop w:val="0"/>
              <w:marBottom w:val="0"/>
              <w:divBdr>
                <w:top w:val="none" w:sz="0" w:space="0" w:color="auto"/>
                <w:left w:val="none" w:sz="0" w:space="0" w:color="auto"/>
                <w:bottom w:val="none" w:sz="0" w:space="0" w:color="auto"/>
                <w:right w:val="none" w:sz="0" w:space="0" w:color="auto"/>
              </w:divBdr>
              <w:divsChild>
                <w:div w:id="1926645010">
                  <w:marLeft w:val="0"/>
                  <w:marRight w:val="0"/>
                  <w:marTop w:val="0"/>
                  <w:marBottom w:val="0"/>
                  <w:divBdr>
                    <w:top w:val="none" w:sz="0" w:space="0" w:color="auto"/>
                    <w:left w:val="none" w:sz="0" w:space="0" w:color="auto"/>
                    <w:bottom w:val="none" w:sz="0" w:space="0" w:color="auto"/>
                    <w:right w:val="none" w:sz="0" w:space="0" w:color="auto"/>
                  </w:divBdr>
                  <w:divsChild>
                    <w:div w:id="151531603">
                      <w:marLeft w:val="0"/>
                      <w:marRight w:val="0"/>
                      <w:marTop w:val="0"/>
                      <w:marBottom w:val="0"/>
                      <w:divBdr>
                        <w:top w:val="none" w:sz="0" w:space="0" w:color="auto"/>
                        <w:left w:val="none" w:sz="0" w:space="0" w:color="auto"/>
                        <w:bottom w:val="none" w:sz="0" w:space="0" w:color="auto"/>
                        <w:right w:val="none" w:sz="0" w:space="0" w:color="auto"/>
                      </w:divBdr>
                      <w:divsChild>
                        <w:div w:id="167139101">
                          <w:marLeft w:val="0"/>
                          <w:marRight w:val="0"/>
                          <w:marTop w:val="0"/>
                          <w:marBottom w:val="0"/>
                          <w:divBdr>
                            <w:top w:val="none" w:sz="0" w:space="0" w:color="auto"/>
                            <w:left w:val="none" w:sz="0" w:space="0" w:color="auto"/>
                            <w:bottom w:val="none" w:sz="0" w:space="0" w:color="auto"/>
                            <w:right w:val="none" w:sz="0" w:space="0" w:color="auto"/>
                          </w:divBdr>
                          <w:divsChild>
                            <w:div w:id="1003632230">
                              <w:marLeft w:val="0"/>
                              <w:marRight w:val="0"/>
                              <w:marTop w:val="0"/>
                              <w:marBottom w:val="0"/>
                              <w:divBdr>
                                <w:top w:val="none" w:sz="0" w:space="0" w:color="auto"/>
                                <w:left w:val="none" w:sz="0" w:space="0" w:color="auto"/>
                                <w:bottom w:val="none" w:sz="0" w:space="0" w:color="auto"/>
                                <w:right w:val="none" w:sz="0" w:space="0" w:color="auto"/>
                              </w:divBdr>
                              <w:divsChild>
                                <w:div w:id="161360933">
                                  <w:marLeft w:val="0"/>
                                  <w:marRight w:val="0"/>
                                  <w:marTop w:val="0"/>
                                  <w:marBottom w:val="0"/>
                                  <w:divBdr>
                                    <w:top w:val="none" w:sz="0" w:space="0" w:color="auto"/>
                                    <w:left w:val="none" w:sz="0" w:space="0" w:color="auto"/>
                                    <w:bottom w:val="none" w:sz="0" w:space="0" w:color="auto"/>
                                    <w:right w:val="none" w:sz="0" w:space="0" w:color="auto"/>
                                  </w:divBdr>
                                </w:div>
                                <w:div w:id="679309110">
                                  <w:marLeft w:val="0"/>
                                  <w:marRight w:val="0"/>
                                  <w:marTop w:val="0"/>
                                  <w:marBottom w:val="0"/>
                                  <w:divBdr>
                                    <w:top w:val="none" w:sz="0" w:space="0" w:color="auto"/>
                                    <w:left w:val="none" w:sz="0" w:space="0" w:color="auto"/>
                                    <w:bottom w:val="none" w:sz="0" w:space="0" w:color="auto"/>
                                    <w:right w:val="none" w:sz="0" w:space="0" w:color="auto"/>
                                  </w:divBdr>
                                </w:div>
                                <w:div w:id="559754668">
                                  <w:marLeft w:val="0"/>
                                  <w:marRight w:val="0"/>
                                  <w:marTop w:val="0"/>
                                  <w:marBottom w:val="0"/>
                                  <w:divBdr>
                                    <w:top w:val="none" w:sz="0" w:space="0" w:color="auto"/>
                                    <w:left w:val="none" w:sz="0" w:space="0" w:color="auto"/>
                                    <w:bottom w:val="none" w:sz="0" w:space="0" w:color="auto"/>
                                    <w:right w:val="none" w:sz="0" w:space="0" w:color="auto"/>
                                  </w:divBdr>
                                </w:div>
                                <w:div w:id="108934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059435500">
      <w:bodyDiv w:val="1"/>
      <w:marLeft w:val="0"/>
      <w:marRight w:val="0"/>
      <w:marTop w:val="0"/>
      <w:marBottom w:val="0"/>
      <w:divBdr>
        <w:top w:val="none" w:sz="0" w:space="0" w:color="auto"/>
        <w:left w:val="none" w:sz="0" w:space="0" w:color="auto"/>
        <w:bottom w:val="none" w:sz="0" w:space="0" w:color="auto"/>
        <w:right w:val="none" w:sz="0" w:space="0" w:color="auto"/>
      </w:divBdr>
    </w:div>
    <w:div w:id="2116485684">
      <w:bodyDiv w:val="1"/>
      <w:marLeft w:val="0"/>
      <w:marRight w:val="0"/>
      <w:marTop w:val="0"/>
      <w:marBottom w:val="0"/>
      <w:divBdr>
        <w:top w:val="none" w:sz="0" w:space="0" w:color="auto"/>
        <w:left w:val="none" w:sz="0" w:space="0" w:color="auto"/>
        <w:bottom w:val="none" w:sz="0" w:space="0" w:color="auto"/>
        <w:right w:val="none" w:sz="0" w:space="0" w:color="auto"/>
      </w:divBdr>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6F9C846-5660-4008-9873-D97C4EEEA90A}">
  <ds:schemaRefs>
    <ds:schemaRef ds:uri="http://schemas.openxmlformats.org/officeDocument/2006/bibliography"/>
  </ds:schemaRefs>
</ds:datastoreItem>
</file>

<file path=customXml/itemProps4.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37</TotalTime>
  <Pages>4</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11306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Naveen Palle</cp:lastModifiedBy>
  <cp:revision>15</cp:revision>
  <dcterms:created xsi:type="dcterms:W3CDTF">2023-09-28T05:58:00Z</dcterms:created>
  <dcterms:modified xsi:type="dcterms:W3CDTF">2023-09-29T01:56:00Z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