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054FEE71" w:rsidR="006016F0" w:rsidRPr="008E51E4" w:rsidRDefault="00B412D6" w:rsidP="00656F78">
      <w:pPr>
        <w:pStyle w:val="3GPPHeader"/>
        <w:spacing w:before="120" w:after="120" w:line="0" w:lineRule="atLeast"/>
        <w:rPr>
          <w:rFonts w:ascii="Arial" w:hAnsi="Arial" w:cs="Arial"/>
          <w:sz w:val="32"/>
          <w:szCs w:val="32"/>
          <w:highlight w:val="yellow"/>
          <w:lang w:val="sv-SE"/>
        </w:rPr>
      </w:pPr>
      <w:r w:rsidRPr="008E51E4">
        <w:rPr>
          <w:rFonts w:ascii="Arial" w:hAnsi="Arial" w:cs="Arial"/>
          <w:lang w:val="sv-SE"/>
        </w:rPr>
        <w:t>3GPP TSG-RAN WG2 #1</w:t>
      </w:r>
      <w:r w:rsidR="00BD11F8" w:rsidRPr="008E51E4">
        <w:rPr>
          <w:rFonts w:ascii="Arial" w:eastAsiaTheme="minorEastAsia" w:hAnsi="Arial" w:cs="Arial"/>
          <w:lang w:val="sv-SE"/>
        </w:rPr>
        <w:t>2</w:t>
      </w:r>
      <w:r w:rsidR="00F34D14">
        <w:rPr>
          <w:rFonts w:ascii="Arial" w:eastAsiaTheme="minorEastAsia" w:hAnsi="Arial" w:cs="Arial"/>
          <w:lang w:val="sv-SE"/>
        </w:rPr>
        <w:t>3</w:t>
      </w:r>
      <w:r w:rsidR="003311B0">
        <w:rPr>
          <w:rFonts w:ascii="Arial" w:eastAsiaTheme="minorEastAsia" w:hAnsi="Arial" w:cs="Arial"/>
          <w:lang w:val="sv-SE"/>
        </w:rPr>
        <w:t>b</w:t>
      </w:r>
      <w:r w:rsidR="006016F0" w:rsidRPr="008E51E4">
        <w:rPr>
          <w:rFonts w:ascii="Arial" w:hAnsi="Arial" w:cs="Arial"/>
          <w:lang w:val="sv-SE"/>
        </w:rPr>
        <w:tab/>
      </w:r>
      <w:r w:rsidR="008E51E4" w:rsidRPr="008E51E4">
        <w:rPr>
          <w:rFonts w:ascii="Arial" w:hAnsi="Arial" w:cs="Arial"/>
          <w:lang w:val="sv-SE"/>
        </w:rPr>
        <w:t>R2-23</w:t>
      </w:r>
      <w:r w:rsidR="001E05F2">
        <w:rPr>
          <w:rFonts w:ascii="Arial" w:hAnsi="Arial" w:cs="Arial"/>
          <w:lang w:val="sv-SE"/>
        </w:rPr>
        <w:t>0</w:t>
      </w:r>
      <w:r w:rsidR="00AD3C59">
        <w:rPr>
          <w:rFonts w:ascii="Arial" w:hAnsi="Arial" w:cs="Arial"/>
          <w:lang w:val="sv-SE"/>
        </w:rPr>
        <w:t>9864</w:t>
      </w:r>
    </w:p>
    <w:p w14:paraId="76FB6ADB" w14:textId="12EAEEE4" w:rsidR="00BD11F8" w:rsidRPr="0078088F" w:rsidRDefault="00E75F79" w:rsidP="00656F78">
      <w:pPr>
        <w:pStyle w:val="a9"/>
        <w:tabs>
          <w:tab w:val="right" w:pos="9630"/>
        </w:tabs>
        <w:spacing w:before="120" w:after="120" w:line="0" w:lineRule="atLeast"/>
        <w:rPr>
          <w:rFonts w:eastAsia="宋体" w:cs="黑体"/>
          <w:noProof w:val="0"/>
          <w:sz w:val="24"/>
          <w:szCs w:val="22"/>
        </w:rPr>
      </w:pPr>
      <w:r>
        <w:rPr>
          <w:rFonts w:eastAsia="MS PGothic" w:cs="Arial"/>
          <w:bCs w:val="0"/>
          <w:noProof w:val="0"/>
          <w:sz w:val="24"/>
          <w:szCs w:val="24"/>
          <w:lang w:val="en-GB" w:eastAsia="ja-JP"/>
        </w:rPr>
        <w:t>Xiamen</w:t>
      </w:r>
      <w:r w:rsidR="001E05F2" w:rsidRPr="001E05F2">
        <w:rPr>
          <w:rFonts w:eastAsia="MS PGothic" w:cs="Arial"/>
          <w:bCs w:val="0"/>
          <w:noProof w:val="0"/>
          <w:sz w:val="24"/>
          <w:szCs w:val="24"/>
          <w:lang w:val="en-GB" w:eastAsia="ja-JP"/>
        </w:rPr>
        <w:t xml:space="preserve">, </w:t>
      </w:r>
      <w:r w:rsidR="003311B0">
        <w:rPr>
          <w:rFonts w:eastAsia="MS PGothic" w:cs="Arial"/>
          <w:bCs w:val="0"/>
          <w:noProof w:val="0"/>
          <w:sz w:val="24"/>
          <w:szCs w:val="24"/>
          <w:lang w:val="en-GB" w:eastAsia="ja-JP"/>
        </w:rPr>
        <w:t>China</w:t>
      </w:r>
      <w:r w:rsidR="001E05F2" w:rsidRPr="001E05F2">
        <w:rPr>
          <w:rFonts w:eastAsia="MS PGothic" w:cs="Arial"/>
          <w:bCs w:val="0"/>
          <w:noProof w:val="0"/>
          <w:sz w:val="24"/>
          <w:szCs w:val="24"/>
          <w:lang w:val="en-GB" w:eastAsia="ja-JP"/>
        </w:rPr>
        <w:t xml:space="preserve">, </w:t>
      </w:r>
      <w:r w:rsidR="003311B0">
        <w:rPr>
          <w:rFonts w:eastAsia="MS PGothic" w:cs="Arial"/>
          <w:bCs w:val="0"/>
          <w:noProof w:val="0"/>
          <w:sz w:val="24"/>
          <w:szCs w:val="24"/>
          <w:lang w:val="en-GB" w:eastAsia="ja-JP"/>
        </w:rPr>
        <w:t>October</w:t>
      </w:r>
      <w:r w:rsidR="001E05F2" w:rsidRPr="001E05F2">
        <w:rPr>
          <w:rFonts w:eastAsia="MS PGothic" w:cs="Arial"/>
          <w:bCs w:val="0"/>
          <w:noProof w:val="0"/>
          <w:sz w:val="24"/>
          <w:szCs w:val="24"/>
          <w:lang w:val="en-GB" w:eastAsia="ja-JP"/>
        </w:rPr>
        <w:t xml:space="preserve"> </w:t>
      </w:r>
      <w:r w:rsidR="003311B0">
        <w:rPr>
          <w:rFonts w:eastAsia="MS PGothic" w:cs="Arial"/>
          <w:bCs w:val="0"/>
          <w:noProof w:val="0"/>
          <w:sz w:val="24"/>
          <w:szCs w:val="24"/>
          <w:lang w:val="en-GB" w:eastAsia="ja-JP"/>
        </w:rPr>
        <w:t>9</w:t>
      </w:r>
      <w:r w:rsidR="001E05F2" w:rsidRPr="001E05F2">
        <w:rPr>
          <w:rFonts w:eastAsia="MS PGothic" w:cs="Arial"/>
          <w:bCs w:val="0"/>
          <w:noProof w:val="0"/>
          <w:sz w:val="24"/>
          <w:szCs w:val="24"/>
          <w:lang w:val="en-GB" w:eastAsia="ja-JP"/>
        </w:rPr>
        <w:t xml:space="preserve">- </w:t>
      </w:r>
      <w:r w:rsidR="003311B0">
        <w:rPr>
          <w:rFonts w:eastAsia="MS PGothic" w:cs="Arial"/>
          <w:bCs w:val="0"/>
          <w:noProof w:val="0"/>
          <w:sz w:val="24"/>
          <w:szCs w:val="24"/>
          <w:lang w:val="en-GB" w:eastAsia="ja-JP"/>
        </w:rPr>
        <w:t>1</w:t>
      </w:r>
      <w:r w:rsidR="00682E55">
        <w:rPr>
          <w:rFonts w:eastAsia="MS PGothic" w:cs="Arial"/>
          <w:bCs w:val="0"/>
          <w:noProof w:val="0"/>
          <w:sz w:val="24"/>
          <w:szCs w:val="24"/>
          <w:lang w:val="en-GB" w:eastAsia="ja-JP"/>
        </w:rPr>
        <w:t>3</w:t>
      </w:r>
      <w:r w:rsidR="001E05F2" w:rsidRPr="001E05F2">
        <w:rPr>
          <w:rFonts w:eastAsia="MS PGothic" w:cs="Arial"/>
          <w:bCs w:val="0"/>
          <w:noProof w:val="0"/>
          <w:sz w:val="24"/>
          <w:szCs w:val="24"/>
          <w:lang w:val="en-GB" w:eastAsia="ja-JP"/>
        </w:rPr>
        <w:t>, 2023</w:t>
      </w:r>
    </w:p>
    <w:p w14:paraId="161E5990" w14:textId="1E135CDF" w:rsidR="0097006C" w:rsidRPr="001572AF" w:rsidRDefault="0097006C" w:rsidP="00656F78">
      <w:pPr>
        <w:pStyle w:val="a9"/>
        <w:tabs>
          <w:tab w:val="right" w:pos="9630"/>
        </w:tabs>
        <w:spacing w:before="120" w:after="120" w:line="0" w:lineRule="atLeast"/>
        <w:rPr>
          <w:rFonts w:eastAsia="宋体" w:cs="黑体"/>
          <w:noProof w:val="0"/>
          <w:sz w:val="24"/>
          <w:szCs w:val="22"/>
        </w:rPr>
      </w:pPr>
    </w:p>
    <w:p w14:paraId="67060A0F" w14:textId="32E20F46" w:rsidR="008C4837" w:rsidRPr="001572AF" w:rsidRDefault="008C4837" w:rsidP="00656F78">
      <w:pPr>
        <w:pStyle w:val="3GPPHeader"/>
        <w:spacing w:before="120" w:after="120" w:line="0" w:lineRule="atLeast"/>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962B2D" w:rsidRPr="00962B2D">
        <w:rPr>
          <w:rFonts w:ascii="Arial" w:hAnsi="Arial" w:cs="Arial"/>
          <w:sz w:val="22"/>
          <w:szCs w:val="22"/>
        </w:rPr>
        <w:t>7.7.4.2</w:t>
      </w:r>
      <w:r w:rsidR="00962B2D">
        <w:rPr>
          <w:rFonts w:ascii="Arial" w:hAnsi="Arial" w:cs="Arial"/>
          <w:sz w:val="22"/>
          <w:szCs w:val="22"/>
        </w:rPr>
        <w:t xml:space="preserve"> </w:t>
      </w:r>
      <w:r w:rsidR="00962B2D" w:rsidRPr="00962B2D">
        <w:rPr>
          <w:rFonts w:ascii="Arial" w:hAnsi="Arial" w:cs="Arial"/>
          <w:sz w:val="22"/>
          <w:szCs w:val="22"/>
        </w:rPr>
        <w:t>Handover enhancements</w:t>
      </w:r>
    </w:p>
    <w:p w14:paraId="6DBCC600" w14:textId="5CBA0FD6" w:rsidR="008C4837" w:rsidRPr="001572AF" w:rsidRDefault="008C4837" w:rsidP="00656F78">
      <w:pPr>
        <w:pStyle w:val="3GPPHeader"/>
        <w:spacing w:before="120" w:after="120" w:line="0" w:lineRule="atLeast"/>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643D5E">
        <w:rPr>
          <w:rFonts w:ascii="Arial" w:hAnsi="Arial" w:cs="Arial"/>
          <w:sz w:val="22"/>
          <w:szCs w:val="22"/>
        </w:rPr>
        <w:t>TCL</w:t>
      </w:r>
    </w:p>
    <w:p w14:paraId="7E04E50F" w14:textId="1D171035" w:rsidR="008C4837" w:rsidRPr="001572AF" w:rsidRDefault="008C4837" w:rsidP="00656F78">
      <w:pPr>
        <w:pStyle w:val="3GPPHeader"/>
        <w:spacing w:before="120" w:after="120" w:line="0" w:lineRule="atLeast"/>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8E5C1F">
        <w:rPr>
          <w:rFonts w:ascii="Arial" w:hAnsi="Arial" w:cs="Arial"/>
          <w:sz w:val="22"/>
          <w:szCs w:val="22"/>
        </w:rPr>
        <w:t xml:space="preserve">Discussion on </w:t>
      </w:r>
      <w:r w:rsidR="00643D5E">
        <w:rPr>
          <w:rFonts w:ascii="Arial" w:hAnsi="Arial" w:cs="Arial"/>
          <w:sz w:val="22"/>
          <w:szCs w:val="22"/>
        </w:rPr>
        <w:t>Unchanged PCI</w:t>
      </w:r>
      <w:r w:rsidR="00964A6B" w:rsidRPr="00964A6B">
        <w:rPr>
          <w:rFonts w:ascii="Arial" w:hAnsi="Arial" w:cs="Arial"/>
          <w:sz w:val="22"/>
          <w:szCs w:val="22"/>
        </w:rPr>
        <w:t xml:space="preserve"> </w:t>
      </w:r>
    </w:p>
    <w:p w14:paraId="1CD4626B" w14:textId="77777777" w:rsidR="008C4837" w:rsidRPr="001572AF" w:rsidRDefault="008C4837" w:rsidP="00656F78">
      <w:pPr>
        <w:pStyle w:val="3GPPHeader"/>
        <w:spacing w:before="120" w:after="120" w:line="0" w:lineRule="atLeast"/>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656F78">
      <w:pPr>
        <w:pStyle w:val="1"/>
        <w:spacing w:before="120" w:after="120" w:line="0" w:lineRule="atLeast"/>
        <w:rPr>
          <w:lang w:val="en-US"/>
        </w:rPr>
      </w:pPr>
      <w:r w:rsidRPr="001572AF">
        <w:rPr>
          <w:lang w:val="en-US"/>
        </w:rPr>
        <w:t>Introduction</w:t>
      </w:r>
      <w:bookmarkStart w:id="0" w:name="_Ref174151459"/>
      <w:bookmarkStart w:id="1" w:name="_Ref189809556"/>
    </w:p>
    <w:p w14:paraId="712D8699" w14:textId="31B302EE" w:rsidR="00EA0C78" w:rsidRDefault="00431F98" w:rsidP="00656F78">
      <w:pPr>
        <w:spacing w:before="120" w:after="120" w:line="0" w:lineRule="atLeast"/>
        <w:rPr>
          <w:rFonts w:ascii="Arial" w:eastAsiaTheme="minorEastAsia" w:hAnsi="Arial" w:cs="Arial"/>
          <w:sz w:val="20"/>
          <w:szCs w:val="20"/>
          <w:lang w:val="en-GB"/>
        </w:rPr>
      </w:pPr>
      <w:r>
        <w:rPr>
          <w:rFonts w:ascii="Arial" w:eastAsiaTheme="minorEastAsia" w:hAnsi="Arial" w:cs="Arial"/>
          <w:sz w:val="20"/>
          <w:szCs w:val="20"/>
        </w:rPr>
        <w:t>During the last meetings, the following agreements have been made regarding the unchanged PCI scenario.</w:t>
      </w:r>
      <w:r w:rsidR="001E2E44" w:rsidRPr="001E2E44">
        <w:rPr>
          <w:rFonts w:ascii="Arial" w:eastAsiaTheme="minorEastAsia" w:hAnsi="Arial" w:cs="Arial"/>
          <w:sz w:val="20"/>
          <w:szCs w:val="20"/>
          <w:lang w:val="en-GB"/>
        </w:rPr>
        <w:t xml:space="preserve"> </w:t>
      </w:r>
    </w:p>
    <w:p w14:paraId="1DBF141B" w14:textId="4142CC4A" w:rsidR="001E2E44" w:rsidRPr="00431F98" w:rsidRDefault="00431F98" w:rsidP="00656F78">
      <w:pPr>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R</w:t>
      </w:r>
      <w:r>
        <w:rPr>
          <w:rFonts w:ascii="Arial" w:eastAsia="等线" w:hAnsi="Arial" w:cs="Arial"/>
          <w:sz w:val="20"/>
          <w:szCs w:val="20"/>
          <w:lang w:val="en-GB" w:eastAsia="zh-CN"/>
        </w:rPr>
        <w:t>2#122</w:t>
      </w:r>
    </w:p>
    <w:tbl>
      <w:tblPr>
        <w:tblStyle w:val="afe"/>
        <w:tblW w:w="0" w:type="auto"/>
        <w:tblLook w:val="04A0" w:firstRow="1" w:lastRow="0" w:firstColumn="1" w:lastColumn="0" w:noHBand="0" w:noVBand="1"/>
      </w:tblPr>
      <w:tblGrid>
        <w:gridCol w:w="9629"/>
      </w:tblGrid>
      <w:tr w:rsidR="00F86B20" w14:paraId="73977F67" w14:textId="77777777" w:rsidTr="00F86B20">
        <w:tc>
          <w:tcPr>
            <w:tcW w:w="9629" w:type="dxa"/>
          </w:tcPr>
          <w:p w14:paraId="1CA31D79" w14:textId="68E9DEC8" w:rsidR="00EA4B68" w:rsidRPr="00EA4B68" w:rsidRDefault="00EA4B68" w:rsidP="00656F78">
            <w:pPr>
              <w:snapToGrid w:val="0"/>
              <w:spacing w:before="120" w:after="120" w:line="0" w:lineRule="atLeast"/>
              <w:rPr>
                <w:rFonts w:ascii="Arial" w:eastAsiaTheme="minorEastAsia" w:hAnsi="Arial" w:cs="Arial"/>
                <w:sz w:val="20"/>
                <w:szCs w:val="20"/>
                <w:lang w:val="en-GB"/>
              </w:rPr>
            </w:pPr>
            <w:r w:rsidRPr="00EA4B68">
              <w:rPr>
                <w:rFonts w:ascii="Arial" w:eastAsiaTheme="minorEastAsia" w:hAnsi="Arial" w:cs="Arial"/>
                <w:sz w:val="20"/>
                <w:szCs w:val="20"/>
                <w:lang w:val="en-GB"/>
              </w:rPr>
              <w:t>t-service</w:t>
            </w:r>
            <w:r w:rsidRPr="00EA4B68">
              <w:rPr>
                <w:rFonts w:ascii="Arial" w:eastAsiaTheme="minorEastAsia" w:hAnsi="Arial" w:cs="Arial" w:hint="eastAsia"/>
                <w:sz w:val="20"/>
                <w:szCs w:val="20"/>
                <w:lang w:val="en-GB"/>
              </w:rPr>
              <w:t xml:space="preserve"> </w:t>
            </w:r>
            <w:r w:rsidRPr="00EA4B68">
              <w:rPr>
                <w:rFonts w:ascii="Arial" w:eastAsiaTheme="minorEastAsia" w:hAnsi="Arial" w:cs="Arial"/>
                <w:sz w:val="20"/>
                <w:szCs w:val="20"/>
                <w:lang w:val="en-GB"/>
              </w:rPr>
              <w:t>in SIB19 can also be interpreted by Rel-18 UE in Connected mode to know that a satellite change or feeder link change happens</w:t>
            </w:r>
          </w:p>
          <w:p w14:paraId="26826633" w14:textId="0F9E9CA1" w:rsidR="00EA4B68" w:rsidRPr="00EA4B68" w:rsidRDefault="00EA4B68" w:rsidP="00656F78">
            <w:pPr>
              <w:snapToGrid w:val="0"/>
              <w:spacing w:before="120" w:after="120" w:line="0" w:lineRule="atLeast"/>
              <w:rPr>
                <w:lang w:val="en-GB"/>
              </w:rPr>
            </w:pPr>
            <w:r w:rsidRPr="00EA4B68">
              <w:rPr>
                <w:rFonts w:ascii="Arial" w:eastAsiaTheme="minorEastAsia" w:hAnsi="Arial" w:cs="Arial"/>
                <w:sz w:val="20"/>
                <w:szCs w:val="20"/>
                <w:lang w:val="en-GB"/>
              </w:rPr>
              <w:t>In hard switch unchanged PCI scenario (i.e. no handover), the UE needs to know the time the UE attempts to re-synchronize. (FFS whether a new “t-Start” / a t-gap is needed or whether t-Service can be reused (i.e. no other IE) if the gap is very short/zero)</w:t>
            </w:r>
          </w:p>
        </w:tc>
      </w:tr>
    </w:tbl>
    <w:p w14:paraId="6CEAE2EF" w14:textId="41E0A4C7" w:rsidR="00F86B20" w:rsidRDefault="00F8195A" w:rsidP="00656F78">
      <w:pPr>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R</w:t>
      </w:r>
      <w:r>
        <w:rPr>
          <w:rFonts w:ascii="Arial" w:eastAsia="等线" w:hAnsi="Arial" w:cs="Arial"/>
          <w:sz w:val="20"/>
          <w:szCs w:val="20"/>
          <w:lang w:val="en-GB" w:eastAsia="zh-CN"/>
        </w:rPr>
        <w:t>2#123</w:t>
      </w:r>
    </w:p>
    <w:p w14:paraId="2A660F89" w14:textId="4DF0C5EF" w:rsidR="0063559B" w:rsidRPr="0063559B" w:rsidRDefault="0063559B" w:rsidP="00656F78">
      <w:pPr>
        <w:pStyle w:val="Doc-text2"/>
        <w:numPr>
          <w:ilvl w:val="0"/>
          <w:numId w:val="38"/>
        </w:numPr>
        <w:pBdr>
          <w:top w:val="single" w:sz="4" w:space="1" w:color="auto"/>
          <w:left w:val="single" w:sz="4" w:space="1" w:color="auto"/>
          <w:bottom w:val="single" w:sz="4" w:space="1" w:color="auto"/>
          <w:right w:val="single" w:sz="4" w:space="1" w:color="auto"/>
        </w:pBdr>
        <w:spacing w:before="120" w:after="120" w:line="0" w:lineRule="atLeast"/>
        <w:rPr>
          <w:rFonts w:ascii="Arial" w:eastAsiaTheme="minorEastAsia" w:hAnsi="Arial" w:cs="Arial"/>
          <w:sz w:val="20"/>
          <w:szCs w:val="20"/>
          <w:lang w:eastAsia="x-none"/>
        </w:rPr>
      </w:pPr>
      <w:r w:rsidRPr="0063559B">
        <w:rPr>
          <w:rFonts w:ascii="Arial" w:eastAsiaTheme="minorEastAsia" w:hAnsi="Arial" w:cs="Arial"/>
          <w:sz w:val="20"/>
          <w:szCs w:val="20"/>
          <w:lang w:eastAsia="x-none"/>
        </w:rPr>
        <w:t>An explicit indication will be introduced to enable the unchanged PCI switch</w:t>
      </w:r>
      <w:r>
        <w:rPr>
          <w:rFonts w:ascii="Arial" w:eastAsiaTheme="minorEastAsia" w:hAnsi="Arial" w:cs="Arial"/>
          <w:sz w:val="20"/>
          <w:szCs w:val="20"/>
          <w:lang w:eastAsia="x-none"/>
        </w:rPr>
        <w:t>.</w:t>
      </w:r>
    </w:p>
    <w:p w14:paraId="286EB750" w14:textId="22526887" w:rsidR="0063559B" w:rsidRPr="0063559B" w:rsidRDefault="0063559B" w:rsidP="00656F78">
      <w:pPr>
        <w:pStyle w:val="Doc-text2"/>
        <w:numPr>
          <w:ilvl w:val="0"/>
          <w:numId w:val="38"/>
        </w:numPr>
        <w:pBdr>
          <w:top w:val="single" w:sz="4" w:space="1" w:color="auto"/>
          <w:left w:val="single" w:sz="4" w:space="1" w:color="auto"/>
          <w:bottom w:val="single" w:sz="4" w:space="1" w:color="auto"/>
          <w:right w:val="single" w:sz="4" w:space="1" w:color="auto"/>
        </w:pBdr>
        <w:spacing w:before="120" w:after="120" w:line="0" w:lineRule="atLeast"/>
        <w:rPr>
          <w:rFonts w:ascii="Arial" w:eastAsiaTheme="minorEastAsia" w:hAnsi="Arial" w:cs="Arial"/>
          <w:sz w:val="20"/>
          <w:szCs w:val="20"/>
          <w:lang w:eastAsia="x-none"/>
        </w:rPr>
      </w:pPr>
      <w:r w:rsidRPr="0063559B">
        <w:rPr>
          <w:rFonts w:ascii="Arial" w:eastAsiaTheme="minorEastAsia" w:hAnsi="Arial" w:cs="Arial"/>
          <w:sz w:val="20"/>
          <w:szCs w:val="20"/>
          <w:lang w:eastAsia="x-none"/>
        </w:rPr>
        <w:t>The unchanged PCI mechanism can be applied to the case where the coverage gap is zero or negligible (where there is no need to introduce t-gap or t-start). FFS whether we need to support scenarios that require the introduction of t-gap or t-start</w:t>
      </w:r>
      <w:r>
        <w:rPr>
          <w:rFonts w:ascii="Arial" w:eastAsiaTheme="minorEastAsia" w:hAnsi="Arial" w:cs="Arial"/>
          <w:sz w:val="20"/>
          <w:szCs w:val="20"/>
          <w:lang w:eastAsia="x-none"/>
        </w:rPr>
        <w:t>.</w:t>
      </w:r>
    </w:p>
    <w:p w14:paraId="3A7B48E9" w14:textId="28E6337F" w:rsidR="0063559B" w:rsidRPr="0063559B" w:rsidRDefault="0063559B" w:rsidP="00656F78">
      <w:pPr>
        <w:pStyle w:val="Doc-text2"/>
        <w:numPr>
          <w:ilvl w:val="0"/>
          <w:numId w:val="38"/>
        </w:numPr>
        <w:pBdr>
          <w:top w:val="single" w:sz="4" w:space="1" w:color="auto"/>
          <w:left w:val="single" w:sz="4" w:space="1" w:color="auto"/>
          <w:bottom w:val="single" w:sz="4" w:space="1" w:color="auto"/>
          <w:right w:val="single" w:sz="4" w:space="1" w:color="auto"/>
        </w:pBdr>
        <w:spacing w:before="120" w:after="120" w:line="0" w:lineRule="atLeast"/>
        <w:rPr>
          <w:rFonts w:ascii="Arial" w:eastAsiaTheme="minorEastAsia" w:hAnsi="Arial" w:cs="Arial"/>
          <w:sz w:val="20"/>
          <w:szCs w:val="20"/>
          <w:lang w:eastAsia="x-none"/>
        </w:rPr>
      </w:pPr>
      <w:r w:rsidRPr="0063559B">
        <w:rPr>
          <w:rFonts w:ascii="Arial" w:eastAsiaTheme="minorEastAsia" w:hAnsi="Arial" w:cs="Arial"/>
          <w:sz w:val="20"/>
          <w:szCs w:val="20"/>
          <w:lang w:eastAsia="x-none"/>
        </w:rPr>
        <w:t>PCI unchanged procedure can be performed without performing RACH</w:t>
      </w:r>
      <w:r>
        <w:rPr>
          <w:rFonts w:ascii="Arial" w:eastAsiaTheme="minorEastAsia" w:hAnsi="Arial" w:cs="Arial"/>
          <w:sz w:val="20"/>
          <w:szCs w:val="20"/>
          <w:lang w:eastAsia="x-none"/>
        </w:rPr>
        <w:t>.</w:t>
      </w:r>
    </w:p>
    <w:p w14:paraId="2E9C796B" w14:textId="459E24E1" w:rsidR="00A91FCC" w:rsidRPr="004D4ED1" w:rsidRDefault="00A91FCC" w:rsidP="00656F78">
      <w:pPr>
        <w:pStyle w:val="afc"/>
        <w:numPr>
          <w:ilvl w:val="0"/>
          <w:numId w:val="38"/>
        </w:numPr>
        <w:pBdr>
          <w:top w:val="single" w:sz="4" w:space="1" w:color="auto"/>
          <w:left w:val="single" w:sz="4" w:space="4" w:color="auto"/>
          <w:bottom w:val="single" w:sz="4" w:space="1" w:color="auto"/>
          <w:right w:val="single" w:sz="4" w:space="4" w:color="auto"/>
        </w:pBdr>
        <w:snapToGrid w:val="0"/>
        <w:spacing w:before="120" w:after="120" w:line="0" w:lineRule="atLeast"/>
        <w:rPr>
          <w:rFonts w:ascii="Arial" w:eastAsiaTheme="minorEastAsia" w:hAnsi="Arial" w:cs="Arial"/>
          <w:sz w:val="20"/>
          <w:szCs w:val="20"/>
          <w:lang w:val="en-GB"/>
        </w:rPr>
      </w:pPr>
      <w:r w:rsidRPr="004D4ED1">
        <w:rPr>
          <w:rFonts w:ascii="Arial" w:eastAsiaTheme="minorEastAsia" w:hAnsi="Arial" w:cs="Arial"/>
          <w:sz w:val="20"/>
          <w:szCs w:val="20"/>
          <w:lang w:val="en-GB"/>
        </w:rPr>
        <w:t>In the unchanged PCI case, the UE considers UL synchronization timer expired at t-Service (current cell stop time) to stop any UL operation. FFS on timeAlignmentTimer handling.</w:t>
      </w:r>
    </w:p>
    <w:p w14:paraId="43EABCA9" w14:textId="3CF81A2D" w:rsidR="00A91FCC" w:rsidRPr="004D4ED1" w:rsidRDefault="00A91FCC" w:rsidP="00656F78">
      <w:pPr>
        <w:pStyle w:val="afc"/>
        <w:numPr>
          <w:ilvl w:val="0"/>
          <w:numId w:val="38"/>
        </w:numPr>
        <w:pBdr>
          <w:top w:val="single" w:sz="4" w:space="1" w:color="auto"/>
          <w:left w:val="single" w:sz="4" w:space="4" w:color="auto"/>
          <w:bottom w:val="single" w:sz="4" w:space="1" w:color="auto"/>
          <w:right w:val="single" w:sz="4" w:space="4" w:color="auto"/>
        </w:pBdr>
        <w:snapToGrid w:val="0"/>
        <w:spacing w:before="120" w:after="120" w:line="0" w:lineRule="atLeast"/>
        <w:rPr>
          <w:rFonts w:ascii="Arial" w:eastAsiaTheme="minorEastAsia" w:hAnsi="Arial" w:cs="Arial"/>
          <w:sz w:val="20"/>
          <w:szCs w:val="20"/>
          <w:lang w:val="en-GB"/>
        </w:rPr>
      </w:pPr>
      <w:r w:rsidRPr="004D4ED1">
        <w:rPr>
          <w:rFonts w:ascii="Arial" w:eastAsiaTheme="minorEastAsia" w:hAnsi="Arial" w:cs="Arial"/>
          <w:sz w:val="20"/>
          <w:szCs w:val="20"/>
          <w:lang w:val="en-GB"/>
        </w:rPr>
        <w:t>In the unchanged PCI case, for RACH-based solution, the UE may trigger RACH immediately after DL synchronizing with the new satellite</w:t>
      </w:r>
    </w:p>
    <w:p w14:paraId="1F54817A" w14:textId="04EF09B5" w:rsidR="00A91FCC" w:rsidRPr="004D4ED1" w:rsidRDefault="00A91FCC" w:rsidP="00656F78">
      <w:pPr>
        <w:pStyle w:val="afc"/>
        <w:numPr>
          <w:ilvl w:val="0"/>
          <w:numId w:val="38"/>
        </w:numPr>
        <w:pBdr>
          <w:top w:val="single" w:sz="4" w:space="1" w:color="auto"/>
          <w:left w:val="single" w:sz="4" w:space="4" w:color="auto"/>
          <w:bottom w:val="single" w:sz="4" w:space="1" w:color="auto"/>
          <w:right w:val="single" w:sz="4" w:space="4" w:color="auto"/>
        </w:pBdr>
        <w:snapToGrid w:val="0"/>
        <w:spacing w:before="120" w:after="120" w:line="0" w:lineRule="atLeast"/>
        <w:rPr>
          <w:rFonts w:ascii="Arial" w:eastAsiaTheme="minorEastAsia" w:hAnsi="Arial" w:cs="Arial"/>
          <w:sz w:val="20"/>
          <w:szCs w:val="20"/>
          <w:lang w:val="en-GB"/>
        </w:rPr>
      </w:pPr>
      <w:r w:rsidRPr="004D4ED1">
        <w:rPr>
          <w:rFonts w:ascii="Arial" w:eastAsiaTheme="minorEastAsia" w:hAnsi="Arial" w:cs="Arial"/>
          <w:sz w:val="20"/>
          <w:szCs w:val="20"/>
          <w:lang w:val="en-GB"/>
        </w:rPr>
        <w:t>The UE specific Koffset, if configured, is not used after t-Service and the UE uses the cell specifc Koffset until the UE receives new differential Koffset MAC CE.</w:t>
      </w:r>
    </w:p>
    <w:p w14:paraId="3AEBA86A" w14:textId="77777777" w:rsidR="00F8195A" w:rsidRPr="00A91FCC" w:rsidRDefault="00F8195A" w:rsidP="00656F78">
      <w:pPr>
        <w:spacing w:before="120" w:after="120" w:line="0" w:lineRule="atLeast"/>
        <w:rPr>
          <w:rFonts w:ascii="Arial" w:eastAsia="等线" w:hAnsi="Arial" w:cs="Arial"/>
          <w:sz w:val="20"/>
          <w:szCs w:val="20"/>
          <w:lang w:val="en-GB" w:eastAsia="zh-CN"/>
        </w:rPr>
      </w:pPr>
    </w:p>
    <w:p w14:paraId="0950B275" w14:textId="367BE03E" w:rsidR="00E43983" w:rsidRPr="001572AF" w:rsidRDefault="001C3C61" w:rsidP="00656F78">
      <w:pPr>
        <w:spacing w:before="120" w:after="120" w:line="0" w:lineRule="atLeast"/>
        <w:rPr>
          <w:rFonts w:ascii="Arial" w:eastAsiaTheme="minorEastAsia" w:hAnsi="Arial" w:cs="Arial"/>
          <w:sz w:val="20"/>
          <w:szCs w:val="20"/>
        </w:rPr>
      </w:pPr>
      <w:r>
        <w:rPr>
          <w:rFonts w:ascii="Arial" w:eastAsiaTheme="minorEastAsia" w:hAnsi="Arial" w:cs="Arial"/>
          <w:sz w:val="20"/>
          <w:szCs w:val="20"/>
        </w:rPr>
        <w:t>In t</w:t>
      </w:r>
      <w:r w:rsidR="00E43983" w:rsidRPr="001572AF">
        <w:rPr>
          <w:rFonts w:ascii="Arial" w:eastAsiaTheme="minorEastAsia" w:hAnsi="Arial" w:cs="Arial"/>
          <w:sz w:val="20"/>
          <w:szCs w:val="20"/>
        </w:rPr>
        <w:t xml:space="preserve">his contribution </w:t>
      </w:r>
      <w:r w:rsidR="001E2E44">
        <w:rPr>
          <w:rFonts w:ascii="Arial" w:eastAsiaTheme="minorEastAsia" w:hAnsi="Arial" w:cs="Arial"/>
          <w:sz w:val="20"/>
          <w:szCs w:val="20"/>
        </w:rPr>
        <w:t xml:space="preserve">we further </w:t>
      </w:r>
      <w:r w:rsidR="00475DC9">
        <w:rPr>
          <w:rFonts w:ascii="Arial" w:eastAsiaTheme="minorEastAsia" w:hAnsi="Arial" w:cs="Arial"/>
          <w:sz w:val="20"/>
          <w:szCs w:val="20"/>
        </w:rPr>
        <w:t xml:space="preserve">discuss </w:t>
      </w:r>
      <w:r w:rsidR="00431F98">
        <w:rPr>
          <w:rFonts w:ascii="Arial" w:eastAsiaTheme="minorEastAsia" w:hAnsi="Arial" w:cs="Arial"/>
          <w:sz w:val="20"/>
          <w:szCs w:val="20"/>
        </w:rPr>
        <w:t>the remaining issue of unchanged PCI</w:t>
      </w:r>
      <w:r w:rsidR="00475DC9">
        <w:rPr>
          <w:rFonts w:ascii="Arial" w:eastAsiaTheme="minorEastAsia" w:hAnsi="Arial" w:cs="Arial"/>
          <w:sz w:val="20"/>
          <w:szCs w:val="20"/>
        </w:rPr>
        <w:t xml:space="preserve">. </w:t>
      </w:r>
    </w:p>
    <w:p w14:paraId="4D40BA47" w14:textId="47052C30" w:rsidR="000D01C7" w:rsidRPr="001572AF" w:rsidRDefault="000D01C7" w:rsidP="00656F78">
      <w:pPr>
        <w:pStyle w:val="1"/>
        <w:spacing w:before="120" w:after="120" w:line="0" w:lineRule="atLeast"/>
        <w:rPr>
          <w:rFonts w:eastAsiaTheme="minorEastAsia"/>
          <w:lang w:val="en-US" w:eastAsia="ja-JP"/>
        </w:rPr>
      </w:pPr>
      <w:r w:rsidRPr="001572AF">
        <w:rPr>
          <w:rFonts w:eastAsiaTheme="minorEastAsia"/>
          <w:lang w:val="en-US" w:eastAsia="ja-JP"/>
        </w:rPr>
        <w:t>Discussion</w:t>
      </w:r>
    </w:p>
    <w:p w14:paraId="70C57E2F" w14:textId="7E744EF5" w:rsidR="008E77E4" w:rsidRPr="008E77E4" w:rsidRDefault="00830994" w:rsidP="00656F78">
      <w:pPr>
        <w:pStyle w:val="2"/>
        <w:tabs>
          <w:tab w:val="clear" w:pos="859"/>
          <w:tab w:val="num" w:pos="576"/>
        </w:tabs>
        <w:spacing w:before="120" w:after="120" w:line="0" w:lineRule="atLeast"/>
        <w:ind w:left="576"/>
      </w:pPr>
      <w:r>
        <w:t>TimeAlignmentTimer handling in unchanged PCI scenario</w:t>
      </w:r>
    </w:p>
    <w:p w14:paraId="40E7BAA6" w14:textId="37372FF2" w:rsidR="00DE4C17" w:rsidRDefault="009A3E5A" w:rsidP="00656F78">
      <w:pPr>
        <w:snapToGrid w:val="0"/>
        <w:spacing w:before="120" w:after="120" w:line="0" w:lineRule="atLeast"/>
        <w:rPr>
          <w:rFonts w:ascii="Arial" w:eastAsiaTheme="minorEastAsia" w:hAnsi="Arial" w:cs="Arial"/>
          <w:sz w:val="20"/>
          <w:szCs w:val="20"/>
          <w:lang w:val="en-GB"/>
        </w:rPr>
      </w:pPr>
      <w:r>
        <w:rPr>
          <w:rFonts w:ascii="Arial" w:eastAsiaTheme="minorEastAsia" w:hAnsi="Arial" w:cs="Arial"/>
          <w:sz w:val="20"/>
          <w:szCs w:val="20"/>
          <w:lang w:val="en-GB"/>
        </w:rPr>
        <w:t>I</w:t>
      </w:r>
      <w:r w:rsidRPr="009A3E5A">
        <w:rPr>
          <w:rFonts w:ascii="Arial" w:eastAsiaTheme="minorEastAsia" w:hAnsi="Arial" w:cs="Arial"/>
          <w:sz w:val="20"/>
          <w:szCs w:val="20"/>
          <w:lang w:val="en-GB"/>
        </w:rPr>
        <w:t>n NTN,</w:t>
      </w:r>
      <w:r w:rsidR="007D1525">
        <w:rPr>
          <w:rFonts w:ascii="Arial" w:eastAsiaTheme="minorEastAsia" w:hAnsi="Arial" w:cs="Arial"/>
          <w:sz w:val="20"/>
          <w:szCs w:val="20"/>
          <w:lang w:val="en-GB"/>
        </w:rPr>
        <w:t xml:space="preserve"> the UL synchronization is handled by </w:t>
      </w:r>
      <w:r w:rsidR="002444C6">
        <w:rPr>
          <w:rFonts w:ascii="Arial" w:eastAsiaTheme="minorEastAsia" w:hAnsi="Arial" w:cs="Arial"/>
          <w:sz w:val="20"/>
          <w:szCs w:val="20"/>
          <w:lang w:val="en-GB"/>
        </w:rPr>
        <w:t>T430. If T430 for serving cell expires and if UE is in connected state, UE shall inform lower layers that UL synchronisation is lost, acquire updated SIB19 and perform UL synchronisation. For satellite switch which leads to HO procedure, the serving cell will disappear at the t-service time point around and the upcoming satellite will take over to service the coverage</w:t>
      </w:r>
      <w:r w:rsidR="004B25B1">
        <w:rPr>
          <w:rFonts w:ascii="Arial" w:eastAsiaTheme="minorEastAsia" w:hAnsi="Arial" w:cs="Arial"/>
          <w:sz w:val="20"/>
          <w:szCs w:val="20"/>
          <w:lang w:val="en-GB"/>
        </w:rPr>
        <w:t xml:space="preserve"> in case of hard satellite switch</w:t>
      </w:r>
      <w:r w:rsidR="002444C6">
        <w:rPr>
          <w:rFonts w:ascii="Arial" w:eastAsiaTheme="minorEastAsia" w:hAnsi="Arial" w:cs="Arial"/>
          <w:sz w:val="20"/>
          <w:szCs w:val="20"/>
          <w:lang w:val="en-GB"/>
        </w:rPr>
        <w:t xml:space="preserve">. </w:t>
      </w:r>
    </w:p>
    <w:p w14:paraId="075A8AD7" w14:textId="083DB976" w:rsidR="00DE4C17" w:rsidRDefault="002444C6" w:rsidP="00656F78">
      <w:pPr>
        <w:snapToGrid w:val="0"/>
        <w:spacing w:before="120" w:after="120" w:line="0" w:lineRule="atLeast"/>
        <w:rPr>
          <w:rFonts w:ascii="Arial" w:eastAsiaTheme="minorEastAsia" w:hAnsi="Arial" w:cs="Arial"/>
          <w:sz w:val="20"/>
          <w:szCs w:val="20"/>
          <w:lang w:val="en-GB"/>
        </w:rPr>
      </w:pPr>
      <w:r>
        <w:rPr>
          <w:rFonts w:ascii="Arial" w:eastAsiaTheme="minorEastAsia" w:hAnsi="Arial" w:cs="Arial"/>
          <w:sz w:val="20"/>
          <w:szCs w:val="20"/>
          <w:lang w:val="en-GB"/>
        </w:rPr>
        <w:t xml:space="preserve">While in case of unchanged PCI, L3 mobility is not required </w:t>
      </w:r>
      <w:r w:rsidR="00DE4C17">
        <w:rPr>
          <w:rFonts w:ascii="Arial" w:eastAsiaTheme="minorEastAsia" w:hAnsi="Arial" w:cs="Arial"/>
          <w:sz w:val="20"/>
          <w:szCs w:val="20"/>
          <w:lang w:val="en-GB"/>
        </w:rPr>
        <w:t xml:space="preserve">for </w:t>
      </w:r>
      <w:r>
        <w:rPr>
          <w:rFonts w:ascii="Arial" w:eastAsiaTheme="minorEastAsia" w:hAnsi="Arial" w:cs="Arial"/>
          <w:sz w:val="20"/>
          <w:szCs w:val="20"/>
          <w:lang w:val="en-GB"/>
        </w:rPr>
        <w:t xml:space="preserve">satellites switch, and RAN2 has confirmed that at least for </w:t>
      </w:r>
      <w:r w:rsidR="00DE4C17" w:rsidRPr="00EA4B68">
        <w:rPr>
          <w:rFonts w:ascii="Arial" w:eastAsiaTheme="minorEastAsia" w:hAnsi="Arial" w:cs="Arial"/>
          <w:sz w:val="20"/>
          <w:szCs w:val="20"/>
          <w:lang w:val="en-GB"/>
        </w:rPr>
        <w:t>t-service</w:t>
      </w:r>
      <w:r w:rsidR="00DE4C17" w:rsidRPr="00EA4B68">
        <w:rPr>
          <w:rFonts w:ascii="Arial" w:eastAsiaTheme="minorEastAsia" w:hAnsi="Arial" w:cs="Arial" w:hint="eastAsia"/>
          <w:sz w:val="20"/>
          <w:szCs w:val="20"/>
          <w:lang w:val="en-GB"/>
        </w:rPr>
        <w:t xml:space="preserve"> </w:t>
      </w:r>
      <w:r w:rsidR="00DE4C17" w:rsidRPr="00EA4B68">
        <w:rPr>
          <w:rFonts w:ascii="Arial" w:eastAsiaTheme="minorEastAsia" w:hAnsi="Arial" w:cs="Arial"/>
          <w:sz w:val="20"/>
          <w:szCs w:val="20"/>
          <w:lang w:val="en-GB"/>
        </w:rPr>
        <w:t>in SIB19 can also be interpreted by Rel-18 UE in Connected mode to know that a satellite change or feeder link change happens</w:t>
      </w:r>
      <w:r w:rsidR="00DE4C17">
        <w:rPr>
          <w:rFonts w:ascii="Arial" w:eastAsiaTheme="minorEastAsia" w:hAnsi="Arial" w:cs="Arial"/>
          <w:sz w:val="20"/>
          <w:szCs w:val="20"/>
          <w:lang w:val="en-GB"/>
        </w:rPr>
        <w:t xml:space="preserve">, </w:t>
      </w:r>
      <w:r w:rsidR="00DE4C17">
        <w:rPr>
          <w:rFonts w:ascii="Arial" w:eastAsiaTheme="minorEastAsia" w:hAnsi="Arial" w:cs="Arial"/>
          <w:sz w:val="20"/>
          <w:szCs w:val="20"/>
          <w:lang w:eastAsia="x-none"/>
        </w:rPr>
        <w:t>and t</w:t>
      </w:r>
      <w:r w:rsidR="00DE4C17" w:rsidRPr="0063559B">
        <w:rPr>
          <w:rFonts w:ascii="Arial" w:eastAsiaTheme="minorEastAsia" w:hAnsi="Arial" w:cs="Arial"/>
          <w:sz w:val="20"/>
          <w:szCs w:val="20"/>
          <w:lang w:eastAsia="x-none"/>
        </w:rPr>
        <w:t>he unchanged PCI mechanism can be applied to the case where the coverage gap is zero or negligible where there is no need to introduce t-gap or t-start.</w:t>
      </w:r>
      <w:r w:rsidR="00DE4C17">
        <w:rPr>
          <w:rFonts w:ascii="Arial" w:eastAsiaTheme="minorEastAsia" w:hAnsi="Arial" w:cs="Arial"/>
          <w:sz w:val="20"/>
          <w:szCs w:val="20"/>
          <w:lang w:eastAsia="x-none"/>
        </w:rPr>
        <w:t xml:space="preserve"> Based on these agreements, during R2#123 meeting, it confirmed that i</w:t>
      </w:r>
      <w:r w:rsidR="00DE4C17" w:rsidRPr="004D4ED1">
        <w:rPr>
          <w:rFonts w:ascii="Arial" w:eastAsiaTheme="minorEastAsia" w:hAnsi="Arial" w:cs="Arial"/>
          <w:sz w:val="20"/>
          <w:szCs w:val="20"/>
          <w:lang w:val="en-GB"/>
        </w:rPr>
        <w:t>n the unchanged PCI case, the UE considers UL synchronization timer expired at t-Service (current cell stop time) to stop any UL operation</w:t>
      </w:r>
      <w:r w:rsidR="00663EB4">
        <w:rPr>
          <w:rFonts w:ascii="Arial" w:eastAsiaTheme="minorEastAsia" w:hAnsi="Arial" w:cs="Arial"/>
          <w:sz w:val="20"/>
          <w:szCs w:val="20"/>
          <w:lang w:val="en-GB"/>
        </w:rPr>
        <w:t>.</w:t>
      </w:r>
      <w:r w:rsidR="00B85921">
        <w:rPr>
          <w:rFonts w:ascii="Arial" w:eastAsiaTheme="minorEastAsia" w:hAnsi="Arial" w:cs="Arial"/>
          <w:sz w:val="20"/>
          <w:szCs w:val="20"/>
          <w:lang w:val="en-GB"/>
        </w:rPr>
        <w:t xml:space="preserve"> </w:t>
      </w:r>
    </w:p>
    <w:p w14:paraId="507266A2" w14:textId="2023E571" w:rsidR="002B79CF" w:rsidRDefault="009B3F2A" w:rsidP="00656F78">
      <w:pPr>
        <w:snapToGrid w:val="0"/>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lastRenderedPageBreak/>
        <w:t>R</w:t>
      </w:r>
      <w:r>
        <w:rPr>
          <w:rFonts w:ascii="Arial" w:eastAsia="等线" w:hAnsi="Arial" w:cs="Arial"/>
          <w:sz w:val="20"/>
          <w:szCs w:val="20"/>
          <w:lang w:val="en-GB" w:eastAsia="zh-CN"/>
        </w:rPr>
        <w:t xml:space="preserve">egarding the remaining FFS </w:t>
      </w:r>
      <w:r w:rsidRPr="004D4ED1">
        <w:rPr>
          <w:rFonts w:ascii="Arial" w:eastAsiaTheme="minorEastAsia" w:hAnsi="Arial" w:cs="Arial"/>
          <w:sz w:val="20"/>
          <w:szCs w:val="20"/>
          <w:lang w:val="en-GB"/>
        </w:rPr>
        <w:t>on timeAlignmentTimer handling</w:t>
      </w:r>
      <w:r w:rsidR="00DD567D">
        <w:rPr>
          <w:rFonts w:ascii="Arial" w:eastAsia="等线" w:hAnsi="Arial" w:cs="Arial" w:hint="eastAsia"/>
          <w:sz w:val="20"/>
          <w:szCs w:val="20"/>
          <w:lang w:val="en-GB" w:eastAsia="zh-CN"/>
        </w:rPr>
        <w:t>,</w:t>
      </w:r>
      <w:r w:rsidR="00DD567D">
        <w:rPr>
          <w:rFonts w:ascii="Arial" w:eastAsia="等线" w:hAnsi="Arial" w:cs="Arial"/>
          <w:sz w:val="20"/>
          <w:szCs w:val="20"/>
          <w:lang w:val="en-GB" w:eastAsia="zh-CN"/>
        </w:rPr>
        <w:t xml:space="preserve"> </w:t>
      </w:r>
      <w:r w:rsidR="00DD567D">
        <w:rPr>
          <w:rFonts w:ascii="Arial" w:eastAsiaTheme="minorEastAsia" w:hAnsi="Arial" w:cs="Arial"/>
          <w:sz w:val="20"/>
          <w:szCs w:val="20"/>
          <w:lang w:val="en-GB"/>
        </w:rPr>
        <w:t>i</w:t>
      </w:r>
      <w:r w:rsidR="002E6AA1">
        <w:rPr>
          <w:rFonts w:ascii="Arial" w:eastAsiaTheme="minorEastAsia" w:hAnsi="Arial" w:cs="Arial"/>
          <w:sz w:val="20"/>
          <w:szCs w:val="20"/>
          <w:lang w:val="en-GB"/>
        </w:rPr>
        <w:t>n [1]</w:t>
      </w:r>
      <w:r w:rsidR="00474579">
        <w:rPr>
          <w:rFonts w:ascii="Arial" w:eastAsiaTheme="minorEastAsia" w:hAnsi="Arial" w:cs="Arial"/>
          <w:sz w:val="20"/>
          <w:szCs w:val="20"/>
          <w:lang w:val="en-GB"/>
        </w:rPr>
        <w:t xml:space="preserve"> it proposed that timeAlignmentTimer is also considered expires at-Service. From our perspective, since t-service is regarded as the satellite hard switch time point, and in t-service UL synchronization shall lost with serving satellite, it is obvious and logical that all UL synchronization related timers should be regarded as expired including timeAlignmentTimer. Therefore we propose that RAN2 confirms that in unchanged PCI, timeAlignmentTimer is considered expires at-Service.</w:t>
      </w:r>
    </w:p>
    <w:p w14:paraId="098DAE06" w14:textId="2E5D890D" w:rsidR="009A3E5A" w:rsidRDefault="005B1B76" w:rsidP="00656F78">
      <w:pPr>
        <w:snapToGrid w:val="0"/>
        <w:spacing w:before="120" w:after="120" w:line="0" w:lineRule="atLeast"/>
        <w:rPr>
          <w:rFonts w:ascii="Arial" w:eastAsiaTheme="minorEastAsia" w:hAnsi="Arial" w:cs="Arial"/>
          <w:b/>
          <w:bCs/>
          <w:sz w:val="20"/>
          <w:szCs w:val="20"/>
          <w:lang w:val="en-GB"/>
        </w:rPr>
      </w:pPr>
      <w:r>
        <w:rPr>
          <w:rFonts w:ascii="Arial" w:eastAsiaTheme="minorEastAsia" w:hAnsi="Arial" w:cs="Arial"/>
          <w:b/>
          <w:bCs/>
          <w:sz w:val="20"/>
          <w:szCs w:val="20"/>
          <w:lang w:val="en-GB"/>
        </w:rPr>
        <w:t xml:space="preserve">Proposal 1: </w:t>
      </w:r>
      <w:r w:rsidR="00DC40A3">
        <w:rPr>
          <w:rFonts w:ascii="Arial" w:eastAsiaTheme="minorEastAsia" w:hAnsi="Arial" w:cs="Arial"/>
          <w:b/>
          <w:bCs/>
          <w:sz w:val="20"/>
          <w:szCs w:val="20"/>
          <w:lang w:val="en-GB"/>
        </w:rPr>
        <w:t>RAN2</w:t>
      </w:r>
      <w:r w:rsidR="00F36DAE">
        <w:rPr>
          <w:rFonts w:ascii="Arial" w:eastAsiaTheme="minorEastAsia" w:hAnsi="Arial" w:cs="Arial"/>
          <w:b/>
          <w:bCs/>
          <w:sz w:val="20"/>
          <w:szCs w:val="20"/>
          <w:lang w:val="en-GB"/>
        </w:rPr>
        <w:t xml:space="preserve"> confirms </w:t>
      </w:r>
      <w:r w:rsidR="00474579">
        <w:rPr>
          <w:rFonts w:ascii="Arial" w:eastAsiaTheme="minorEastAsia" w:hAnsi="Arial" w:cs="Arial"/>
          <w:b/>
          <w:bCs/>
          <w:sz w:val="20"/>
          <w:szCs w:val="20"/>
          <w:lang w:val="en-GB"/>
        </w:rPr>
        <w:t>that in unchanged PCI, timeAlignmentTimer is considered expires at t-ser</w:t>
      </w:r>
      <w:r w:rsidR="001F12E3">
        <w:rPr>
          <w:rFonts w:ascii="Arial" w:eastAsiaTheme="minorEastAsia" w:hAnsi="Arial" w:cs="Arial"/>
          <w:b/>
          <w:bCs/>
          <w:sz w:val="20"/>
          <w:szCs w:val="20"/>
          <w:lang w:val="en-GB"/>
        </w:rPr>
        <w:t>vice</w:t>
      </w:r>
      <w:r w:rsidR="00F36DAE">
        <w:rPr>
          <w:rFonts w:ascii="Arial" w:eastAsiaTheme="minorEastAsia" w:hAnsi="Arial" w:cs="Arial"/>
          <w:b/>
          <w:bCs/>
          <w:sz w:val="20"/>
          <w:szCs w:val="20"/>
          <w:lang w:val="en-GB"/>
        </w:rPr>
        <w:t>.</w:t>
      </w:r>
    </w:p>
    <w:p w14:paraId="073E1A32" w14:textId="77777777" w:rsidR="00EB3D90" w:rsidRDefault="00EB3D90" w:rsidP="00656F78">
      <w:pPr>
        <w:snapToGrid w:val="0"/>
        <w:spacing w:before="120" w:after="120" w:line="0" w:lineRule="atLeast"/>
        <w:rPr>
          <w:rFonts w:ascii="Arial" w:eastAsia="等线" w:hAnsi="Arial" w:cs="Arial"/>
          <w:b/>
          <w:bCs/>
          <w:sz w:val="20"/>
          <w:szCs w:val="20"/>
          <w:lang w:val="en-GB" w:eastAsia="zh-CN"/>
        </w:rPr>
      </w:pPr>
    </w:p>
    <w:p w14:paraId="6D22D371" w14:textId="3FBA231D" w:rsidR="00EB3D90" w:rsidRPr="00EB3D90" w:rsidRDefault="00EB3D90" w:rsidP="00656F78">
      <w:pPr>
        <w:pStyle w:val="2"/>
        <w:tabs>
          <w:tab w:val="clear" w:pos="859"/>
          <w:tab w:val="num" w:pos="576"/>
        </w:tabs>
        <w:spacing w:before="120" w:after="120" w:line="0" w:lineRule="atLeast"/>
        <w:ind w:left="576"/>
      </w:pPr>
      <w:r w:rsidRPr="00EB3D90">
        <w:t xml:space="preserve">The ephemeris and common TA of </w:t>
      </w:r>
      <w:r w:rsidR="007206AD">
        <w:t>upcoming satellite</w:t>
      </w:r>
      <w:r w:rsidRPr="00EB3D90">
        <w:t xml:space="preserve"> </w:t>
      </w:r>
    </w:p>
    <w:p w14:paraId="32008F01" w14:textId="77777777" w:rsidR="00D5309D" w:rsidRDefault="007D483C" w:rsidP="00656F78">
      <w:pPr>
        <w:snapToGrid w:val="0"/>
        <w:spacing w:before="120" w:after="120" w:line="0" w:lineRule="atLeast"/>
        <w:rPr>
          <w:rFonts w:ascii="Arial" w:eastAsia="等线" w:hAnsi="Arial" w:cs="Arial"/>
          <w:sz w:val="20"/>
          <w:szCs w:val="20"/>
          <w:lang w:val="en-GB" w:eastAsia="zh-CN"/>
        </w:rPr>
      </w:pPr>
      <w:r w:rsidRPr="007D483C">
        <w:rPr>
          <w:rFonts w:ascii="Arial" w:eastAsia="等线" w:hAnsi="Arial" w:cs="Arial" w:hint="eastAsia"/>
          <w:sz w:val="20"/>
          <w:szCs w:val="20"/>
          <w:lang w:val="en-GB" w:eastAsia="zh-CN"/>
        </w:rPr>
        <w:t>I</w:t>
      </w:r>
      <w:r w:rsidRPr="007D483C">
        <w:rPr>
          <w:rFonts w:ascii="Arial" w:eastAsia="等线" w:hAnsi="Arial" w:cs="Arial"/>
          <w:sz w:val="20"/>
          <w:szCs w:val="20"/>
          <w:lang w:val="en-GB" w:eastAsia="zh-CN"/>
        </w:rPr>
        <w:t xml:space="preserve">n </w:t>
      </w:r>
      <w:r>
        <w:rPr>
          <w:rFonts w:ascii="Arial" w:eastAsia="等线" w:hAnsi="Arial" w:cs="Arial"/>
          <w:sz w:val="20"/>
          <w:szCs w:val="20"/>
          <w:lang w:val="en-GB" w:eastAsia="zh-CN"/>
        </w:rPr>
        <w:t xml:space="preserve">the </w:t>
      </w:r>
      <w:r w:rsidR="007A1B51">
        <w:rPr>
          <w:rFonts w:ascii="Arial" w:eastAsia="等线" w:hAnsi="Arial" w:cs="Arial"/>
          <w:sz w:val="20"/>
          <w:szCs w:val="20"/>
          <w:lang w:val="en-GB" w:eastAsia="zh-CN"/>
        </w:rPr>
        <w:t>LS from RAN1 to RAN2</w:t>
      </w:r>
      <w:r w:rsidR="00D5309D">
        <w:rPr>
          <w:rFonts w:ascii="Arial" w:eastAsia="等线" w:hAnsi="Arial" w:cs="Arial"/>
          <w:sz w:val="20"/>
          <w:szCs w:val="20"/>
          <w:lang w:val="en-GB" w:eastAsia="zh-CN"/>
        </w:rPr>
        <w:t xml:space="preserve">[2], the following proposal is included. </w:t>
      </w:r>
    </w:p>
    <w:p w14:paraId="03A89732" w14:textId="77777777" w:rsidR="00656F78" w:rsidRPr="009E6E19" w:rsidRDefault="00656F78" w:rsidP="00656F78">
      <w:pPr>
        <w:spacing w:before="120" w:after="120" w:line="0" w:lineRule="atLeast"/>
        <w:rPr>
          <w:rFonts w:ascii="Arial" w:hAnsi="Arial" w:cs="Arial"/>
          <w:i/>
          <w:iCs/>
          <w:sz w:val="20"/>
          <w:szCs w:val="20"/>
        </w:rPr>
      </w:pPr>
      <w:r w:rsidRPr="009E6E19">
        <w:rPr>
          <w:rFonts w:ascii="Arial" w:hAnsi="Arial" w:cs="Arial"/>
          <w:i/>
          <w:iCs/>
          <w:sz w:val="20"/>
          <w:szCs w:val="20"/>
        </w:rPr>
        <w:t xml:space="preserve">In order to access to the new satellite, UE should be informed with new satellite related information, including ephemeris information and common TA. For other system information, everything can be same as that of legacy cell. </w:t>
      </w:r>
    </w:p>
    <w:p w14:paraId="75BD0D76" w14:textId="77777777" w:rsidR="00656F78" w:rsidRPr="009E6E19" w:rsidRDefault="00656F78" w:rsidP="00656F78">
      <w:pPr>
        <w:spacing w:before="120" w:after="120" w:line="0" w:lineRule="atLeast"/>
        <w:rPr>
          <w:rFonts w:ascii="Arial" w:hAnsi="Arial" w:cs="Arial"/>
          <w:i/>
          <w:iCs/>
          <w:sz w:val="20"/>
          <w:szCs w:val="20"/>
        </w:rPr>
      </w:pPr>
      <w:r w:rsidRPr="009E6E19">
        <w:rPr>
          <w:rFonts w:ascii="Arial" w:hAnsi="Arial" w:cs="Arial"/>
          <w:i/>
          <w:iCs/>
          <w:sz w:val="20"/>
          <w:szCs w:val="20"/>
        </w:rPr>
        <w:t xml:space="preserve">As informed by the RAN2 LS, the re-synchronization notification can be indicated to UE since the upcoming satellite locates in different space. UE will firstly acquire the emphasis information and common TA information, and then do SSB detection, finally one PRACH signal is transmitted to gNB to get the TA from RAR information.    </w:t>
      </w:r>
    </w:p>
    <w:p w14:paraId="70BA5FD3" w14:textId="01A9BAF2" w:rsidR="00656F78" w:rsidRPr="009E6E19" w:rsidRDefault="00656F78" w:rsidP="00656F78">
      <w:pPr>
        <w:spacing w:before="120" w:after="120" w:line="0" w:lineRule="atLeast"/>
        <w:rPr>
          <w:rFonts w:ascii="Arial" w:hAnsi="Arial" w:cs="Arial"/>
          <w:i/>
          <w:iCs/>
          <w:sz w:val="20"/>
          <w:szCs w:val="20"/>
        </w:rPr>
      </w:pPr>
      <w:r w:rsidRPr="009E6E19">
        <w:rPr>
          <w:rFonts w:ascii="Arial" w:hAnsi="Arial" w:cs="Arial"/>
          <w:i/>
          <w:iCs/>
          <w:sz w:val="20"/>
          <w:szCs w:val="20"/>
        </w:rPr>
        <w:t>In order to help UE to fast access the upcoming satellite, common TA and ephemeris information can be informed to UE before satellite switching.</w:t>
      </w:r>
    </w:p>
    <w:p w14:paraId="72130111" w14:textId="4ADEA7EF" w:rsidR="005320C7" w:rsidRDefault="009E6E19" w:rsidP="00656F78">
      <w:pPr>
        <w:snapToGrid w:val="0"/>
        <w:spacing w:before="120" w:after="120" w:line="0" w:lineRule="atLeast"/>
        <w:rPr>
          <w:rFonts w:ascii="Arial" w:eastAsia="等线" w:hAnsi="Arial" w:cs="Arial"/>
          <w:sz w:val="20"/>
          <w:szCs w:val="20"/>
          <w:lang w:val="en-GB" w:eastAsia="zh-CN"/>
        </w:rPr>
      </w:pPr>
      <w:r w:rsidRPr="009E6E19">
        <w:rPr>
          <w:rFonts w:ascii="Arial" w:eastAsia="等线" w:hAnsi="Arial" w:cs="Arial"/>
          <w:sz w:val="20"/>
          <w:szCs w:val="20"/>
          <w:lang w:val="en-GB" w:eastAsia="zh-CN"/>
        </w:rPr>
        <w:t>Therefore</w:t>
      </w:r>
      <w:r w:rsidR="0061523D">
        <w:rPr>
          <w:rFonts w:ascii="Arial" w:eastAsia="等线" w:hAnsi="Arial" w:cs="Arial"/>
          <w:sz w:val="20"/>
          <w:szCs w:val="20"/>
          <w:lang w:val="en-GB" w:eastAsia="zh-CN"/>
        </w:rPr>
        <w:t xml:space="preserve"> it is necessary to consider how to inform UE the common TA and ephemeris information of upcoming satellite which belong to the same gNB. We can just simply use SIB19 to deliver this information. Furthermore, we can consider that SIB 19 can include the common TAs and ephemeris of more than one upcoming satellites which belong to the same gNB.</w:t>
      </w:r>
    </w:p>
    <w:p w14:paraId="3D04898B" w14:textId="622686AB" w:rsidR="00F41216" w:rsidRDefault="00F41216" w:rsidP="00F41216">
      <w:pPr>
        <w:snapToGrid w:val="0"/>
        <w:spacing w:before="120" w:after="120" w:line="0" w:lineRule="atLeast"/>
        <w:rPr>
          <w:rFonts w:ascii="Arial" w:eastAsiaTheme="minorEastAsia" w:hAnsi="Arial" w:cs="Arial"/>
          <w:b/>
          <w:bCs/>
          <w:sz w:val="20"/>
          <w:szCs w:val="20"/>
          <w:lang w:val="en-GB"/>
        </w:rPr>
      </w:pPr>
      <w:r>
        <w:rPr>
          <w:rFonts w:ascii="Arial" w:eastAsiaTheme="minorEastAsia" w:hAnsi="Arial" w:cs="Arial"/>
          <w:b/>
          <w:bCs/>
          <w:sz w:val="20"/>
          <w:szCs w:val="20"/>
          <w:lang w:val="en-GB"/>
        </w:rPr>
        <w:t>Proposal 2: RAN2 confirms to use SIB19 to deliver the common TA and ephemeris information of the upcoming satellite which belong to the same gNB.</w:t>
      </w:r>
    </w:p>
    <w:p w14:paraId="7A3A34C3" w14:textId="77777777" w:rsidR="0061523D" w:rsidRPr="00F41216" w:rsidRDefault="0061523D" w:rsidP="00656F78">
      <w:pPr>
        <w:snapToGrid w:val="0"/>
        <w:spacing w:before="120" w:after="120" w:line="0" w:lineRule="atLeast"/>
        <w:rPr>
          <w:rFonts w:ascii="Arial" w:eastAsia="等线" w:hAnsi="Arial" w:cs="Arial"/>
          <w:sz w:val="20"/>
          <w:szCs w:val="20"/>
          <w:lang w:val="en-GB" w:eastAsia="zh-CN"/>
        </w:rPr>
      </w:pPr>
    </w:p>
    <w:p w14:paraId="1C59E3D8" w14:textId="38CE5D58" w:rsidR="000D01C7" w:rsidRDefault="004B2D82" w:rsidP="00656F78">
      <w:pPr>
        <w:pStyle w:val="1"/>
        <w:spacing w:before="120" w:after="120" w:line="0" w:lineRule="atLeast"/>
        <w:rPr>
          <w:rFonts w:eastAsiaTheme="minorEastAsia"/>
          <w:lang w:val="en-US" w:eastAsia="ja-JP"/>
        </w:rPr>
      </w:pPr>
      <w:r>
        <w:rPr>
          <w:rFonts w:eastAsiaTheme="minorEastAsia" w:hint="eastAsia"/>
          <w:lang w:val="en-US" w:eastAsia="ja-JP"/>
        </w:rPr>
        <w:t>Summary</w:t>
      </w:r>
    </w:p>
    <w:p w14:paraId="76791F1B" w14:textId="68ADE269" w:rsidR="00A1204C" w:rsidRDefault="009C673A" w:rsidP="00656F78">
      <w:pPr>
        <w:spacing w:before="120" w:after="120" w:line="0" w:lineRule="atLeast"/>
        <w:rPr>
          <w:rFonts w:ascii="Arial" w:hAnsi="Arial" w:cs="Arial"/>
          <w:sz w:val="20"/>
          <w:szCs w:val="20"/>
        </w:rPr>
      </w:pPr>
      <w:bookmarkStart w:id="2" w:name="OLE_LINK3"/>
      <w:r>
        <w:rPr>
          <w:rFonts w:ascii="Arial" w:hAnsi="Arial" w:cs="Arial"/>
          <w:sz w:val="20"/>
          <w:szCs w:val="20"/>
        </w:rPr>
        <w:t xml:space="preserve">In this contribution, we </w:t>
      </w:r>
      <w:r w:rsidR="002D77AB">
        <w:rPr>
          <w:rFonts w:ascii="Arial" w:hAnsi="Arial" w:cs="Arial"/>
          <w:sz w:val="20"/>
          <w:szCs w:val="20"/>
        </w:rPr>
        <w:t>propose</w:t>
      </w:r>
      <w:r w:rsidR="00307A11">
        <w:rPr>
          <w:rFonts w:ascii="Arial" w:hAnsi="Arial" w:cs="Arial"/>
          <w:sz w:val="20"/>
          <w:szCs w:val="20"/>
        </w:rPr>
        <w:t xml:space="preserve"> the following proposals.</w:t>
      </w:r>
    </w:p>
    <w:bookmarkEnd w:id="0"/>
    <w:bookmarkEnd w:id="1"/>
    <w:bookmarkEnd w:id="2"/>
    <w:p w14:paraId="468FFF06" w14:textId="77777777" w:rsidR="00DD2786" w:rsidRDefault="00DD2786" w:rsidP="00656F78">
      <w:pPr>
        <w:snapToGrid w:val="0"/>
        <w:spacing w:before="120" w:after="120" w:line="0" w:lineRule="atLeast"/>
        <w:rPr>
          <w:rFonts w:ascii="Arial" w:eastAsiaTheme="minorEastAsia" w:hAnsi="Arial" w:cs="Arial"/>
          <w:b/>
          <w:bCs/>
          <w:sz w:val="20"/>
          <w:szCs w:val="20"/>
          <w:lang w:val="en-GB"/>
        </w:rPr>
      </w:pPr>
      <w:r>
        <w:rPr>
          <w:rFonts w:ascii="Arial" w:eastAsiaTheme="minorEastAsia" w:hAnsi="Arial" w:cs="Arial"/>
          <w:b/>
          <w:bCs/>
          <w:sz w:val="20"/>
          <w:szCs w:val="20"/>
          <w:lang w:val="en-GB"/>
        </w:rPr>
        <w:t>Proposal 1: RAN2 confirms that in unchanged PCI, timeAlignmentTimer is considered expires at t-service.</w:t>
      </w:r>
    </w:p>
    <w:p w14:paraId="2FED2771" w14:textId="77777777" w:rsidR="003C213C" w:rsidRDefault="003C213C" w:rsidP="003C213C">
      <w:pPr>
        <w:snapToGrid w:val="0"/>
        <w:spacing w:before="120" w:after="120" w:line="0" w:lineRule="atLeast"/>
        <w:rPr>
          <w:rFonts w:ascii="Arial" w:eastAsiaTheme="minorEastAsia" w:hAnsi="Arial" w:cs="Arial"/>
          <w:b/>
          <w:bCs/>
          <w:sz w:val="20"/>
          <w:szCs w:val="20"/>
          <w:lang w:val="en-GB"/>
        </w:rPr>
      </w:pPr>
      <w:r>
        <w:rPr>
          <w:rFonts w:ascii="Arial" w:eastAsiaTheme="minorEastAsia" w:hAnsi="Arial" w:cs="Arial"/>
          <w:b/>
          <w:bCs/>
          <w:sz w:val="20"/>
          <w:szCs w:val="20"/>
          <w:lang w:val="en-GB"/>
        </w:rPr>
        <w:t>Proposal 2: RAN2 confirms to use SIB19 to deliver the common TA and ephemeris information of the upcoming satellite which belong to the same gNB.</w:t>
      </w:r>
    </w:p>
    <w:p w14:paraId="6FE8D64C" w14:textId="4F8B758B" w:rsidR="00777B59" w:rsidRPr="003C213C" w:rsidRDefault="00777B59" w:rsidP="00656F78">
      <w:pPr>
        <w:snapToGrid w:val="0"/>
        <w:spacing w:before="120" w:after="120" w:line="0" w:lineRule="atLeast"/>
        <w:rPr>
          <w:rFonts w:ascii="Arial" w:eastAsia="等线" w:hAnsi="Arial" w:cs="Arial"/>
          <w:b/>
          <w:bCs/>
          <w:sz w:val="20"/>
          <w:szCs w:val="20"/>
          <w:lang w:val="en-GB" w:eastAsia="zh-CN"/>
        </w:rPr>
      </w:pPr>
    </w:p>
    <w:p w14:paraId="393B4C1A" w14:textId="6D61A7DF" w:rsidR="001363AB" w:rsidRPr="001572AF" w:rsidRDefault="001363AB" w:rsidP="00656F78">
      <w:pPr>
        <w:pStyle w:val="1"/>
        <w:spacing w:before="120" w:after="120" w:line="0" w:lineRule="atLeast"/>
        <w:rPr>
          <w:rFonts w:eastAsiaTheme="minorEastAsia"/>
          <w:lang w:val="en-US" w:eastAsia="ja-JP"/>
        </w:rPr>
      </w:pPr>
      <w:r>
        <w:rPr>
          <w:rFonts w:eastAsiaTheme="minorEastAsia"/>
          <w:lang w:val="en-US" w:eastAsia="ja-JP"/>
        </w:rPr>
        <w:t>Reference</w:t>
      </w:r>
    </w:p>
    <w:p w14:paraId="46C2C639" w14:textId="514F55C2" w:rsidR="001363AB" w:rsidRDefault="00393823" w:rsidP="00656F78">
      <w:pPr>
        <w:snapToGrid w:val="0"/>
        <w:spacing w:before="120" w:after="120" w:line="0" w:lineRule="atLeast"/>
        <w:rPr>
          <w:rFonts w:ascii="Arial" w:eastAsia="等线" w:hAnsi="Arial" w:cs="Arial"/>
          <w:sz w:val="20"/>
          <w:szCs w:val="20"/>
          <w:lang w:val="en-GB" w:eastAsia="zh-CN"/>
        </w:rPr>
      </w:pPr>
      <w:r w:rsidRPr="00393823">
        <w:rPr>
          <w:rFonts w:ascii="Arial" w:eastAsia="等线" w:hAnsi="Arial" w:cs="Arial" w:hint="eastAsia"/>
          <w:sz w:val="20"/>
          <w:szCs w:val="20"/>
          <w:lang w:val="en-GB" w:eastAsia="zh-CN"/>
        </w:rPr>
        <w:t>[</w:t>
      </w:r>
      <w:r w:rsidRPr="00393823">
        <w:rPr>
          <w:rFonts w:ascii="Arial" w:eastAsia="等线" w:hAnsi="Arial" w:cs="Arial"/>
          <w:sz w:val="20"/>
          <w:szCs w:val="20"/>
          <w:lang w:val="en-GB" w:eastAsia="zh-CN"/>
        </w:rPr>
        <w:t>1] R2-23</w:t>
      </w:r>
      <w:r w:rsidR="000008E4">
        <w:rPr>
          <w:rFonts w:ascii="Arial" w:eastAsia="等线" w:hAnsi="Arial" w:cs="Arial"/>
          <w:sz w:val="20"/>
          <w:szCs w:val="20"/>
          <w:lang w:val="en-GB" w:eastAsia="zh-CN"/>
        </w:rPr>
        <w:t>07623</w:t>
      </w:r>
    </w:p>
    <w:p w14:paraId="7822AA2D" w14:textId="6FBEBDA9" w:rsidR="00284D33" w:rsidRPr="00393823" w:rsidRDefault="00284D33" w:rsidP="00656F78">
      <w:pPr>
        <w:snapToGrid w:val="0"/>
        <w:spacing w:before="120" w:after="120" w:line="0" w:lineRule="atLeast"/>
        <w:rPr>
          <w:rFonts w:ascii="Arial" w:eastAsia="等线" w:hAnsi="Arial" w:cs="Arial"/>
          <w:sz w:val="20"/>
          <w:szCs w:val="20"/>
          <w:lang w:val="en-GB" w:eastAsia="zh-CN"/>
        </w:rPr>
      </w:pPr>
      <w:r>
        <w:rPr>
          <w:rFonts w:ascii="Arial" w:eastAsia="等线" w:hAnsi="Arial" w:cs="Arial" w:hint="eastAsia"/>
          <w:sz w:val="20"/>
          <w:szCs w:val="20"/>
          <w:lang w:val="en-GB" w:eastAsia="zh-CN"/>
        </w:rPr>
        <w:t>[</w:t>
      </w:r>
      <w:r>
        <w:rPr>
          <w:rFonts w:ascii="Arial" w:eastAsia="等线" w:hAnsi="Arial" w:cs="Arial"/>
          <w:sz w:val="20"/>
          <w:szCs w:val="20"/>
          <w:lang w:val="en-GB" w:eastAsia="zh-CN"/>
        </w:rPr>
        <w:t>2]</w:t>
      </w:r>
      <w:r w:rsidR="00344D27">
        <w:rPr>
          <w:rFonts w:ascii="Arial" w:eastAsia="等线" w:hAnsi="Arial" w:cs="Arial"/>
          <w:sz w:val="20"/>
          <w:szCs w:val="20"/>
          <w:lang w:val="en-GB" w:eastAsia="zh-CN"/>
        </w:rPr>
        <w:t xml:space="preserve"> R1-2304756</w:t>
      </w:r>
    </w:p>
    <w:sectPr w:rsidR="00284D33" w:rsidRPr="00393823"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32091" w14:textId="77777777" w:rsidR="007D39A4" w:rsidRDefault="007D39A4" w:rsidP="00796430">
      <w:r>
        <w:separator/>
      </w:r>
    </w:p>
  </w:endnote>
  <w:endnote w:type="continuationSeparator" w:id="0">
    <w:p w14:paraId="60735114" w14:textId="77777777" w:rsidR="007D39A4" w:rsidRDefault="007D39A4" w:rsidP="00796430">
      <w:r>
        <w:continuationSeparator/>
      </w:r>
    </w:p>
  </w:endnote>
  <w:endnote w:type="continuationNotice" w:id="1">
    <w:p w14:paraId="19A4C5D9" w14:textId="77777777" w:rsidR="007D39A4" w:rsidRDefault="007D3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5BB20" w14:textId="77777777" w:rsidR="007D39A4" w:rsidRDefault="007D39A4" w:rsidP="00796430">
      <w:r>
        <w:separator/>
      </w:r>
    </w:p>
  </w:footnote>
  <w:footnote w:type="continuationSeparator" w:id="0">
    <w:p w14:paraId="70A63D35" w14:textId="77777777" w:rsidR="007D39A4" w:rsidRDefault="007D39A4" w:rsidP="00796430">
      <w:r>
        <w:continuationSeparator/>
      </w:r>
    </w:p>
  </w:footnote>
  <w:footnote w:type="continuationNotice" w:id="1">
    <w:p w14:paraId="3CC43B0C" w14:textId="77777777" w:rsidR="007D39A4" w:rsidRDefault="007D39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691D17"/>
    <w:multiLevelType w:val="hybridMultilevel"/>
    <w:tmpl w:val="7FF2C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46808"/>
    <w:multiLevelType w:val="hybridMultilevel"/>
    <w:tmpl w:val="710A2FBE"/>
    <w:lvl w:ilvl="0" w:tplc="2F5E70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B186F41"/>
    <w:multiLevelType w:val="hybridMultilevel"/>
    <w:tmpl w:val="094E77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E43BF0"/>
    <w:multiLevelType w:val="hybridMultilevel"/>
    <w:tmpl w:val="2B54A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4C63390"/>
    <w:multiLevelType w:val="hybridMultilevel"/>
    <w:tmpl w:val="B470B5D4"/>
    <w:lvl w:ilvl="0" w:tplc="0F42DACE">
      <w:start w:val="1"/>
      <w:numFmt w:val="decimal"/>
      <w:lvlText w:val="%1."/>
      <w:lvlJc w:val="left"/>
      <w:pPr>
        <w:tabs>
          <w:tab w:val="num" w:pos="720"/>
        </w:tabs>
        <w:ind w:left="720" w:hanging="360"/>
      </w:pPr>
    </w:lvl>
    <w:lvl w:ilvl="1" w:tplc="D2B86C64" w:tentative="1">
      <w:start w:val="1"/>
      <w:numFmt w:val="decimal"/>
      <w:lvlText w:val="%2."/>
      <w:lvlJc w:val="left"/>
      <w:pPr>
        <w:tabs>
          <w:tab w:val="num" w:pos="1440"/>
        </w:tabs>
        <w:ind w:left="1440" w:hanging="360"/>
      </w:pPr>
    </w:lvl>
    <w:lvl w:ilvl="2" w:tplc="AF143A88" w:tentative="1">
      <w:start w:val="1"/>
      <w:numFmt w:val="decimal"/>
      <w:lvlText w:val="%3."/>
      <w:lvlJc w:val="left"/>
      <w:pPr>
        <w:tabs>
          <w:tab w:val="num" w:pos="2160"/>
        </w:tabs>
        <w:ind w:left="2160" w:hanging="360"/>
      </w:pPr>
    </w:lvl>
    <w:lvl w:ilvl="3" w:tplc="C12AF398" w:tentative="1">
      <w:start w:val="1"/>
      <w:numFmt w:val="decimal"/>
      <w:lvlText w:val="%4."/>
      <w:lvlJc w:val="left"/>
      <w:pPr>
        <w:tabs>
          <w:tab w:val="num" w:pos="2880"/>
        </w:tabs>
        <w:ind w:left="2880" w:hanging="360"/>
      </w:pPr>
    </w:lvl>
    <w:lvl w:ilvl="4" w:tplc="918ADF3C" w:tentative="1">
      <w:start w:val="1"/>
      <w:numFmt w:val="decimal"/>
      <w:lvlText w:val="%5."/>
      <w:lvlJc w:val="left"/>
      <w:pPr>
        <w:tabs>
          <w:tab w:val="num" w:pos="3600"/>
        </w:tabs>
        <w:ind w:left="3600" w:hanging="360"/>
      </w:pPr>
    </w:lvl>
    <w:lvl w:ilvl="5" w:tplc="A99EA42A" w:tentative="1">
      <w:start w:val="1"/>
      <w:numFmt w:val="decimal"/>
      <w:lvlText w:val="%6."/>
      <w:lvlJc w:val="left"/>
      <w:pPr>
        <w:tabs>
          <w:tab w:val="num" w:pos="4320"/>
        </w:tabs>
        <w:ind w:left="4320" w:hanging="360"/>
      </w:pPr>
    </w:lvl>
    <w:lvl w:ilvl="6" w:tplc="6E701B9A" w:tentative="1">
      <w:start w:val="1"/>
      <w:numFmt w:val="decimal"/>
      <w:lvlText w:val="%7."/>
      <w:lvlJc w:val="left"/>
      <w:pPr>
        <w:tabs>
          <w:tab w:val="num" w:pos="5040"/>
        </w:tabs>
        <w:ind w:left="5040" w:hanging="360"/>
      </w:pPr>
    </w:lvl>
    <w:lvl w:ilvl="7" w:tplc="447A639A" w:tentative="1">
      <w:start w:val="1"/>
      <w:numFmt w:val="decimal"/>
      <w:lvlText w:val="%8."/>
      <w:lvlJc w:val="left"/>
      <w:pPr>
        <w:tabs>
          <w:tab w:val="num" w:pos="5760"/>
        </w:tabs>
        <w:ind w:left="5760" w:hanging="360"/>
      </w:pPr>
    </w:lvl>
    <w:lvl w:ilvl="8" w:tplc="93663C0E" w:tentative="1">
      <w:start w:val="1"/>
      <w:numFmt w:val="decimal"/>
      <w:lvlText w:val="%9."/>
      <w:lvlJc w:val="left"/>
      <w:pPr>
        <w:tabs>
          <w:tab w:val="num" w:pos="6480"/>
        </w:tabs>
        <w:ind w:left="6480" w:hanging="360"/>
      </w:pPr>
    </w:lvl>
  </w:abstractNum>
  <w:abstractNum w:abstractNumId="21" w15:restartNumberingAfterBreak="0">
    <w:nsid w:val="48B0453A"/>
    <w:multiLevelType w:val="multilevel"/>
    <w:tmpl w:val="281E86BE"/>
    <w:numStyleLink w:val="Recommendation"/>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1516CD"/>
    <w:multiLevelType w:val="hybridMultilevel"/>
    <w:tmpl w:val="F14A49CA"/>
    <w:lvl w:ilvl="0" w:tplc="E5AC7398">
      <w:start w:val="1"/>
      <w:numFmt w:val="decimal"/>
      <w:lvlText w:val="%1."/>
      <w:lvlJc w:val="left"/>
      <w:pPr>
        <w:ind w:left="650" w:hanging="360"/>
      </w:pPr>
      <w:rPr>
        <w:rFonts w:hint="default"/>
      </w:rPr>
    </w:lvl>
    <w:lvl w:ilvl="1" w:tplc="08090019" w:tentative="1">
      <w:start w:val="1"/>
      <w:numFmt w:val="lowerLetter"/>
      <w:lvlText w:val="%2."/>
      <w:lvlJc w:val="left"/>
      <w:pPr>
        <w:ind w:left="1370" w:hanging="360"/>
      </w:pPr>
    </w:lvl>
    <w:lvl w:ilvl="2" w:tplc="0809001B" w:tentative="1">
      <w:start w:val="1"/>
      <w:numFmt w:val="lowerRoman"/>
      <w:lvlText w:val="%3."/>
      <w:lvlJc w:val="right"/>
      <w:pPr>
        <w:ind w:left="2090" w:hanging="180"/>
      </w:pPr>
    </w:lvl>
    <w:lvl w:ilvl="3" w:tplc="0809000F" w:tentative="1">
      <w:start w:val="1"/>
      <w:numFmt w:val="decimal"/>
      <w:lvlText w:val="%4."/>
      <w:lvlJc w:val="left"/>
      <w:pPr>
        <w:ind w:left="2810" w:hanging="360"/>
      </w:pPr>
    </w:lvl>
    <w:lvl w:ilvl="4" w:tplc="08090019" w:tentative="1">
      <w:start w:val="1"/>
      <w:numFmt w:val="lowerLetter"/>
      <w:lvlText w:val="%5."/>
      <w:lvlJc w:val="left"/>
      <w:pPr>
        <w:ind w:left="3530" w:hanging="360"/>
      </w:pPr>
    </w:lvl>
    <w:lvl w:ilvl="5" w:tplc="0809001B" w:tentative="1">
      <w:start w:val="1"/>
      <w:numFmt w:val="lowerRoman"/>
      <w:lvlText w:val="%6."/>
      <w:lvlJc w:val="right"/>
      <w:pPr>
        <w:ind w:left="4250" w:hanging="180"/>
      </w:pPr>
    </w:lvl>
    <w:lvl w:ilvl="6" w:tplc="0809000F" w:tentative="1">
      <w:start w:val="1"/>
      <w:numFmt w:val="decimal"/>
      <w:lvlText w:val="%7."/>
      <w:lvlJc w:val="left"/>
      <w:pPr>
        <w:ind w:left="4970" w:hanging="360"/>
      </w:pPr>
    </w:lvl>
    <w:lvl w:ilvl="7" w:tplc="08090019" w:tentative="1">
      <w:start w:val="1"/>
      <w:numFmt w:val="lowerLetter"/>
      <w:lvlText w:val="%8."/>
      <w:lvlJc w:val="left"/>
      <w:pPr>
        <w:ind w:left="5690" w:hanging="360"/>
      </w:pPr>
    </w:lvl>
    <w:lvl w:ilvl="8" w:tplc="0809001B" w:tentative="1">
      <w:start w:val="1"/>
      <w:numFmt w:val="lowerRoman"/>
      <w:lvlText w:val="%9."/>
      <w:lvlJc w:val="right"/>
      <w:pPr>
        <w:ind w:left="6410" w:hanging="180"/>
      </w:pPr>
    </w:lvl>
  </w:abstractNum>
  <w:abstractNum w:abstractNumId="30"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3DA3959"/>
    <w:multiLevelType w:val="hybridMultilevel"/>
    <w:tmpl w:val="9F1A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D55BC"/>
    <w:multiLevelType w:val="hybridMultilevel"/>
    <w:tmpl w:val="B6E03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22"/>
  </w:num>
  <w:num w:numId="3" w16cid:durableId="948317881">
    <w:abstractNumId w:val="17"/>
  </w:num>
  <w:num w:numId="4" w16cid:durableId="1510287417">
    <w:abstractNumId w:val="13"/>
  </w:num>
  <w:num w:numId="5" w16cid:durableId="1486316292">
    <w:abstractNumId w:val="27"/>
  </w:num>
  <w:num w:numId="6" w16cid:durableId="417407601">
    <w:abstractNumId w:val="14"/>
  </w:num>
  <w:num w:numId="7" w16cid:durableId="1552300747">
    <w:abstractNumId w:val="4"/>
  </w:num>
  <w:num w:numId="8" w16cid:durableId="1944066553">
    <w:abstractNumId w:val="23"/>
  </w:num>
  <w:num w:numId="9" w16cid:durableId="1954290451">
    <w:abstractNumId w:val="25"/>
    <w:lvlOverride w:ilvl="0">
      <w:startOverride w:val="1"/>
    </w:lvlOverride>
  </w:num>
  <w:num w:numId="10" w16cid:durableId="783423786">
    <w:abstractNumId w:val="2"/>
  </w:num>
  <w:num w:numId="11" w16cid:durableId="429281794">
    <w:abstractNumId w:val="21"/>
  </w:num>
  <w:num w:numId="12" w16cid:durableId="85468450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35"/>
  </w:num>
  <w:num w:numId="14" w16cid:durableId="687752480">
    <w:abstractNumId w:val="10"/>
  </w:num>
  <w:num w:numId="15" w16cid:durableId="257756216">
    <w:abstractNumId w:val="24"/>
  </w:num>
  <w:num w:numId="16" w16cid:durableId="1958290271">
    <w:abstractNumId w:val="26"/>
  </w:num>
  <w:num w:numId="17" w16cid:durableId="1009258195">
    <w:abstractNumId w:val="12"/>
  </w:num>
  <w:num w:numId="18" w16cid:durableId="1969042782">
    <w:abstractNumId w:val="5"/>
  </w:num>
  <w:num w:numId="19" w16cid:durableId="267541947">
    <w:abstractNumId w:val="6"/>
  </w:num>
  <w:num w:numId="20" w16cid:durableId="94833795">
    <w:abstractNumId w:val="1"/>
  </w:num>
  <w:num w:numId="21" w16cid:durableId="2129616234">
    <w:abstractNumId w:val="9"/>
  </w:num>
  <w:num w:numId="22" w16cid:durableId="1759011608">
    <w:abstractNumId w:val="8"/>
  </w:num>
  <w:num w:numId="23" w16cid:durableId="1556503787">
    <w:abstractNumId w:val="31"/>
  </w:num>
  <w:num w:numId="24" w16cid:durableId="531502155">
    <w:abstractNumId w:val="36"/>
  </w:num>
  <w:num w:numId="25" w16cid:durableId="1406681614">
    <w:abstractNumId w:val="28"/>
  </w:num>
  <w:num w:numId="26" w16cid:durableId="2001960179">
    <w:abstractNumId w:val="30"/>
  </w:num>
  <w:num w:numId="27" w16cid:durableId="1560092314">
    <w:abstractNumId w:val="16"/>
  </w:num>
  <w:num w:numId="28" w16cid:durableId="291324916">
    <w:abstractNumId w:val="0"/>
  </w:num>
  <w:num w:numId="29" w16cid:durableId="1485510458">
    <w:abstractNumId w:val="0"/>
  </w:num>
  <w:num w:numId="30" w16cid:durableId="622007452">
    <w:abstractNumId w:val="20"/>
  </w:num>
  <w:num w:numId="31" w16cid:durableId="144786332">
    <w:abstractNumId w:val="3"/>
  </w:num>
  <w:num w:numId="32" w16cid:durableId="1515150805">
    <w:abstractNumId w:val="33"/>
  </w:num>
  <w:num w:numId="33" w16cid:durableId="1299188246">
    <w:abstractNumId w:val="15"/>
  </w:num>
  <w:num w:numId="34" w16cid:durableId="1507789680">
    <w:abstractNumId w:val="29"/>
  </w:num>
  <w:num w:numId="35" w16cid:durableId="16086013">
    <w:abstractNumId w:val="37"/>
  </w:num>
  <w:num w:numId="36" w16cid:durableId="399836736">
    <w:abstractNumId w:val="11"/>
  </w:num>
  <w:num w:numId="37" w16cid:durableId="1171798471">
    <w:abstractNumId w:val="18"/>
  </w:num>
  <w:num w:numId="38" w16cid:durableId="765156391">
    <w:abstractNumId w:val="7"/>
  </w:num>
  <w:num w:numId="39" w16cid:durableId="605962809">
    <w:abstractNumId w:val="34"/>
  </w:num>
  <w:num w:numId="40" w16cid:durableId="463886852">
    <w:abstractNumId w:val="19"/>
  </w:num>
  <w:num w:numId="41" w16cid:durableId="663436864">
    <w:abstractNumId w:val="0"/>
  </w:num>
  <w:num w:numId="42" w16cid:durableId="974716999">
    <w:abstractNumId w:val="0"/>
  </w:num>
  <w:num w:numId="43" w16cid:durableId="637029611">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8E4"/>
    <w:rsid w:val="00000EF1"/>
    <w:rsid w:val="00001224"/>
    <w:rsid w:val="000013E0"/>
    <w:rsid w:val="0000140D"/>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2D"/>
    <w:rsid w:val="00011574"/>
    <w:rsid w:val="000116C1"/>
    <w:rsid w:val="000117C2"/>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2CB"/>
    <w:rsid w:val="00025807"/>
    <w:rsid w:val="000258E5"/>
    <w:rsid w:val="00025F3A"/>
    <w:rsid w:val="00026069"/>
    <w:rsid w:val="000260DB"/>
    <w:rsid w:val="00026964"/>
    <w:rsid w:val="00026C4A"/>
    <w:rsid w:val="00026D04"/>
    <w:rsid w:val="000275D8"/>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5B5"/>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88E"/>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5AC4"/>
    <w:rsid w:val="000960C1"/>
    <w:rsid w:val="0009622D"/>
    <w:rsid w:val="000962EB"/>
    <w:rsid w:val="0009638D"/>
    <w:rsid w:val="0009675C"/>
    <w:rsid w:val="000967FC"/>
    <w:rsid w:val="0009698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9CE"/>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1FEE"/>
    <w:rsid w:val="000B21F1"/>
    <w:rsid w:val="000B248F"/>
    <w:rsid w:val="000B2673"/>
    <w:rsid w:val="000B3421"/>
    <w:rsid w:val="000B3489"/>
    <w:rsid w:val="000B3836"/>
    <w:rsid w:val="000B3999"/>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0F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86"/>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2339"/>
    <w:rsid w:val="000E3440"/>
    <w:rsid w:val="000E37F0"/>
    <w:rsid w:val="000E38D1"/>
    <w:rsid w:val="000E3980"/>
    <w:rsid w:val="000E3B36"/>
    <w:rsid w:val="000E3C78"/>
    <w:rsid w:val="000E3EF1"/>
    <w:rsid w:val="000E41F0"/>
    <w:rsid w:val="000E44F2"/>
    <w:rsid w:val="000E46AF"/>
    <w:rsid w:val="000E4862"/>
    <w:rsid w:val="000E4EE3"/>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03"/>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1F41"/>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5A"/>
    <w:rsid w:val="0013456D"/>
    <w:rsid w:val="001359BA"/>
    <w:rsid w:val="0013618E"/>
    <w:rsid w:val="00136352"/>
    <w:rsid w:val="001363AB"/>
    <w:rsid w:val="001364F2"/>
    <w:rsid w:val="001369F8"/>
    <w:rsid w:val="00136A44"/>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C7B"/>
    <w:rsid w:val="00154213"/>
    <w:rsid w:val="001549A1"/>
    <w:rsid w:val="00155051"/>
    <w:rsid w:val="0015550C"/>
    <w:rsid w:val="001555DF"/>
    <w:rsid w:val="00155794"/>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6C1"/>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259"/>
    <w:rsid w:val="001759B1"/>
    <w:rsid w:val="00175F3C"/>
    <w:rsid w:val="001761B3"/>
    <w:rsid w:val="001762EF"/>
    <w:rsid w:val="00176B73"/>
    <w:rsid w:val="00176FE9"/>
    <w:rsid w:val="00177076"/>
    <w:rsid w:val="00177130"/>
    <w:rsid w:val="00177250"/>
    <w:rsid w:val="001776CE"/>
    <w:rsid w:val="00177871"/>
    <w:rsid w:val="001778BE"/>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221"/>
    <w:rsid w:val="001944AD"/>
    <w:rsid w:val="00194EA5"/>
    <w:rsid w:val="001951F2"/>
    <w:rsid w:val="00195206"/>
    <w:rsid w:val="0019550D"/>
    <w:rsid w:val="001956DF"/>
    <w:rsid w:val="00195C02"/>
    <w:rsid w:val="0019644B"/>
    <w:rsid w:val="001964B0"/>
    <w:rsid w:val="00196660"/>
    <w:rsid w:val="0019698B"/>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D20"/>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495"/>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AB"/>
    <w:rsid w:val="001C2ECB"/>
    <w:rsid w:val="001C393B"/>
    <w:rsid w:val="001C3C61"/>
    <w:rsid w:val="001C443E"/>
    <w:rsid w:val="001C4C36"/>
    <w:rsid w:val="001C4D75"/>
    <w:rsid w:val="001C510A"/>
    <w:rsid w:val="001C53C8"/>
    <w:rsid w:val="001C54D8"/>
    <w:rsid w:val="001C5544"/>
    <w:rsid w:val="001C55E2"/>
    <w:rsid w:val="001C5BC1"/>
    <w:rsid w:val="001C609D"/>
    <w:rsid w:val="001C61F0"/>
    <w:rsid w:val="001C6295"/>
    <w:rsid w:val="001C6B30"/>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00"/>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09A"/>
    <w:rsid w:val="001D619E"/>
    <w:rsid w:val="001D667A"/>
    <w:rsid w:val="001D67CF"/>
    <w:rsid w:val="001D6959"/>
    <w:rsid w:val="001D6C55"/>
    <w:rsid w:val="001D720F"/>
    <w:rsid w:val="001D7345"/>
    <w:rsid w:val="001D7629"/>
    <w:rsid w:val="001D779B"/>
    <w:rsid w:val="001D7FA1"/>
    <w:rsid w:val="001E01BE"/>
    <w:rsid w:val="001E05F2"/>
    <w:rsid w:val="001E0774"/>
    <w:rsid w:val="001E139E"/>
    <w:rsid w:val="001E16F7"/>
    <w:rsid w:val="001E17B0"/>
    <w:rsid w:val="001E18F6"/>
    <w:rsid w:val="001E2472"/>
    <w:rsid w:val="001E2B61"/>
    <w:rsid w:val="001E2E44"/>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2E3"/>
    <w:rsid w:val="001F16E8"/>
    <w:rsid w:val="001F18F4"/>
    <w:rsid w:val="001F1986"/>
    <w:rsid w:val="001F1CE8"/>
    <w:rsid w:val="001F227A"/>
    <w:rsid w:val="001F2286"/>
    <w:rsid w:val="001F2525"/>
    <w:rsid w:val="001F2DA9"/>
    <w:rsid w:val="001F3101"/>
    <w:rsid w:val="001F36A9"/>
    <w:rsid w:val="001F36EF"/>
    <w:rsid w:val="001F3805"/>
    <w:rsid w:val="001F3819"/>
    <w:rsid w:val="001F3CD4"/>
    <w:rsid w:val="001F3DA6"/>
    <w:rsid w:val="001F3F8B"/>
    <w:rsid w:val="001F4380"/>
    <w:rsid w:val="001F43AF"/>
    <w:rsid w:val="001F4BC8"/>
    <w:rsid w:val="001F4D96"/>
    <w:rsid w:val="001F4E3F"/>
    <w:rsid w:val="001F4ED2"/>
    <w:rsid w:val="001F5069"/>
    <w:rsid w:val="001F52E7"/>
    <w:rsid w:val="001F53A7"/>
    <w:rsid w:val="001F540A"/>
    <w:rsid w:val="001F56AF"/>
    <w:rsid w:val="001F595C"/>
    <w:rsid w:val="001F596D"/>
    <w:rsid w:val="001F5A7C"/>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7DE"/>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0EB"/>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4B8"/>
    <w:rsid w:val="00225999"/>
    <w:rsid w:val="00225B6E"/>
    <w:rsid w:val="00225BA9"/>
    <w:rsid w:val="00225C07"/>
    <w:rsid w:val="00225C30"/>
    <w:rsid w:val="0022604B"/>
    <w:rsid w:val="00226341"/>
    <w:rsid w:val="00226915"/>
    <w:rsid w:val="00226F43"/>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71"/>
    <w:rsid w:val="00230280"/>
    <w:rsid w:val="00230351"/>
    <w:rsid w:val="00230D02"/>
    <w:rsid w:val="00230DF1"/>
    <w:rsid w:val="00230E79"/>
    <w:rsid w:val="00230EC5"/>
    <w:rsid w:val="002313AD"/>
    <w:rsid w:val="0023173C"/>
    <w:rsid w:val="00231834"/>
    <w:rsid w:val="00231A6D"/>
    <w:rsid w:val="00231E70"/>
    <w:rsid w:val="00231E77"/>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9F4"/>
    <w:rsid w:val="00243A49"/>
    <w:rsid w:val="00243AF0"/>
    <w:rsid w:val="00243DD0"/>
    <w:rsid w:val="0024445D"/>
    <w:rsid w:val="002444C6"/>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2A0"/>
    <w:rsid w:val="00272588"/>
    <w:rsid w:val="002726CF"/>
    <w:rsid w:val="0027272B"/>
    <w:rsid w:val="00272EC1"/>
    <w:rsid w:val="00273190"/>
    <w:rsid w:val="0027325C"/>
    <w:rsid w:val="002732E6"/>
    <w:rsid w:val="00273375"/>
    <w:rsid w:val="00273B85"/>
    <w:rsid w:val="0027420C"/>
    <w:rsid w:val="0027435D"/>
    <w:rsid w:val="002744DC"/>
    <w:rsid w:val="0027465F"/>
    <w:rsid w:val="00274847"/>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569"/>
    <w:rsid w:val="002846EA"/>
    <w:rsid w:val="00284866"/>
    <w:rsid w:val="0028486A"/>
    <w:rsid w:val="002848B3"/>
    <w:rsid w:val="00284BE4"/>
    <w:rsid w:val="00284D33"/>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AB0"/>
    <w:rsid w:val="00293B8A"/>
    <w:rsid w:val="00293DF6"/>
    <w:rsid w:val="00294209"/>
    <w:rsid w:val="00294252"/>
    <w:rsid w:val="002944FE"/>
    <w:rsid w:val="002946AD"/>
    <w:rsid w:val="00294CA8"/>
    <w:rsid w:val="0029505C"/>
    <w:rsid w:val="00295095"/>
    <w:rsid w:val="002951A9"/>
    <w:rsid w:val="00295362"/>
    <w:rsid w:val="0029553D"/>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536"/>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67BD"/>
    <w:rsid w:val="002B7077"/>
    <w:rsid w:val="002B7988"/>
    <w:rsid w:val="002B79CF"/>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7AB"/>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AA1"/>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2A"/>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A11"/>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52D"/>
    <w:rsid w:val="00317896"/>
    <w:rsid w:val="00317A20"/>
    <w:rsid w:val="00317E1A"/>
    <w:rsid w:val="0032074B"/>
    <w:rsid w:val="003208E5"/>
    <w:rsid w:val="00320E9E"/>
    <w:rsid w:val="0032217F"/>
    <w:rsid w:val="00322487"/>
    <w:rsid w:val="003224CE"/>
    <w:rsid w:val="003225AD"/>
    <w:rsid w:val="00322610"/>
    <w:rsid w:val="00322634"/>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1B0"/>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2A"/>
    <w:rsid w:val="00344B38"/>
    <w:rsid w:val="00344D27"/>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CB6"/>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1AD"/>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71F"/>
    <w:rsid w:val="003927DC"/>
    <w:rsid w:val="00392B67"/>
    <w:rsid w:val="00392BF9"/>
    <w:rsid w:val="0039336D"/>
    <w:rsid w:val="003933CF"/>
    <w:rsid w:val="00393544"/>
    <w:rsid w:val="003935F6"/>
    <w:rsid w:val="00393823"/>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8EE"/>
    <w:rsid w:val="003C0A82"/>
    <w:rsid w:val="003C10F4"/>
    <w:rsid w:val="003C1125"/>
    <w:rsid w:val="003C14A8"/>
    <w:rsid w:val="003C213C"/>
    <w:rsid w:val="003C277B"/>
    <w:rsid w:val="003C27A5"/>
    <w:rsid w:val="003C2E98"/>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4B8"/>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4F7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BC1"/>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0CB"/>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1F98"/>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A8"/>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0ED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579"/>
    <w:rsid w:val="00474C7F"/>
    <w:rsid w:val="00474CA7"/>
    <w:rsid w:val="00474D0A"/>
    <w:rsid w:val="00474D71"/>
    <w:rsid w:val="00474F35"/>
    <w:rsid w:val="004757BE"/>
    <w:rsid w:val="00475907"/>
    <w:rsid w:val="00475BAE"/>
    <w:rsid w:val="00475BE4"/>
    <w:rsid w:val="00475D98"/>
    <w:rsid w:val="00475DC9"/>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00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B79"/>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174"/>
    <w:rsid w:val="004A5F2C"/>
    <w:rsid w:val="004A6517"/>
    <w:rsid w:val="004A6689"/>
    <w:rsid w:val="004A68D8"/>
    <w:rsid w:val="004A69A7"/>
    <w:rsid w:val="004A6F69"/>
    <w:rsid w:val="004A72B1"/>
    <w:rsid w:val="004A73CD"/>
    <w:rsid w:val="004A7BAE"/>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B1"/>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EA4"/>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4ED1"/>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8"/>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CA0"/>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C7"/>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4CA"/>
    <w:rsid w:val="005446E6"/>
    <w:rsid w:val="00544C4B"/>
    <w:rsid w:val="00545564"/>
    <w:rsid w:val="00545A0D"/>
    <w:rsid w:val="00545BEF"/>
    <w:rsid w:val="00545E08"/>
    <w:rsid w:val="00545E39"/>
    <w:rsid w:val="00545E6B"/>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3E75"/>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6D42"/>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2FBA"/>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4E"/>
    <w:rsid w:val="00580DBE"/>
    <w:rsid w:val="0058118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1"/>
    <w:rsid w:val="00584B0C"/>
    <w:rsid w:val="00584CDC"/>
    <w:rsid w:val="00584EA4"/>
    <w:rsid w:val="00584EC5"/>
    <w:rsid w:val="00585161"/>
    <w:rsid w:val="005853BB"/>
    <w:rsid w:val="0058569A"/>
    <w:rsid w:val="0058586A"/>
    <w:rsid w:val="005858A2"/>
    <w:rsid w:val="00585A03"/>
    <w:rsid w:val="00585F52"/>
    <w:rsid w:val="005860C8"/>
    <w:rsid w:val="005860D4"/>
    <w:rsid w:val="005861D3"/>
    <w:rsid w:val="0058658A"/>
    <w:rsid w:val="00586F9D"/>
    <w:rsid w:val="00587213"/>
    <w:rsid w:val="005872C9"/>
    <w:rsid w:val="00590501"/>
    <w:rsid w:val="00590604"/>
    <w:rsid w:val="0059088D"/>
    <w:rsid w:val="0059095E"/>
    <w:rsid w:val="00590B99"/>
    <w:rsid w:val="00590C67"/>
    <w:rsid w:val="00590D3A"/>
    <w:rsid w:val="00590D86"/>
    <w:rsid w:val="00590E45"/>
    <w:rsid w:val="00590E90"/>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76"/>
    <w:rsid w:val="005B1BE4"/>
    <w:rsid w:val="005B1C11"/>
    <w:rsid w:val="005B1C45"/>
    <w:rsid w:val="005B1CA9"/>
    <w:rsid w:val="005B1D77"/>
    <w:rsid w:val="005B1E47"/>
    <w:rsid w:val="005B2091"/>
    <w:rsid w:val="005B21D5"/>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C74"/>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979"/>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23D"/>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59B"/>
    <w:rsid w:val="00635645"/>
    <w:rsid w:val="006356E7"/>
    <w:rsid w:val="006368B6"/>
    <w:rsid w:val="006368EA"/>
    <w:rsid w:val="00636BF9"/>
    <w:rsid w:val="00636D54"/>
    <w:rsid w:val="00637073"/>
    <w:rsid w:val="00637214"/>
    <w:rsid w:val="006374AD"/>
    <w:rsid w:val="00637871"/>
    <w:rsid w:val="006379D3"/>
    <w:rsid w:val="00637CAF"/>
    <w:rsid w:val="00640124"/>
    <w:rsid w:val="00640188"/>
    <w:rsid w:val="0064055E"/>
    <w:rsid w:val="0064066D"/>
    <w:rsid w:val="006407D2"/>
    <w:rsid w:val="00640A7A"/>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3D5E"/>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5D3"/>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5FB7"/>
    <w:rsid w:val="006563C3"/>
    <w:rsid w:val="0065671B"/>
    <w:rsid w:val="006568EC"/>
    <w:rsid w:val="0065692D"/>
    <w:rsid w:val="00656ED9"/>
    <w:rsid w:val="00656F78"/>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EB4"/>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0FF"/>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B5D"/>
    <w:rsid w:val="00681CCF"/>
    <w:rsid w:val="0068229F"/>
    <w:rsid w:val="006823CA"/>
    <w:rsid w:val="00682545"/>
    <w:rsid w:val="006825CC"/>
    <w:rsid w:val="00682E55"/>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83"/>
    <w:rsid w:val="006972B8"/>
    <w:rsid w:val="00697773"/>
    <w:rsid w:val="00697D7E"/>
    <w:rsid w:val="00697D9C"/>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F49"/>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944"/>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0C"/>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5CD8"/>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AD"/>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04"/>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619"/>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E25"/>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B59"/>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9C8"/>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6B8"/>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B51"/>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C49"/>
    <w:rsid w:val="007D0CFB"/>
    <w:rsid w:val="007D0EC7"/>
    <w:rsid w:val="007D1325"/>
    <w:rsid w:val="007D13B1"/>
    <w:rsid w:val="007D1525"/>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9A4"/>
    <w:rsid w:val="007D3C1A"/>
    <w:rsid w:val="007D44CE"/>
    <w:rsid w:val="007D476C"/>
    <w:rsid w:val="007D483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0D73"/>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2C0"/>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16C6C"/>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BF"/>
    <w:rsid w:val="00826E46"/>
    <w:rsid w:val="00826EDD"/>
    <w:rsid w:val="00827117"/>
    <w:rsid w:val="008271E8"/>
    <w:rsid w:val="0082785A"/>
    <w:rsid w:val="00827E66"/>
    <w:rsid w:val="00830397"/>
    <w:rsid w:val="008304A8"/>
    <w:rsid w:val="00830644"/>
    <w:rsid w:val="00830856"/>
    <w:rsid w:val="00830994"/>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0E7"/>
    <w:rsid w:val="0083779B"/>
    <w:rsid w:val="00837AD5"/>
    <w:rsid w:val="00837ADF"/>
    <w:rsid w:val="00837CF4"/>
    <w:rsid w:val="00840061"/>
    <w:rsid w:val="008409BB"/>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929"/>
    <w:rsid w:val="00851CF9"/>
    <w:rsid w:val="00851E23"/>
    <w:rsid w:val="00851E90"/>
    <w:rsid w:val="00851EE5"/>
    <w:rsid w:val="00852044"/>
    <w:rsid w:val="00852076"/>
    <w:rsid w:val="00852960"/>
    <w:rsid w:val="00852987"/>
    <w:rsid w:val="00852FAE"/>
    <w:rsid w:val="00853132"/>
    <w:rsid w:val="008536F4"/>
    <w:rsid w:val="00853A06"/>
    <w:rsid w:val="00854091"/>
    <w:rsid w:val="008543C5"/>
    <w:rsid w:val="00854469"/>
    <w:rsid w:val="0085448D"/>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3C2"/>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6D"/>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DFC"/>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1AB"/>
    <w:rsid w:val="008952F1"/>
    <w:rsid w:val="008953D7"/>
    <w:rsid w:val="00895809"/>
    <w:rsid w:val="00895AC0"/>
    <w:rsid w:val="00896558"/>
    <w:rsid w:val="008965C9"/>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72"/>
    <w:rsid w:val="008A15D2"/>
    <w:rsid w:val="008A1650"/>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44A"/>
    <w:rsid w:val="008B2B50"/>
    <w:rsid w:val="008B2CD2"/>
    <w:rsid w:val="008B2DF8"/>
    <w:rsid w:val="008B2F23"/>
    <w:rsid w:val="008B3655"/>
    <w:rsid w:val="008B3738"/>
    <w:rsid w:val="008B3AE5"/>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0B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5BC9"/>
    <w:rsid w:val="008C60E5"/>
    <w:rsid w:val="008C6748"/>
    <w:rsid w:val="008C69E8"/>
    <w:rsid w:val="008C6CDF"/>
    <w:rsid w:val="008C6DF2"/>
    <w:rsid w:val="008C7AD0"/>
    <w:rsid w:val="008C7B59"/>
    <w:rsid w:val="008D0765"/>
    <w:rsid w:val="008D0CA8"/>
    <w:rsid w:val="008D0D17"/>
    <w:rsid w:val="008D0FFE"/>
    <w:rsid w:val="008D10F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1E4"/>
    <w:rsid w:val="008E5387"/>
    <w:rsid w:val="008E55A8"/>
    <w:rsid w:val="008E56EE"/>
    <w:rsid w:val="008E57D5"/>
    <w:rsid w:val="008E58AB"/>
    <w:rsid w:val="008E5B88"/>
    <w:rsid w:val="008E5C1F"/>
    <w:rsid w:val="008E5EE1"/>
    <w:rsid w:val="008E5FA7"/>
    <w:rsid w:val="008E61AE"/>
    <w:rsid w:val="008E6280"/>
    <w:rsid w:val="008E6446"/>
    <w:rsid w:val="008E663D"/>
    <w:rsid w:val="008E66CD"/>
    <w:rsid w:val="008E713E"/>
    <w:rsid w:val="008E72BE"/>
    <w:rsid w:val="008E731E"/>
    <w:rsid w:val="008E7414"/>
    <w:rsid w:val="008E77E4"/>
    <w:rsid w:val="008E788D"/>
    <w:rsid w:val="008E7933"/>
    <w:rsid w:val="008E793E"/>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B90"/>
    <w:rsid w:val="008F1C3F"/>
    <w:rsid w:val="008F2200"/>
    <w:rsid w:val="008F2738"/>
    <w:rsid w:val="008F3195"/>
    <w:rsid w:val="008F36F8"/>
    <w:rsid w:val="008F388B"/>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AE5"/>
    <w:rsid w:val="00930EAE"/>
    <w:rsid w:val="0093145C"/>
    <w:rsid w:val="009314EC"/>
    <w:rsid w:val="00931768"/>
    <w:rsid w:val="00931ACF"/>
    <w:rsid w:val="00931B6C"/>
    <w:rsid w:val="009320F8"/>
    <w:rsid w:val="00932142"/>
    <w:rsid w:val="00932956"/>
    <w:rsid w:val="009329B3"/>
    <w:rsid w:val="009329E6"/>
    <w:rsid w:val="00932BCD"/>
    <w:rsid w:val="00932F45"/>
    <w:rsid w:val="0093301D"/>
    <w:rsid w:val="009332ED"/>
    <w:rsid w:val="00933403"/>
    <w:rsid w:val="009334AC"/>
    <w:rsid w:val="009334FA"/>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0FF"/>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5718B"/>
    <w:rsid w:val="0096038C"/>
    <w:rsid w:val="009607D2"/>
    <w:rsid w:val="00960B71"/>
    <w:rsid w:val="00960B82"/>
    <w:rsid w:val="00960F51"/>
    <w:rsid w:val="00961110"/>
    <w:rsid w:val="00961607"/>
    <w:rsid w:val="00961CC4"/>
    <w:rsid w:val="00962501"/>
    <w:rsid w:val="009625DB"/>
    <w:rsid w:val="0096298F"/>
    <w:rsid w:val="009629D4"/>
    <w:rsid w:val="00962B2D"/>
    <w:rsid w:val="00962E3B"/>
    <w:rsid w:val="00962FA7"/>
    <w:rsid w:val="00962FD8"/>
    <w:rsid w:val="00963095"/>
    <w:rsid w:val="00963099"/>
    <w:rsid w:val="009632A6"/>
    <w:rsid w:val="00963447"/>
    <w:rsid w:val="0096347B"/>
    <w:rsid w:val="00963481"/>
    <w:rsid w:val="009637CC"/>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4DC"/>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1E62"/>
    <w:rsid w:val="00982332"/>
    <w:rsid w:val="00982AAC"/>
    <w:rsid w:val="00982CDD"/>
    <w:rsid w:val="00982F26"/>
    <w:rsid w:val="00982F5D"/>
    <w:rsid w:val="00983096"/>
    <w:rsid w:val="009833BE"/>
    <w:rsid w:val="0098348B"/>
    <w:rsid w:val="00983DEC"/>
    <w:rsid w:val="009841FC"/>
    <w:rsid w:val="00984227"/>
    <w:rsid w:val="009843FF"/>
    <w:rsid w:val="00984435"/>
    <w:rsid w:val="009844D9"/>
    <w:rsid w:val="0098488A"/>
    <w:rsid w:val="00984985"/>
    <w:rsid w:val="00984BD2"/>
    <w:rsid w:val="00984EB1"/>
    <w:rsid w:val="0098532F"/>
    <w:rsid w:val="00985797"/>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3E5A"/>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3F2A"/>
    <w:rsid w:val="009B3F5C"/>
    <w:rsid w:val="009B4028"/>
    <w:rsid w:val="009B4092"/>
    <w:rsid w:val="009B40A0"/>
    <w:rsid w:val="009B43E5"/>
    <w:rsid w:val="009B43E6"/>
    <w:rsid w:val="009B48F8"/>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73A"/>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E51"/>
    <w:rsid w:val="009E1F29"/>
    <w:rsid w:val="009E1F30"/>
    <w:rsid w:val="009E200F"/>
    <w:rsid w:val="009E21AC"/>
    <w:rsid w:val="009E23E3"/>
    <w:rsid w:val="009E25FB"/>
    <w:rsid w:val="009E2657"/>
    <w:rsid w:val="009E2C57"/>
    <w:rsid w:val="009E2F2D"/>
    <w:rsid w:val="009E300C"/>
    <w:rsid w:val="009E330C"/>
    <w:rsid w:val="009E359C"/>
    <w:rsid w:val="009E3A7D"/>
    <w:rsid w:val="009E3D5F"/>
    <w:rsid w:val="009E4149"/>
    <w:rsid w:val="009E475C"/>
    <w:rsid w:val="009E48B3"/>
    <w:rsid w:val="009E4A7F"/>
    <w:rsid w:val="009E4C78"/>
    <w:rsid w:val="009E53B7"/>
    <w:rsid w:val="009E56C8"/>
    <w:rsid w:val="009E5CEE"/>
    <w:rsid w:val="009E61C4"/>
    <w:rsid w:val="009E645B"/>
    <w:rsid w:val="009E6905"/>
    <w:rsid w:val="009E6ADE"/>
    <w:rsid w:val="009E6E19"/>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460"/>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3DF0"/>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A88"/>
    <w:rsid w:val="00A14B14"/>
    <w:rsid w:val="00A14CF0"/>
    <w:rsid w:val="00A14D3D"/>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808"/>
    <w:rsid w:val="00A229C1"/>
    <w:rsid w:val="00A22BF6"/>
    <w:rsid w:val="00A22DC5"/>
    <w:rsid w:val="00A2325A"/>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3B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610"/>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4D3"/>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1FCC"/>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BDF"/>
    <w:rsid w:val="00AD2CBD"/>
    <w:rsid w:val="00AD2F85"/>
    <w:rsid w:val="00AD3215"/>
    <w:rsid w:val="00AD37F4"/>
    <w:rsid w:val="00AD3C59"/>
    <w:rsid w:val="00AD3D03"/>
    <w:rsid w:val="00AD3EFD"/>
    <w:rsid w:val="00AD4568"/>
    <w:rsid w:val="00AD4DD7"/>
    <w:rsid w:val="00AD4E10"/>
    <w:rsid w:val="00AD4FF2"/>
    <w:rsid w:val="00AD52FF"/>
    <w:rsid w:val="00AD5464"/>
    <w:rsid w:val="00AD5863"/>
    <w:rsid w:val="00AD5AD9"/>
    <w:rsid w:val="00AD5DD7"/>
    <w:rsid w:val="00AD5E54"/>
    <w:rsid w:val="00AD5E6E"/>
    <w:rsid w:val="00AD60C6"/>
    <w:rsid w:val="00AD6533"/>
    <w:rsid w:val="00AD663F"/>
    <w:rsid w:val="00AD68C5"/>
    <w:rsid w:val="00AD6DB3"/>
    <w:rsid w:val="00AD6DB6"/>
    <w:rsid w:val="00AD6DCF"/>
    <w:rsid w:val="00AD6DE4"/>
    <w:rsid w:val="00AD71A4"/>
    <w:rsid w:val="00AD7A8B"/>
    <w:rsid w:val="00AD7C2B"/>
    <w:rsid w:val="00AE032D"/>
    <w:rsid w:val="00AE0561"/>
    <w:rsid w:val="00AE1526"/>
    <w:rsid w:val="00AE198D"/>
    <w:rsid w:val="00AE1F72"/>
    <w:rsid w:val="00AE20DC"/>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2DA"/>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7BE"/>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58"/>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47CD6"/>
    <w:rsid w:val="00B50586"/>
    <w:rsid w:val="00B50976"/>
    <w:rsid w:val="00B509EA"/>
    <w:rsid w:val="00B50CC9"/>
    <w:rsid w:val="00B514F1"/>
    <w:rsid w:val="00B51524"/>
    <w:rsid w:val="00B516B0"/>
    <w:rsid w:val="00B51C97"/>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782"/>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921"/>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BC5"/>
    <w:rsid w:val="00B94E2B"/>
    <w:rsid w:val="00B94F44"/>
    <w:rsid w:val="00B94F4D"/>
    <w:rsid w:val="00B9565B"/>
    <w:rsid w:val="00B958C1"/>
    <w:rsid w:val="00B959CB"/>
    <w:rsid w:val="00B95A15"/>
    <w:rsid w:val="00B95AB0"/>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40A"/>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3FE"/>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FC"/>
    <w:rsid w:val="00BF74E9"/>
    <w:rsid w:val="00BF7941"/>
    <w:rsid w:val="00BF7B98"/>
    <w:rsid w:val="00C002DF"/>
    <w:rsid w:val="00C003C5"/>
    <w:rsid w:val="00C0053B"/>
    <w:rsid w:val="00C005EF"/>
    <w:rsid w:val="00C006E1"/>
    <w:rsid w:val="00C00C6C"/>
    <w:rsid w:val="00C013D8"/>
    <w:rsid w:val="00C0190C"/>
    <w:rsid w:val="00C025CF"/>
    <w:rsid w:val="00C027BA"/>
    <w:rsid w:val="00C02DD7"/>
    <w:rsid w:val="00C02F4B"/>
    <w:rsid w:val="00C031F6"/>
    <w:rsid w:val="00C03354"/>
    <w:rsid w:val="00C03439"/>
    <w:rsid w:val="00C039A8"/>
    <w:rsid w:val="00C03AFB"/>
    <w:rsid w:val="00C03BCB"/>
    <w:rsid w:val="00C04280"/>
    <w:rsid w:val="00C04327"/>
    <w:rsid w:val="00C04342"/>
    <w:rsid w:val="00C04724"/>
    <w:rsid w:val="00C04B60"/>
    <w:rsid w:val="00C04C59"/>
    <w:rsid w:val="00C04E3C"/>
    <w:rsid w:val="00C05074"/>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D09"/>
    <w:rsid w:val="00C100AB"/>
    <w:rsid w:val="00C101CA"/>
    <w:rsid w:val="00C1081E"/>
    <w:rsid w:val="00C10857"/>
    <w:rsid w:val="00C10A2A"/>
    <w:rsid w:val="00C10DB0"/>
    <w:rsid w:val="00C11356"/>
    <w:rsid w:val="00C1153F"/>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36D"/>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2F3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E6A"/>
    <w:rsid w:val="00C302A9"/>
    <w:rsid w:val="00C30560"/>
    <w:rsid w:val="00C30CD9"/>
    <w:rsid w:val="00C31031"/>
    <w:rsid w:val="00C3148F"/>
    <w:rsid w:val="00C3160F"/>
    <w:rsid w:val="00C31A57"/>
    <w:rsid w:val="00C31BBC"/>
    <w:rsid w:val="00C31C21"/>
    <w:rsid w:val="00C31D15"/>
    <w:rsid w:val="00C31DA1"/>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AB6"/>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A60"/>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77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5DF1"/>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2D3A"/>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0AC"/>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3A4"/>
    <w:rsid w:val="00CB34B7"/>
    <w:rsid w:val="00CB405F"/>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C24"/>
    <w:rsid w:val="00CF0DF9"/>
    <w:rsid w:val="00CF0F92"/>
    <w:rsid w:val="00CF187D"/>
    <w:rsid w:val="00CF224F"/>
    <w:rsid w:val="00CF28EA"/>
    <w:rsid w:val="00CF2B23"/>
    <w:rsid w:val="00CF3141"/>
    <w:rsid w:val="00CF3714"/>
    <w:rsid w:val="00CF37D0"/>
    <w:rsid w:val="00CF40EF"/>
    <w:rsid w:val="00CF47BC"/>
    <w:rsid w:val="00CF491E"/>
    <w:rsid w:val="00CF4B00"/>
    <w:rsid w:val="00CF56CA"/>
    <w:rsid w:val="00CF5960"/>
    <w:rsid w:val="00CF5DA4"/>
    <w:rsid w:val="00CF5FEC"/>
    <w:rsid w:val="00CF656D"/>
    <w:rsid w:val="00CF6A2E"/>
    <w:rsid w:val="00CF7547"/>
    <w:rsid w:val="00CF78BB"/>
    <w:rsid w:val="00CF7996"/>
    <w:rsid w:val="00D00001"/>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5D"/>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5F29"/>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09D"/>
    <w:rsid w:val="00D53192"/>
    <w:rsid w:val="00D53406"/>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D7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48A"/>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A46"/>
    <w:rsid w:val="00DA6103"/>
    <w:rsid w:val="00DA6104"/>
    <w:rsid w:val="00DA63F2"/>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AA3"/>
    <w:rsid w:val="00DB1D4A"/>
    <w:rsid w:val="00DB25E6"/>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E0B"/>
    <w:rsid w:val="00DC3100"/>
    <w:rsid w:val="00DC3B91"/>
    <w:rsid w:val="00DC40A3"/>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786"/>
    <w:rsid w:val="00DD2A89"/>
    <w:rsid w:val="00DD2ED5"/>
    <w:rsid w:val="00DD3AD5"/>
    <w:rsid w:val="00DD3D5B"/>
    <w:rsid w:val="00DD4459"/>
    <w:rsid w:val="00DD449B"/>
    <w:rsid w:val="00DD4565"/>
    <w:rsid w:val="00DD4756"/>
    <w:rsid w:val="00DD4B8F"/>
    <w:rsid w:val="00DD4D2F"/>
    <w:rsid w:val="00DD53BF"/>
    <w:rsid w:val="00DD567D"/>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4C17"/>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7B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5E81"/>
    <w:rsid w:val="00E26202"/>
    <w:rsid w:val="00E264DD"/>
    <w:rsid w:val="00E26758"/>
    <w:rsid w:val="00E26777"/>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E4"/>
    <w:rsid w:val="00E3193A"/>
    <w:rsid w:val="00E31D16"/>
    <w:rsid w:val="00E31EFB"/>
    <w:rsid w:val="00E3226F"/>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699"/>
    <w:rsid w:val="00E54706"/>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5F79"/>
    <w:rsid w:val="00E76259"/>
    <w:rsid w:val="00E764E7"/>
    <w:rsid w:val="00E768B9"/>
    <w:rsid w:val="00E768F3"/>
    <w:rsid w:val="00E76D9E"/>
    <w:rsid w:val="00E770A6"/>
    <w:rsid w:val="00E774D6"/>
    <w:rsid w:val="00E77A1C"/>
    <w:rsid w:val="00E77F0C"/>
    <w:rsid w:val="00E80311"/>
    <w:rsid w:val="00E803E2"/>
    <w:rsid w:val="00E8081C"/>
    <w:rsid w:val="00E81274"/>
    <w:rsid w:val="00E812F8"/>
    <w:rsid w:val="00E81385"/>
    <w:rsid w:val="00E8157D"/>
    <w:rsid w:val="00E81944"/>
    <w:rsid w:val="00E81CF5"/>
    <w:rsid w:val="00E81FAA"/>
    <w:rsid w:val="00E81FDB"/>
    <w:rsid w:val="00E8225F"/>
    <w:rsid w:val="00E8243D"/>
    <w:rsid w:val="00E8245A"/>
    <w:rsid w:val="00E82696"/>
    <w:rsid w:val="00E82938"/>
    <w:rsid w:val="00E82A21"/>
    <w:rsid w:val="00E82BB9"/>
    <w:rsid w:val="00E82C9C"/>
    <w:rsid w:val="00E82CA1"/>
    <w:rsid w:val="00E82D6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C78"/>
    <w:rsid w:val="00EA0D19"/>
    <w:rsid w:val="00EA134A"/>
    <w:rsid w:val="00EA17A3"/>
    <w:rsid w:val="00EA22F1"/>
    <w:rsid w:val="00EA244C"/>
    <w:rsid w:val="00EA2715"/>
    <w:rsid w:val="00EA2804"/>
    <w:rsid w:val="00EA283D"/>
    <w:rsid w:val="00EA2880"/>
    <w:rsid w:val="00EA2B71"/>
    <w:rsid w:val="00EA304A"/>
    <w:rsid w:val="00EA3356"/>
    <w:rsid w:val="00EA3A10"/>
    <w:rsid w:val="00EA400E"/>
    <w:rsid w:val="00EA4220"/>
    <w:rsid w:val="00EA4500"/>
    <w:rsid w:val="00EA47B1"/>
    <w:rsid w:val="00EA4B68"/>
    <w:rsid w:val="00EA4C2F"/>
    <w:rsid w:val="00EA4FFD"/>
    <w:rsid w:val="00EA5096"/>
    <w:rsid w:val="00EA50B4"/>
    <w:rsid w:val="00EA52E1"/>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0C7"/>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3D90"/>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7A"/>
    <w:rsid w:val="00EB7AB1"/>
    <w:rsid w:val="00EB7ADF"/>
    <w:rsid w:val="00EB7B99"/>
    <w:rsid w:val="00EB7BF0"/>
    <w:rsid w:val="00EB7FC1"/>
    <w:rsid w:val="00EC039C"/>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6A"/>
    <w:rsid w:val="00ED6B35"/>
    <w:rsid w:val="00ED6C78"/>
    <w:rsid w:val="00ED700F"/>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06"/>
    <w:rsid w:val="00EE2ACB"/>
    <w:rsid w:val="00EE2BAA"/>
    <w:rsid w:val="00EE2DA5"/>
    <w:rsid w:val="00EE2E16"/>
    <w:rsid w:val="00EE3081"/>
    <w:rsid w:val="00EE315D"/>
    <w:rsid w:val="00EE3C25"/>
    <w:rsid w:val="00EE3CBE"/>
    <w:rsid w:val="00EE4001"/>
    <w:rsid w:val="00EE4992"/>
    <w:rsid w:val="00EE49A5"/>
    <w:rsid w:val="00EE4D07"/>
    <w:rsid w:val="00EE4DFB"/>
    <w:rsid w:val="00EE4FE1"/>
    <w:rsid w:val="00EE5AE2"/>
    <w:rsid w:val="00EE61F9"/>
    <w:rsid w:val="00EE67B1"/>
    <w:rsid w:val="00EE6E49"/>
    <w:rsid w:val="00EE6F60"/>
    <w:rsid w:val="00EE7003"/>
    <w:rsid w:val="00EE7381"/>
    <w:rsid w:val="00EE77D8"/>
    <w:rsid w:val="00EE780F"/>
    <w:rsid w:val="00EE7AEF"/>
    <w:rsid w:val="00EE7C72"/>
    <w:rsid w:val="00EE7D76"/>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2E1"/>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D14"/>
    <w:rsid w:val="00F34E71"/>
    <w:rsid w:val="00F34F18"/>
    <w:rsid w:val="00F350CC"/>
    <w:rsid w:val="00F35196"/>
    <w:rsid w:val="00F35577"/>
    <w:rsid w:val="00F35737"/>
    <w:rsid w:val="00F35913"/>
    <w:rsid w:val="00F35C69"/>
    <w:rsid w:val="00F35F22"/>
    <w:rsid w:val="00F36264"/>
    <w:rsid w:val="00F3652A"/>
    <w:rsid w:val="00F3658B"/>
    <w:rsid w:val="00F36669"/>
    <w:rsid w:val="00F3679E"/>
    <w:rsid w:val="00F36847"/>
    <w:rsid w:val="00F368D7"/>
    <w:rsid w:val="00F369DC"/>
    <w:rsid w:val="00F36BDE"/>
    <w:rsid w:val="00F36DA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216"/>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3AF"/>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5A"/>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B20"/>
    <w:rsid w:val="00F86F79"/>
    <w:rsid w:val="00F870E8"/>
    <w:rsid w:val="00F87502"/>
    <w:rsid w:val="00F87CF9"/>
    <w:rsid w:val="00F9002B"/>
    <w:rsid w:val="00F90078"/>
    <w:rsid w:val="00F90137"/>
    <w:rsid w:val="00F909A3"/>
    <w:rsid w:val="00F90A28"/>
    <w:rsid w:val="00F90CC0"/>
    <w:rsid w:val="00F90EFD"/>
    <w:rsid w:val="00F90F8E"/>
    <w:rsid w:val="00F91223"/>
    <w:rsid w:val="00F91775"/>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6CB"/>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AC7"/>
    <w:rsid w:val="00FC1B21"/>
    <w:rsid w:val="00FC21D5"/>
    <w:rsid w:val="00FC228A"/>
    <w:rsid w:val="00FC2724"/>
    <w:rsid w:val="00FC275A"/>
    <w:rsid w:val="00FC2B22"/>
    <w:rsid w:val="00FC314B"/>
    <w:rsid w:val="00FC36A8"/>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0F79"/>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楷体_GB2312" w:eastAsia="Dotum" w:hAnsi="楷体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C5486"/>
    <w:rPr>
      <w:rFonts w:ascii="MS PGothic" w:eastAsia="MS PGothic" w:hAnsi="MS PGothic" w:cs="MS PGothic"/>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0">
    <w:name w:val="index 2"/>
    <w:basedOn w:val="11"/>
    <w:semiHidden/>
    <w:pPr>
      <w:ind w:left="284"/>
    </w:pPr>
  </w:style>
  <w:style w:type="paragraph" w:styleId="11">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1">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2"/>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3">
    <w:name w:val="List 2"/>
    <w:basedOn w:val="a8"/>
    <w:pPr>
      <w:ind w:left="851"/>
    </w:pPr>
  </w:style>
  <w:style w:type="paragraph" w:styleId="33">
    <w:name w:val="List 3"/>
    <w:basedOn w:val="23"/>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3"/>
    <w:link w:val="B2Char"/>
    <w:qFormat/>
    <w:pPr>
      <w:spacing w:after="180"/>
    </w:pPr>
    <w:rPr>
      <w:rFonts w:eastAsia="Dotum"/>
      <w:lang w:val="en-GB" w:eastAsia="en-US"/>
    </w:rPr>
  </w:style>
  <w:style w:type="paragraph" w:customStyle="1" w:styleId="B3">
    <w:name w:val="B3"/>
    <w:basedOn w:val="33"/>
    <w:link w:val="B3Char"/>
    <w:qFormat/>
    <w:pPr>
      <w:spacing w:after="180"/>
    </w:pPr>
    <w:rPr>
      <w:lang w:val="x-none" w:eastAsia="en-US"/>
    </w:rPr>
  </w:style>
  <w:style w:type="paragraph" w:customStyle="1" w:styleId="B4">
    <w:name w:val="B4"/>
    <w:basedOn w:val="42"/>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正文文本 字符"/>
    <w:link w:val="ad"/>
    <w:qFormat/>
    <w:rPr>
      <w:rFonts w:ascii="Arial" w:hAnsi="Arial"/>
      <w:lang w:val="en-GB" w:eastAsia="zh-CN"/>
    </w:rPr>
  </w:style>
  <w:style w:type="paragraph" w:customStyle="1" w:styleId="B5">
    <w:name w:val="B5"/>
    <w:basedOn w:val="51"/>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楷体_GB2312" w:eastAsia="Dotum" w:hAnsi="楷体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宋体"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宋体"/>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宋体" w:hAnsi="Arial"/>
      <w:lang w:eastAsia="zh-CN"/>
    </w:rPr>
  </w:style>
  <w:style w:type="paragraph" w:customStyle="1" w:styleId="Comments">
    <w:name w:val="Comments"/>
    <w:basedOn w:val="a0"/>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af6">
    <w:name w:val="批注文字 字符"/>
    <w:link w:val="af5"/>
    <w:rsid w:val="00D67B66"/>
    <w:rPr>
      <w:rFonts w:ascii="Arial" w:eastAsia="宋体" w:hAnsi="Arial"/>
    </w:rPr>
  </w:style>
  <w:style w:type="paragraph" w:customStyle="1" w:styleId="Agreement">
    <w:name w:val="Agreement"/>
    <w:basedOn w:val="a0"/>
    <w:next w:val="a0"/>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d">
    <w:name w:val="列表段落 字符"/>
    <w:aliases w:val="- Bullets 字符,?? ?? 字符,????? 字符,???? 字符,Lista1 字符,1st level - Bullet List Paragraph 字符,List Paragraph1 字符,Lettre d'introduction 字符,Paragrafo elenco 字符,Normal bullet 2 字符,Bullet list 字符,Numbered List 字符,列出段落1 字符,中等深浅网格 1 - 着色 21 字符,ÁÐ³ö¶ÎÂä 字符"/>
    <w:link w:val="afc"/>
    <w:uiPriority w:val="34"/>
    <w:qFormat/>
    <w:locked/>
    <w:rsid w:val="00F1586B"/>
    <w:rPr>
      <w:rFonts w:ascii="Arial" w:eastAsia="宋体"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aff2">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styleId="52">
    <w:name w:val="List Number 5"/>
    <w:basedOn w:val="a0"/>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2">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a0"/>
    <w:next w:val="Doc-text2"/>
    <w:qFormat/>
    <w:rsid w:val="007972F4"/>
    <w:pPr>
      <w:tabs>
        <w:tab w:val="left" w:pos="1622"/>
      </w:tabs>
      <w:ind w:left="1622" w:hanging="363"/>
    </w:pPr>
    <w:rPr>
      <w:rFonts w:eastAsia="MS Mincho"/>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MS Mincho" w:hAnsi="Calibri"/>
      <w:b/>
      <w:lang w:eastAsia="sv-SE"/>
    </w:rPr>
  </w:style>
  <w:style w:type="character" w:customStyle="1" w:styleId="24">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aff3">
    <w:name w:val="Quote"/>
    <w:basedOn w:val="a0"/>
    <w:next w:val="a0"/>
    <w:link w:val="aff4"/>
    <w:uiPriority w:val="29"/>
    <w:qFormat/>
    <w:rsid w:val="00AB70EA"/>
    <w:pPr>
      <w:spacing w:before="200" w:after="160"/>
      <w:ind w:left="864" w:right="864"/>
      <w:jc w:val="center"/>
    </w:pPr>
    <w:rPr>
      <w:i/>
      <w:iCs/>
      <w:color w:val="404040" w:themeColor="text1" w:themeTint="BF"/>
    </w:rPr>
  </w:style>
  <w:style w:type="character" w:customStyle="1" w:styleId="aff4">
    <w:name w:val="引用 字符"/>
    <w:basedOn w:val="a1"/>
    <w:link w:val="aff3"/>
    <w:uiPriority w:val="29"/>
    <w:rsid w:val="00AB70EA"/>
    <w:rPr>
      <w:rFonts w:ascii="Arial" w:eastAsia="宋体" w:hAnsi="Arial"/>
      <w:i/>
      <w:iCs/>
      <w:color w:val="404040" w:themeColor="text1" w:themeTint="BF"/>
      <w:lang w:eastAsia="zh-CN"/>
    </w:rPr>
  </w:style>
  <w:style w:type="character" w:styleId="aff5">
    <w:name w:val="Subtle Reference"/>
    <w:basedOn w:val="a1"/>
    <w:uiPriority w:val="31"/>
    <w:qFormat/>
    <w:rsid w:val="00AB70EA"/>
    <w:rPr>
      <w:smallCaps/>
      <w:color w:val="5A5A5A" w:themeColor="text1" w:themeTint="A5"/>
    </w:rPr>
  </w:style>
  <w:style w:type="character" w:customStyle="1" w:styleId="13">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宋体"/>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2187368">
      <w:bodyDiv w:val="1"/>
      <w:marLeft w:val="0"/>
      <w:marRight w:val="0"/>
      <w:marTop w:val="0"/>
      <w:marBottom w:val="0"/>
      <w:divBdr>
        <w:top w:val="none" w:sz="0" w:space="0" w:color="auto"/>
        <w:left w:val="none" w:sz="0" w:space="0" w:color="auto"/>
        <w:bottom w:val="none" w:sz="0" w:space="0" w:color="auto"/>
        <w:right w:val="none" w:sz="0" w:space="0" w:color="auto"/>
      </w:divBdr>
      <w:divsChild>
        <w:div w:id="431442364">
          <w:marLeft w:val="562"/>
          <w:marRight w:val="0"/>
          <w:marTop w:val="100"/>
          <w:marBottom w:val="0"/>
          <w:divBdr>
            <w:top w:val="none" w:sz="0" w:space="0" w:color="auto"/>
            <w:left w:val="none" w:sz="0" w:space="0" w:color="auto"/>
            <w:bottom w:val="none" w:sz="0" w:space="0" w:color="auto"/>
            <w:right w:val="none" w:sz="0" w:space="0" w:color="auto"/>
          </w:divBdr>
        </w:div>
        <w:div w:id="698824196">
          <w:marLeft w:val="562"/>
          <w:marRight w:val="0"/>
          <w:marTop w:val="100"/>
          <w:marBottom w:val="0"/>
          <w:divBdr>
            <w:top w:val="none" w:sz="0" w:space="0" w:color="auto"/>
            <w:left w:val="none" w:sz="0" w:space="0" w:color="auto"/>
            <w:bottom w:val="none" w:sz="0" w:space="0" w:color="auto"/>
            <w:right w:val="none" w:sz="0" w:space="0" w:color="auto"/>
          </w:divBdr>
        </w:div>
        <w:div w:id="1608541028">
          <w:marLeft w:val="734"/>
          <w:marRight w:val="0"/>
          <w:marTop w:val="100"/>
          <w:marBottom w:val="0"/>
          <w:divBdr>
            <w:top w:val="none" w:sz="0" w:space="0" w:color="auto"/>
            <w:left w:val="none" w:sz="0" w:space="0" w:color="auto"/>
            <w:bottom w:val="none" w:sz="0" w:space="0" w:color="auto"/>
            <w:right w:val="none" w:sz="0" w:space="0" w:color="auto"/>
          </w:divBdr>
        </w:div>
      </w:divsChild>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3019330">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59453128">
      <w:bodyDiv w:val="1"/>
      <w:marLeft w:val="0"/>
      <w:marRight w:val="0"/>
      <w:marTop w:val="0"/>
      <w:marBottom w:val="0"/>
      <w:divBdr>
        <w:top w:val="none" w:sz="0" w:space="0" w:color="auto"/>
        <w:left w:val="none" w:sz="0" w:space="0" w:color="auto"/>
        <w:bottom w:val="none" w:sz="0" w:space="0" w:color="auto"/>
        <w:right w:val="none" w:sz="0" w:space="0" w:color="auto"/>
      </w:divBdr>
      <w:divsChild>
        <w:div w:id="1142961334">
          <w:marLeft w:val="288"/>
          <w:marRight w:val="0"/>
          <w:marTop w:val="100"/>
          <w:marBottom w:val="0"/>
          <w:divBdr>
            <w:top w:val="none" w:sz="0" w:space="0" w:color="auto"/>
            <w:left w:val="none" w:sz="0" w:space="0" w:color="auto"/>
            <w:bottom w:val="none" w:sz="0" w:space="0" w:color="auto"/>
            <w:right w:val="none" w:sz="0" w:space="0" w:color="auto"/>
          </w:divBdr>
        </w:div>
        <w:div w:id="578515938">
          <w:marLeft w:val="288"/>
          <w:marRight w:val="0"/>
          <w:marTop w:val="100"/>
          <w:marBottom w:val="0"/>
          <w:divBdr>
            <w:top w:val="none" w:sz="0" w:space="0" w:color="auto"/>
            <w:left w:val="none" w:sz="0" w:space="0" w:color="auto"/>
            <w:bottom w:val="none" w:sz="0" w:space="0" w:color="auto"/>
            <w:right w:val="none" w:sz="0" w:space="0" w:color="auto"/>
          </w:divBdr>
        </w:div>
        <w:div w:id="1764060727">
          <w:marLeft w:val="288"/>
          <w:marRight w:val="0"/>
          <w:marTop w:val="100"/>
          <w:marBottom w:val="0"/>
          <w:divBdr>
            <w:top w:val="none" w:sz="0" w:space="0" w:color="auto"/>
            <w:left w:val="none" w:sz="0" w:space="0" w:color="auto"/>
            <w:bottom w:val="none" w:sz="0" w:space="0" w:color="auto"/>
            <w:right w:val="none" w:sz="0" w:space="0" w:color="auto"/>
          </w:divBdr>
        </w:div>
      </w:divsChild>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49962348">
      <w:bodyDiv w:val="1"/>
      <w:marLeft w:val="0"/>
      <w:marRight w:val="0"/>
      <w:marTop w:val="0"/>
      <w:marBottom w:val="0"/>
      <w:divBdr>
        <w:top w:val="none" w:sz="0" w:space="0" w:color="auto"/>
        <w:left w:val="none" w:sz="0" w:space="0" w:color="auto"/>
        <w:bottom w:val="none" w:sz="0" w:space="0" w:color="auto"/>
        <w:right w:val="none" w:sz="0" w:space="0" w:color="auto"/>
      </w:divBdr>
      <w:divsChild>
        <w:div w:id="1709523421">
          <w:marLeft w:val="547"/>
          <w:marRight w:val="0"/>
          <w:marTop w:val="100"/>
          <w:marBottom w:val="0"/>
          <w:divBdr>
            <w:top w:val="none" w:sz="0" w:space="0" w:color="auto"/>
            <w:left w:val="none" w:sz="0" w:space="0" w:color="auto"/>
            <w:bottom w:val="none" w:sz="0" w:space="0" w:color="auto"/>
            <w:right w:val="none" w:sz="0" w:space="0" w:color="auto"/>
          </w:divBdr>
        </w:div>
        <w:div w:id="1394616397">
          <w:marLeft w:val="547"/>
          <w:marRight w:val="0"/>
          <w:marTop w:val="100"/>
          <w:marBottom w:val="0"/>
          <w:divBdr>
            <w:top w:val="none" w:sz="0" w:space="0" w:color="auto"/>
            <w:left w:val="none" w:sz="0" w:space="0" w:color="auto"/>
            <w:bottom w:val="none" w:sz="0" w:space="0" w:color="auto"/>
            <w:right w:val="none" w:sz="0" w:space="0" w:color="auto"/>
          </w:divBdr>
        </w:div>
        <w:div w:id="2047749555">
          <w:marLeft w:val="547"/>
          <w:marRight w:val="0"/>
          <w:marTop w:val="100"/>
          <w:marBottom w:val="0"/>
          <w:divBdr>
            <w:top w:val="none" w:sz="0" w:space="0" w:color="auto"/>
            <w:left w:val="none" w:sz="0" w:space="0" w:color="auto"/>
            <w:bottom w:val="none" w:sz="0" w:space="0" w:color="auto"/>
            <w:right w:val="none" w:sz="0" w:space="0" w:color="auto"/>
          </w:divBdr>
        </w:div>
        <w:div w:id="489640445">
          <w:marLeft w:val="547"/>
          <w:marRight w:val="0"/>
          <w:marTop w:val="100"/>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04109653">
      <w:bodyDiv w:val="1"/>
      <w:marLeft w:val="0"/>
      <w:marRight w:val="0"/>
      <w:marTop w:val="0"/>
      <w:marBottom w:val="0"/>
      <w:divBdr>
        <w:top w:val="none" w:sz="0" w:space="0" w:color="auto"/>
        <w:left w:val="none" w:sz="0" w:space="0" w:color="auto"/>
        <w:bottom w:val="none" w:sz="0" w:space="0" w:color="auto"/>
        <w:right w:val="none" w:sz="0" w:space="0" w:color="auto"/>
      </w:divBdr>
    </w:div>
    <w:div w:id="2118019000">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769</Words>
  <Characters>4384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2023-02-14T16:09:00Z</dcterms:created>
  <dcterms:modified xsi:type="dcterms:W3CDTF">2023-09-28T09:57:00Z</dcterms:modified>
</cp:coreProperties>
</file>