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2EEA5C2E" w:rsidR="00F063D8" w:rsidRPr="00692DEB" w:rsidRDefault="00F063D8" w:rsidP="00F063D8">
      <w:pPr>
        <w:pStyle w:val="CRCoverPage"/>
        <w:outlineLvl w:val="0"/>
        <w:rPr>
          <w:b/>
          <w:sz w:val="24"/>
          <w:lang w:val="en-US"/>
        </w:rPr>
      </w:pPr>
      <w:r w:rsidRPr="00692DEB">
        <w:rPr>
          <w:rFonts w:cs="Arial"/>
          <w:b/>
          <w:sz w:val="24"/>
          <w:lang w:val="en-US"/>
        </w:rPr>
        <w:t xml:space="preserve">3GPP TSG RAN WG2 Meeting </w:t>
      </w:r>
      <w:r w:rsidR="00722F29" w:rsidRPr="00722F29">
        <w:rPr>
          <w:rFonts w:cs="Arial"/>
          <w:b/>
          <w:sz w:val="24"/>
          <w:lang w:val="en-US"/>
        </w:rPr>
        <w:t>#12</w:t>
      </w:r>
      <w:r w:rsidR="00A52737">
        <w:rPr>
          <w:rFonts w:cs="Arial"/>
          <w:b/>
          <w:sz w:val="24"/>
          <w:lang w:val="en-US"/>
        </w:rPr>
        <w:t>2</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E14881">
        <w:rPr>
          <w:rFonts w:cs="Arial"/>
          <w:b/>
          <w:sz w:val="24"/>
          <w:lang w:val="en-US"/>
        </w:rPr>
        <w:t>R</w:t>
      </w:r>
      <w:r w:rsidR="00E14881" w:rsidRPr="00E14881">
        <w:rPr>
          <w:rFonts w:cs="Arial"/>
          <w:b/>
          <w:sz w:val="24"/>
          <w:lang w:val="en-US"/>
        </w:rPr>
        <w:t>2-2308592</w:t>
      </w:r>
      <w:r w:rsidRPr="00DC168D">
        <w:rPr>
          <w:rFonts w:cs="Arial"/>
          <w:b/>
          <w:sz w:val="24"/>
          <w:lang w:val="en-US"/>
        </w:rPr>
        <w:br/>
      </w:r>
      <w:bookmarkStart w:id="0" w:name="_Hlk142491575"/>
      <w:r w:rsidR="002A6D51" w:rsidRPr="00636554">
        <w:rPr>
          <w:rFonts w:cs="Arial"/>
          <w:b/>
          <w:sz w:val="24"/>
          <w:lang w:val="en-US"/>
        </w:rPr>
        <w:t>Toulouse, France, August 21-25, 2023</w:t>
      </w:r>
      <w:bookmarkEnd w:id="0"/>
    </w:p>
    <w:p w14:paraId="5BF18584" w14:textId="77777777" w:rsidR="00280751" w:rsidRPr="00692DEB" w:rsidRDefault="00280751" w:rsidP="00280751">
      <w:pPr>
        <w:pStyle w:val="CRCoverPage"/>
        <w:outlineLvl w:val="0"/>
        <w:rPr>
          <w:b/>
          <w:sz w:val="24"/>
          <w:lang w:val="en-US"/>
        </w:rPr>
      </w:pPr>
    </w:p>
    <w:p w14:paraId="5B9BF21E" w14:textId="1AA1A83F"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22F29" w:rsidRPr="00722F29">
        <w:rPr>
          <w:rFonts w:ascii="Arial" w:eastAsia="MS Mincho" w:hAnsi="Arial" w:cs="Arial"/>
          <w:b/>
          <w:bCs/>
          <w:color w:val="auto"/>
          <w:sz w:val="24"/>
          <w:lang w:eastAsia="en-US"/>
        </w:rPr>
        <w:t>7.15.</w:t>
      </w:r>
      <w:r w:rsidR="004E73D5">
        <w:rPr>
          <w:rFonts w:ascii="Arial" w:eastAsia="MS Mincho" w:hAnsi="Arial" w:cs="Arial"/>
          <w:b/>
          <w:bCs/>
          <w:color w:val="auto"/>
          <w:sz w:val="24"/>
          <w:lang w:eastAsia="en-US"/>
        </w:rPr>
        <w:t>6</w:t>
      </w:r>
      <w:r w:rsidR="009F6FF5" w:rsidRPr="009F6FF5">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740A35EE" w14:textId="2C557DAA"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E522A9" w:rsidRPr="00E522A9">
        <w:rPr>
          <w:rFonts w:ascii="Arial" w:hAnsi="Arial" w:cs="Arial"/>
          <w:b/>
          <w:bCs/>
          <w:sz w:val="24"/>
          <w:szCs w:val="24"/>
          <w:lang w:eastAsia="en-US"/>
        </w:rPr>
        <w:t>SL</w:t>
      </w:r>
      <w:r w:rsidR="004E73D5">
        <w:rPr>
          <w:rFonts w:ascii="Arial" w:hAnsi="Arial" w:cs="Arial"/>
          <w:b/>
          <w:bCs/>
          <w:sz w:val="24"/>
          <w:szCs w:val="24"/>
          <w:lang w:eastAsia="en-US"/>
        </w:rPr>
        <w:t xml:space="preserve"> CA</w:t>
      </w:r>
      <w:r w:rsidR="00E522A9" w:rsidRPr="00E522A9">
        <w:rPr>
          <w:rFonts w:ascii="Arial" w:hAnsi="Arial" w:cs="Arial"/>
          <w:b/>
          <w:bCs/>
          <w:sz w:val="24"/>
          <w:szCs w:val="24"/>
          <w:lang w:eastAsia="en-US"/>
        </w:rPr>
        <w:t xml:space="preserve"> </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5192C419" w14:textId="353676B3" w:rsidR="004456F4" w:rsidRDefault="004456F4" w:rsidP="004456F4">
      <w:pPr>
        <w:rPr>
          <w:color w:val="auto"/>
          <w:sz w:val="22"/>
          <w:szCs w:val="22"/>
        </w:rPr>
      </w:pPr>
      <w:r w:rsidRPr="00613452">
        <w:rPr>
          <w:color w:val="auto"/>
          <w:sz w:val="22"/>
          <w:szCs w:val="22"/>
        </w:rPr>
        <w:t xml:space="preserve">In this contribution, we discuss </w:t>
      </w:r>
      <w:r w:rsidR="00672981">
        <w:rPr>
          <w:color w:val="auto"/>
          <w:sz w:val="22"/>
          <w:szCs w:val="22"/>
        </w:rPr>
        <w:t xml:space="preserve">design consideration for </w:t>
      </w:r>
      <w:r>
        <w:rPr>
          <w:color w:val="auto"/>
          <w:sz w:val="22"/>
          <w:szCs w:val="22"/>
        </w:rPr>
        <w:t xml:space="preserve">sidelink </w:t>
      </w:r>
      <w:r w:rsidR="00700406">
        <w:rPr>
          <w:color w:val="auto"/>
          <w:sz w:val="22"/>
          <w:szCs w:val="22"/>
        </w:rPr>
        <w:t>carrier aggregation (</w:t>
      </w:r>
      <w:r w:rsidR="00672981">
        <w:rPr>
          <w:color w:val="auto"/>
          <w:sz w:val="22"/>
          <w:szCs w:val="22"/>
        </w:rPr>
        <w:t xml:space="preserve">SL </w:t>
      </w:r>
      <w:r w:rsidR="00700406">
        <w:rPr>
          <w:color w:val="auto"/>
          <w:sz w:val="22"/>
          <w:szCs w:val="22"/>
        </w:rPr>
        <w:t>CA)</w:t>
      </w:r>
      <w:r w:rsidRPr="00613452">
        <w:rPr>
          <w:color w:val="auto"/>
          <w:sz w:val="22"/>
          <w:szCs w:val="22"/>
        </w:rPr>
        <w:t>.</w:t>
      </w:r>
    </w:p>
    <w:p w14:paraId="577AC138" w14:textId="77777777" w:rsidR="004456F4" w:rsidRDefault="004456F4" w:rsidP="004456F4">
      <w:pPr>
        <w:pStyle w:val="Heading1"/>
        <w:rPr>
          <w:b/>
          <w:lang w:val="en-US"/>
        </w:rPr>
      </w:pPr>
      <w:r w:rsidRPr="000E215F">
        <w:rPr>
          <w:lang w:val="en-US"/>
        </w:rPr>
        <w:t xml:space="preserve">Discussion </w:t>
      </w:r>
      <w:r w:rsidRPr="000E215F">
        <w:rPr>
          <w:b/>
          <w:lang w:val="en-US"/>
        </w:rPr>
        <w:t xml:space="preserve"> </w:t>
      </w:r>
    </w:p>
    <w:p w14:paraId="0D6643EB" w14:textId="3821DA1B" w:rsidR="000E5599" w:rsidRDefault="000E5599" w:rsidP="000E5599">
      <w:pPr>
        <w:pStyle w:val="Heading2"/>
      </w:pPr>
      <w:r>
        <w:t xml:space="preserve">Sidelink carrier </w:t>
      </w:r>
      <w:r w:rsidR="005F30BB">
        <w:t>mapping in NR V2X</w:t>
      </w:r>
    </w:p>
    <w:p w14:paraId="1F864FD7" w14:textId="36080556" w:rsidR="005F30BB" w:rsidRPr="000824F5" w:rsidRDefault="005F30BB" w:rsidP="000824F5">
      <w:pPr>
        <w:spacing w:after="120"/>
        <w:rPr>
          <w:color w:val="auto"/>
          <w:sz w:val="22"/>
          <w:szCs w:val="22"/>
        </w:rPr>
      </w:pPr>
      <w:r w:rsidRPr="000824F5">
        <w:rPr>
          <w:sz w:val="22"/>
          <w:szCs w:val="22"/>
        </w:rPr>
        <w:t xml:space="preserve">Sidelink carrier mapping was discussed </w:t>
      </w:r>
      <w:r w:rsidRPr="000824F5">
        <w:rPr>
          <w:color w:val="auto"/>
          <w:sz w:val="22"/>
          <w:szCs w:val="22"/>
        </w:rPr>
        <w:t>at RAN2 #121-bis e-meeting</w:t>
      </w:r>
      <w:r w:rsidR="00A7317C" w:rsidRPr="000824F5">
        <w:rPr>
          <w:color w:val="auto"/>
          <w:sz w:val="22"/>
          <w:szCs w:val="22"/>
        </w:rPr>
        <w:t>,</w:t>
      </w:r>
      <w:r w:rsidRPr="000824F5">
        <w:rPr>
          <w:color w:val="auto"/>
          <w:sz w:val="22"/>
          <w:szCs w:val="22"/>
        </w:rPr>
        <w:t xml:space="preserve"> and the following agreement was made [1]. </w:t>
      </w:r>
    </w:p>
    <w:p w14:paraId="7EB19EA7" w14:textId="77777777" w:rsidR="005F30BB" w:rsidRPr="000824F5" w:rsidRDefault="005F30BB" w:rsidP="000824F5">
      <w:pPr>
        <w:pStyle w:val="Doc-text2"/>
        <w:pBdr>
          <w:top w:val="single" w:sz="4" w:space="1" w:color="auto"/>
          <w:left w:val="single" w:sz="4" w:space="4" w:color="auto"/>
          <w:bottom w:val="single" w:sz="4" w:space="1" w:color="auto"/>
          <w:right w:val="single" w:sz="4" w:space="0" w:color="auto"/>
        </w:pBdr>
        <w:tabs>
          <w:tab w:val="clear" w:pos="1622"/>
        </w:tabs>
        <w:spacing w:after="120"/>
        <w:ind w:left="1526" w:right="274" w:hanging="1080"/>
        <w:rPr>
          <w:rFonts w:ascii="Times New Roman" w:eastAsia="SimSun" w:hAnsi="Times New Roman"/>
          <w:b/>
          <w:bCs/>
          <w:i/>
          <w:iCs/>
          <w:sz w:val="22"/>
          <w:szCs w:val="22"/>
          <w:lang w:eastAsia="zh-CN"/>
        </w:rPr>
      </w:pPr>
      <w:r w:rsidRPr="000824F5">
        <w:rPr>
          <w:rFonts w:ascii="Times New Roman" w:eastAsia="SimSun" w:hAnsi="Times New Roman"/>
          <w:b/>
          <w:bCs/>
          <w:i/>
          <w:iCs/>
          <w:sz w:val="22"/>
          <w:szCs w:val="22"/>
          <w:highlight w:val="green"/>
          <w:lang w:eastAsia="zh-CN"/>
        </w:rPr>
        <w:t>Agreement</w:t>
      </w:r>
      <w:r w:rsidRPr="000824F5">
        <w:rPr>
          <w:rFonts w:ascii="Times New Roman" w:eastAsia="SimSun" w:hAnsi="Times New Roman"/>
          <w:b/>
          <w:bCs/>
          <w:i/>
          <w:iCs/>
          <w:sz w:val="22"/>
          <w:szCs w:val="22"/>
          <w:lang w:eastAsia="zh-CN"/>
        </w:rPr>
        <w:t>:</w:t>
      </w:r>
    </w:p>
    <w:p w14:paraId="7F206BAB" w14:textId="77777777" w:rsidR="005F30BB" w:rsidRPr="000824F5" w:rsidRDefault="005F30BB" w:rsidP="000824F5">
      <w:pPr>
        <w:pStyle w:val="Doc-text2"/>
        <w:pBdr>
          <w:top w:val="single" w:sz="4" w:space="1" w:color="auto"/>
          <w:left w:val="single" w:sz="4" w:space="4" w:color="auto"/>
          <w:bottom w:val="single" w:sz="4" w:space="1" w:color="auto"/>
          <w:right w:val="single" w:sz="4" w:space="0" w:color="auto"/>
        </w:pBdr>
        <w:tabs>
          <w:tab w:val="clear" w:pos="1622"/>
        </w:tabs>
        <w:spacing w:after="120"/>
        <w:ind w:left="1526" w:right="274" w:hanging="1080"/>
        <w:rPr>
          <w:rFonts w:ascii="Times New Roman" w:eastAsia="SimSun" w:hAnsi="Times New Roman"/>
          <w:i/>
          <w:iCs/>
          <w:color w:val="000000" w:themeColor="text1"/>
          <w:sz w:val="22"/>
          <w:szCs w:val="22"/>
          <w:lang w:eastAsia="zh-CN"/>
        </w:rPr>
      </w:pPr>
      <w:r w:rsidRPr="000824F5">
        <w:rPr>
          <w:rFonts w:ascii="Times New Roman" w:eastAsia="SimSun" w:hAnsi="Times New Roman"/>
          <w:i/>
          <w:iCs/>
          <w:sz w:val="22"/>
          <w:szCs w:val="22"/>
          <w:lang w:eastAsia="zh-CN"/>
        </w:rPr>
        <w:t>Proposal 3:</w:t>
      </w:r>
      <w:r w:rsidRPr="000824F5">
        <w:rPr>
          <w:rFonts w:ascii="Times New Roman" w:eastAsia="SimSun" w:hAnsi="Times New Roman"/>
          <w:i/>
          <w:iCs/>
          <w:sz w:val="22"/>
          <w:szCs w:val="22"/>
          <w:lang w:eastAsia="zh-CN"/>
        </w:rPr>
        <w:tab/>
        <w:t xml:space="preserve">For groupcast/broadcast, as </w:t>
      </w:r>
      <w:r w:rsidRPr="000824F5">
        <w:rPr>
          <w:rFonts w:ascii="Times New Roman" w:eastAsia="SimSun" w:hAnsi="Times New Roman"/>
          <w:i/>
          <w:iCs/>
          <w:color w:val="000000" w:themeColor="text1"/>
          <w:sz w:val="22"/>
          <w:szCs w:val="22"/>
          <w:lang w:eastAsia="zh-CN"/>
        </w:rPr>
        <w:t xml:space="preserve">in LTE SL CA, the carrier(s) that can be used for transmitting data are configured by V2X layer for the L2 destination. FFS on backwards compatibility issue. </w:t>
      </w:r>
    </w:p>
    <w:p w14:paraId="213F96BB" w14:textId="77777777" w:rsidR="005F30BB" w:rsidRPr="000824F5" w:rsidRDefault="005F30BB" w:rsidP="000824F5">
      <w:pPr>
        <w:spacing w:after="120"/>
        <w:rPr>
          <w:sz w:val="22"/>
          <w:szCs w:val="22"/>
          <w:lang w:val="en-GB"/>
        </w:rPr>
      </w:pPr>
    </w:p>
    <w:p w14:paraId="428F3AE5" w14:textId="70FD0725" w:rsidR="008B2DF0" w:rsidRDefault="0087112A" w:rsidP="000824F5">
      <w:pPr>
        <w:spacing w:after="120"/>
        <w:rPr>
          <w:sz w:val="22"/>
          <w:szCs w:val="22"/>
        </w:rPr>
      </w:pPr>
      <w:r w:rsidRPr="000824F5">
        <w:rPr>
          <w:sz w:val="22"/>
          <w:szCs w:val="22"/>
          <w:lang w:val="en-GB"/>
        </w:rPr>
        <w:t xml:space="preserve">As specified in TS 23.287 </w:t>
      </w:r>
      <w:r w:rsidR="00A7317C" w:rsidRPr="000824F5">
        <w:rPr>
          <w:sz w:val="22"/>
          <w:szCs w:val="22"/>
          <w:lang w:val="en-GB"/>
        </w:rPr>
        <w:t xml:space="preserve">[2] </w:t>
      </w:r>
      <w:r w:rsidRPr="000824F5">
        <w:rPr>
          <w:sz w:val="22"/>
          <w:szCs w:val="22"/>
          <w:lang w:val="en-GB"/>
        </w:rPr>
        <w:t>(shown below)</w:t>
      </w:r>
      <w:r w:rsidR="00BC10E1" w:rsidRPr="000824F5">
        <w:rPr>
          <w:sz w:val="22"/>
          <w:szCs w:val="22"/>
        </w:rPr>
        <w:t xml:space="preserve">, NR V2X service layer maps </w:t>
      </w:r>
      <w:r w:rsidRPr="000824F5">
        <w:rPr>
          <w:sz w:val="22"/>
          <w:szCs w:val="22"/>
        </w:rPr>
        <w:t xml:space="preserve">a </w:t>
      </w:r>
      <w:r w:rsidRPr="000824F5">
        <w:rPr>
          <w:b/>
          <w:bCs/>
          <w:sz w:val="22"/>
          <w:szCs w:val="22"/>
        </w:rPr>
        <w:t>service type</w:t>
      </w:r>
      <w:r w:rsidRPr="000824F5">
        <w:rPr>
          <w:sz w:val="22"/>
          <w:szCs w:val="22"/>
        </w:rPr>
        <w:t xml:space="preserve"> to </w:t>
      </w:r>
      <w:r w:rsidRPr="000824F5">
        <w:rPr>
          <w:b/>
          <w:bCs/>
          <w:sz w:val="22"/>
          <w:szCs w:val="22"/>
        </w:rPr>
        <w:t>V2X frequencies with Geographical Area(s)</w:t>
      </w:r>
      <w:r w:rsidRPr="000824F5">
        <w:rPr>
          <w:sz w:val="22"/>
          <w:szCs w:val="22"/>
        </w:rPr>
        <w:t xml:space="preserve">, where the </w:t>
      </w:r>
      <w:r w:rsidRPr="000824F5">
        <w:rPr>
          <w:b/>
          <w:bCs/>
          <w:sz w:val="22"/>
          <w:szCs w:val="22"/>
        </w:rPr>
        <w:t>frequencies</w:t>
      </w:r>
      <w:r w:rsidRPr="000824F5">
        <w:rPr>
          <w:sz w:val="22"/>
          <w:szCs w:val="22"/>
        </w:rPr>
        <w:t xml:space="preserve"> are </w:t>
      </w:r>
      <w:r w:rsidRPr="000824F5">
        <w:rPr>
          <w:b/>
          <w:bCs/>
          <w:sz w:val="22"/>
          <w:szCs w:val="22"/>
        </w:rPr>
        <w:t>frequency bands</w:t>
      </w:r>
      <w:r w:rsidRPr="000824F5">
        <w:rPr>
          <w:sz w:val="22"/>
          <w:szCs w:val="22"/>
        </w:rPr>
        <w:t xml:space="preserve"> (</w:t>
      </w:r>
      <w:r w:rsidRPr="000824F5">
        <w:rPr>
          <w:b/>
          <w:bCs/>
          <w:sz w:val="22"/>
          <w:szCs w:val="22"/>
        </w:rPr>
        <w:t>not carriers</w:t>
      </w:r>
      <w:r w:rsidR="00E73459" w:rsidRPr="000824F5">
        <w:rPr>
          <w:sz w:val="22"/>
          <w:szCs w:val="22"/>
        </w:rPr>
        <w:t xml:space="preserve"> or </w:t>
      </w:r>
      <w:r w:rsidR="00E73459" w:rsidRPr="000824F5">
        <w:rPr>
          <w:b/>
          <w:bCs/>
          <w:sz w:val="22"/>
          <w:szCs w:val="22"/>
        </w:rPr>
        <w:t>carrier components</w:t>
      </w:r>
      <w:r w:rsidRPr="000824F5">
        <w:rPr>
          <w:sz w:val="22"/>
          <w:szCs w:val="22"/>
        </w:rPr>
        <w:t xml:space="preserve">) </w:t>
      </w:r>
      <w:r w:rsidRPr="000824F5">
        <w:rPr>
          <w:b/>
          <w:bCs/>
          <w:sz w:val="22"/>
          <w:szCs w:val="22"/>
        </w:rPr>
        <w:t>in a Geographical Area</w:t>
      </w:r>
      <w:r w:rsidRPr="000824F5">
        <w:rPr>
          <w:sz w:val="22"/>
          <w:szCs w:val="22"/>
        </w:rPr>
        <w:t xml:space="preserve">. The </w:t>
      </w:r>
      <w:r w:rsidRPr="000824F5">
        <w:rPr>
          <w:b/>
          <w:bCs/>
          <w:sz w:val="22"/>
          <w:szCs w:val="22"/>
        </w:rPr>
        <w:t>frequency resources</w:t>
      </w:r>
      <w:r w:rsidRPr="000824F5">
        <w:rPr>
          <w:sz w:val="22"/>
          <w:szCs w:val="22"/>
        </w:rPr>
        <w:t xml:space="preserve"> (i.e.</w:t>
      </w:r>
      <w:r w:rsidR="00E73459" w:rsidRPr="000824F5">
        <w:rPr>
          <w:sz w:val="22"/>
          <w:szCs w:val="22"/>
        </w:rPr>
        <w:t>,</w:t>
      </w:r>
      <w:r w:rsidRPr="000824F5">
        <w:rPr>
          <w:sz w:val="22"/>
          <w:szCs w:val="22"/>
        </w:rPr>
        <w:t xml:space="preserve"> </w:t>
      </w:r>
      <w:r w:rsidR="00E73459" w:rsidRPr="000824F5">
        <w:rPr>
          <w:b/>
          <w:bCs/>
          <w:sz w:val="22"/>
          <w:szCs w:val="22"/>
        </w:rPr>
        <w:t>carriers</w:t>
      </w:r>
      <w:r w:rsidR="00E73459" w:rsidRPr="000824F5">
        <w:rPr>
          <w:sz w:val="22"/>
          <w:szCs w:val="22"/>
        </w:rPr>
        <w:t xml:space="preserve"> or </w:t>
      </w:r>
      <w:r w:rsidRPr="000824F5">
        <w:rPr>
          <w:b/>
          <w:bCs/>
          <w:sz w:val="22"/>
          <w:szCs w:val="22"/>
        </w:rPr>
        <w:t>carrier components</w:t>
      </w:r>
      <w:r w:rsidRPr="000824F5">
        <w:rPr>
          <w:sz w:val="22"/>
          <w:szCs w:val="22"/>
        </w:rPr>
        <w:t>) are based on network’s configuration or pre</w:t>
      </w:r>
      <w:r w:rsidR="00DB1180" w:rsidRPr="000824F5">
        <w:rPr>
          <w:sz w:val="22"/>
          <w:szCs w:val="22"/>
        </w:rPr>
        <w:t>-</w:t>
      </w:r>
      <w:r w:rsidRPr="000824F5">
        <w:rPr>
          <w:sz w:val="22"/>
          <w:szCs w:val="22"/>
        </w:rPr>
        <w:t>configuration.</w:t>
      </w:r>
      <w:r w:rsidR="00DB1180" w:rsidRPr="000824F5">
        <w:rPr>
          <w:sz w:val="22"/>
          <w:szCs w:val="22"/>
        </w:rPr>
        <w:t xml:space="preserve"> Therefore, NR V2X service layer does not map a service type to carriers or carrier components (e.g., the NR V2X layer does not know the channelization which defines frequency carriers or carrier components).</w:t>
      </w:r>
      <w:r w:rsidR="00803896" w:rsidRPr="000824F5">
        <w:rPr>
          <w:sz w:val="22"/>
          <w:szCs w:val="22"/>
        </w:rPr>
        <w:t xml:space="preserve"> </w:t>
      </w:r>
    </w:p>
    <w:p w14:paraId="5B39B64D" w14:textId="77777777" w:rsidR="000824F5" w:rsidRPr="000824F5" w:rsidRDefault="000824F5" w:rsidP="000824F5">
      <w:pPr>
        <w:spacing w:after="120"/>
        <w:rPr>
          <w:sz w:val="22"/>
          <w:szCs w:val="22"/>
        </w:rPr>
      </w:pPr>
    </w:p>
    <w:p w14:paraId="7EC78436" w14:textId="5F393393" w:rsidR="006A241D" w:rsidRPr="00982796" w:rsidRDefault="006A241D" w:rsidP="000824F5">
      <w:pPr>
        <w:pStyle w:val="Heading4"/>
        <w:numPr>
          <w:ilvl w:val="0"/>
          <w:numId w:val="0"/>
        </w:numPr>
        <w:pBdr>
          <w:top w:val="single" w:sz="4" w:space="1" w:color="auto"/>
          <w:left w:val="single" w:sz="4" w:space="4" w:color="auto"/>
          <w:bottom w:val="single" w:sz="4" w:space="1" w:color="auto"/>
          <w:right w:val="single" w:sz="4" w:space="4" w:color="auto"/>
        </w:pBdr>
        <w:spacing w:before="0" w:after="120"/>
        <w:ind w:left="900" w:right="458" w:hanging="360"/>
        <w:rPr>
          <w:b/>
          <w:bCs/>
          <w:sz w:val="22"/>
          <w:szCs w:val="22"/>
          <w:lang w:eastAsia="zh-CN"/>
        </w:rPr>
      </w:pPr>
      <w:bookmarkStart w:id="1" w:name="_Toc122418281"/>
      <w:r w:rsidRPr="00982796">
        <w:rPr>
          <w:b/>
          <w:bCs/>
          <w:sz w:val="22"/>
          <w:szCs w:val="22"/>
          <w:lang w:eastAsia="zh-CN"/>
        </w:rPr>
        <w:t>5.1.2.1</w:t>
      </w:r>
      <w:r w:rsidRPr="00982796">
        <w:rPr>
          <w:b/>
          <w:bCs/>
          <w:sz w:val="22"/>
          <w:szCs w:val="22"/>
          <w:lang w:eastAsia="zh-CN"/>
        </w:rPr>
        <w:tab/>
        <w:t>Policy/Parameter provisioning</w:t>
      </w:r>
      <w:bookmarkEnd w:id="1"/>
    </w:p>
    <w:p w14:paraId="4727F890" w14:textId="77777777" w:rsidR="006A241D" w:rsidRPr="000824F5" w:rsidRDefault="006A241D" w:rsidP="000824F5">
      <w:pPr>
        <w:pBdr>
          <w:top w:val="single" w:sz="4" w:space="1" w:color="auto"/>
          <w:left w:val="single" w:sz="4" w:space="4" w:color="auto"/>
          <w:bottom w:val="single" w:sz="4" w:space="1" w:color="auto"/>
          <w:right w:val="single" w:sz="4" w:space="4" w:color="auto"/>
        </w:pBdr>
        <w:spacing w:after="120"/>
        <w:ind w:left="900" w:right="458" w:hanging="360"/>
        <w:rPr>
          <w:i/>
          <w:iCs/>
          <w:sz w:val="22"/>
          <w:szCs w:val="22"/>
          <w:lang w:eastAsia="ko-KR"/>
        </w:rPr>
      </w:pPr>
      <w:r w:rsidRPr="000824F5">
        <w:rPr>
          <w:i/>
          <w:iCs/>
          <w:sz w:val="22"/>
          <w:szCs w:val="22"/>
          <w:lang w:eastAsia="x-none"/>
        </w:rPr>
        <w:t xml:space="preserve">The following sets of </w:t>
      </w:r>
      <w:r w:rsidRPr="000824F5">
        <w:rPr>
          <w:i/>
          <w:iCs/>
          <w:sz w:val="22"/>
          <w:szCs w:val="22"/>
        </w:rPr>
        <w:t xml:space="preserve">information for </w:t>
      </w:r>
      <w:r w:rsidRPr="000824F5">
        <w:rPr>
          <w:i/>
          <w:iCs/>
          <w:sz w:val="22"/>
          <w:szCs w:val="22"/>
          <w:lang w:eastAsia="zh-CN"/>
        </w:rPr>
        <w:t>V2X</w:t>
      </w:r>
      <w:r w:rsidRPr="000824F5">
        <w:rPr>
          <w:i/>
          <w:iCs/>
          <w:sz w:val="22"/>
          <w:szCs w:val="22"/>
        </w:rPr>
        <w:t xml:space="preserve"> communications over PC5</w:t>
      </w:r>
      <w:r w:rsidRPr="000824F5">
        <w:rPr>
          <w:i/>
          <w:iCs/>
          <w:sz w:val="22"/>
          <w:szCs w:val="22"/>
          <w:lang w:eastAsia="ko-KR"/>
        </w:rPr>
        <w:t xml:space="preserve"> reference point is provisioned to the UE:</w:t>
      </w:r>
    </w:p>
    <w:p w14:paraId="5428CDF3" w14:textId="77777777" w:rsidR="006A241D" w:rsidRPr="000824F5" w:rsidRDefault="006A241D" w:rsidP="000824F5">
      <w:pPr>
        <w:pBdr>
          <w:top w:val="single" w:sz="4" w:space="1" w:color="auto"/>
          <w:left w:val="single" w:sz="4" w:space="4" w:color="auto"/>
          <w:bottom w:val="single" w:sz="4" w:space="1" w:color="auto"/>
          <w:right w:val="single" w:sz="4" w:space="4" w:color="auto"/>
        </w:pBdr>
        <w:spacing w:after="120"/>
        <w:ind w:left="900" w:right="458" w:hanging="360"/>
        <w:rPr>
          <w:i/>
          <w:iCs/>
          <w:sz w:val="22"/>
          <w:szCs w:val="22"/>
          <w:lang w:eastAsia="ko-KR"/>
        </w:rPr>
      </w:pPr>
      <w:r w:rsidRPr="000824F5">
        <w:rPr>
          <w:i/>
          <w:iCs/>
          <w:sz w:val="22"/>
          <w:szCs w:val="22"/>
          <w:lang w:eastAsia="ko-KR"/>
        </w:rPr>
        <w:t>….</w:t>
      </w:r>
    </w:p>
    <w:p w14:paraId="696280E5" w14:textId="7F8840D8" w:rsidR="006A241D" w:rsidRPr="000824F5" w:rsidRDefault="006A241D" w:rsidP="000824F5">
      <w:pPr>
        <w:pBdr>
          <w:top w:val="single" w:sz="4" w:space="1" w:color="auto"/>
          <w:left w:val="single" w:sz="4" w:space="4" w:color="auto"/>
          <w:bottom w:val="single" w:sz="4" w:space="1" w:color="auto"/>
          <w:right w:val="single" w:sz="4" w:space="4" w:color="auto"/>
        </w:pBdr>
        <w:spacing w:after="120"/>
        <w:ind w:left="900" w:right="458" w:hanging="360"/>
        <w:rPr>
          <w:i/>
          <w:iCs/>
          <w:sz w:val="22"/>
          <w:szCs w:val="22"/>
        </w:rPr>
      </w:pPr>
      <w:r w:rsidRPr="000824F5">
        <w:rPr>
          <w:i/>
          <w:iCs/>
          <w:sz w:val="22"/>
          <w:szCs w:val="22"/>
        </w:rPr>
        <w:t xml:space="preserve">2) Radio parameters when the UE is </w:t>
      </w:r>
      <w:r w:rsidRPr="000824F5">
        <w:rPr>
          <w:i/>
          <w:iCs/>
          <w:sz w:val="22"/>
          <w:szCs w:val="22"/>
          <w:lang w:eastAsia="ko-KR"/>
        </w:rPr>
        <w:t>"</w:t>
      </w:r>
      <w:r w:rsidRPr="000824F5">
        <w:rPr>
          <w:i/>
          <w:iCs/>
          <w:sz w:val="22"/>
          <w:szCs w:val="22"/>
        </w:rPr>
        <w:t>not served by E-UTRA</w:t>
      </w:r>
      <w:r w:rsidRPr="000824F5">
        <w:rPr>
          <w:i/>
          <w:iCs/>
          <w:sz w:val="22"/>
          <w:szCs w:val="22"/>
          <w:lang w:eastAsia="ko-KR"/>
        </w:rPr>
        <w:t>"</w:t>
      </w:r>
      <w:r w:rsidRPr="000824F5">
        <w:rPr>
          <w:i/>
          <w:iCs/>
          <w:sz w:val="22"/>
          <w:szCs w:val="22"/>
        </w:rPr>
        <w:t xml:space="preserve"> and "not served by NR":</w:t>
      </w:r>
    </w:p>
    <w:p w14:paraId="4C3B6A59" w14:textId="186BC02B" w:rsidR="006A241D" w:rsidRPr="000824F5" w:rsidRDefault="006A241D" w:rsidP="000824F5">
      <w:pPr>
        <w:pBdr>
          <w:top w:val="single" w:sz="4" w:space="1" w:color="auto"/>
          <w:left w:val="single" w:sz="4" w:space="4" w:color="auto"/>
          <w:bottom w:val="single" w:sz="4" w:space="1" w:color="auto"/>
          <w:right w:val="single" w:sz="4" w:space="4" w:color="auto"/>
        </w:pBdr>
        <w:spacing w:after="120"/>
        <w:ind w:left="900" w:right="458" w:hanging="360"/>
        <w:rPr>
          <w:i/>
          <w:iCs/>
          <w:sz w:val="22"/>
          <w:szCs w:val="22"/>
        </w:rPr>
      </w:pPr>
      <w:r w:rsidRPr="000824F5">
        <w:rPr>
          <w:i/>
          <w:iCs/>
          <w:sz w:val="22"/>
          <w:szCs w:val="22"/>
        </w:rPr>
        <w:t>- Includes the radio parameters per PC5 RAT (</w:t>
      </w:r>
      <w:r w:rsidR="006E2502" w:rsidRPr="000824F5">
        <w:rPr>
          <w:i/>
          <w:iCs/>
          <w:sz w:val="22"/>
          <w:szCs w:val="22"/>
        </w:rPr>
        <w:t>i.e.,</w:t>
      </w:r>
      <w:r w:rsidRPr="000824F5">
        <w:rPr>
          <w:i/>
          <w:iCs/>
          <w:sz w:val="22"/>
          <w:szCs w:val="22"/>
        </w:rPr>
        <w:t xml:space="preserve"> LTE PC5, NR PC5) with Geographical Area(s) and an indication of whether they are "operator managed" or "non-operator managed". </w:t>
      </w:r>
      <w:r w:rsidRPr="000824F5">
        <w:rPr>
          <w:b/>
          <w:bCs/>
          <w:i/>
          <w:iCs/>
          <w:sz w:val="22"/>
          <w:szCs w:val="22"/>
        </w:rPr>
        <w:t>These radio parameters (e.g.,</w:t>
      </w:r>
      <w:r w:rsidRPr="000824F5">
        <w:rPr>
          <w:b/>
          <w:bCs/>
          <w:i/>
          <w:iCs/>
          <w:sz w:val="22"/>
          <w:szCs w:val="22"/>
          <w:highlight w:val="yellow"/>
        </w:rPr>
        <w:t xml:space="preserve"> frequency bands)</w:t>
      </w:r>
      <w:r w:rsidRPr="000824F5">
        <w:rPr>
          <w:i/>
          <w:iCs/>
          <w:sz w:val="22"/>
          <w:szCs w:val="22"/>
        </w:rPr>
        <w:t xml:space="preserve"> are defined in TS 36.331 [14] and TS 38.331 [15]. The UE uses the radio parameters to perform V2X communications over PC5 reference point when "not served by E-UTRA" and "not served by NR" only if the UE can reliably locate itself in the corresponding Geographical Area. Otherwise, the UE is not authori</w:t>
      </w:r>
      <w:r w:rsidRPr="000824F5">
        <w:rPr>
          <w:i/>
          <w:iCs/>
          <w:sz w:val="22"/>
          <w:szCs w:val="22"/>
          <w:lang w:eastAsia="ko-KR"/>
        </w:rPr>
        <w:t>z</w:t>
      </w:r>
      <w:r w:rsidRPr="000824F5">
        <w:rPr>
          <w:i/>
          <w:iCs/>
          <w:sz w:val="22"/>
          <w:szCs w:val="22"/>
        </w:rPr>
        <w:t>ed to transmit.</w:t>
      </w:r>
    </w:p>
    <w:p w14:paraId="00465B8E" w14:textId="71D29450" w:rsidR="006A241D" w:rsidRPr="000824F5" w:rsidRDefault="006A241D" w:rsidP="000824F5">
      <w:pPr>
        <w:pBdr>
          <w:top w:val="single" w:sz="4" w:space="1" w:color="auto"/>
          <w:left w:val="single" w:sz="4" w:space="4" w:color="auto"/>
          <w:bottom w:val="single" w:sz="4" w:space="1" w:color="auto"/>
          <w:right w:val="single" w:sz="4" w:space="4" w:color="auto"/>
        </w:pBdr>
        <w:spacing w:after="120"/>
        <w:ind w:left="900" w:right="458" w:hanging="360"/>
        <w:rPr>
          <w:b/>
          <w:bCs/>
          <w:i/>
          <w:iCs/>
          <w:sz w:val="22"/>
          <w:szCs w:val="22"/>
        </w:rPr>
      </w:pPr>
      <w:r w:rsidRPr="000824F5">
        <w:rPr>
          <w:i/>
          <w:iCs/>
          <w:sz w:val="22"/>
          <w:szCs w:val="22"/>
        </w:rPr>
        <w:lastRenderedPageBreak/>
        <w:t xml:space="preserve">NOTE 2: Whether a </w:t>
      </w:r>
      <w:r w:rsidRPr="000824F5">
        <w:rPr>
          <w:b/>
          <w:bCs/>
          <w:i/>
          <w:iCs/>
          <w:sz w:val="22"/>
          <w:szCs w:val="22"/>
          <w:highlight w:val="yellow"/>
        </w:rPr>
        <w:t>frequency band</w:t>
      </w:r>
      <w:r w:rsidRPr="000824F5">
        <w:rPr>
          <w:b/>
          <w:bCs/>
          <w:i/>
          <w:iCs/>
          <w:sz w:val="22"/>
          <w:szCs w:val="22"/>
        </w:rPr>
        <w:t xml:space="preserve"> is "operator managed" or "non-operator managed" </w:t>
      </w:r>
      <w:proofErr w:type="gramStart"/>
      <w:r w:rsidRPr="000824F5">
        <w:rPr>
          <w:b/>
          <w:bCs/>
          <w:i/>
          <w:iCs/>
          <w:sz w:val="22"/>
          <w:szCs w:val="22"/>
        </w:rPr>
        <w:t>in a given</w:t>
      </w:r>
      <w:proofErr w:type="gramEnd"/>
      <w:r w:rsidRPr="000824F5">
        <w:rPr>
          <w:b/>
          <w:bCs/>
          <w:i/>
          <w:iCs/>
          <w:sz w:val="22"/>
          <w:szCs w:val="22"/>
        </w:rPr>
        <w:t xml:space="preserve"> Geographical Area is defined by local regulations.</w:t>
      </w:r>
    </w:p>
    <w:p w14:paraId="7660192E" w14:textId="77777777" w:rsidR="003A4DCE" w:rsidRPr="000824F5" w:rsidRDefault="006A241D" w:rsidP="000824F5">
      <w:pPr>
        <w:pBdr>
          <w:top w:val="single" w:sz="4" w:space="1" w:color="auto"/>
          <w:left w:val="single" w:sz="4" w:space="4" w:color="auto"/>
          <w:bottom w:val="single" w:sz="4" w:space="1" w:color="auto"/>
          <w:right w:val="single" w:sz="4" w:space="4" w:color="auto"/>
        </w:pBdr>
        <w:spacing w:after="120"/>
        <w:ind w:left="900" w:right="458" w:hanging="360"/>
        <w:rPr>
          <w:i/>
          <w:iCs/>
          <w:sz w:val="22"/>
          <w:szCs w:val="22"/>
        </w:rPr>
      </w:pPr>
      <w:r w:rsidRPr="000824F5">
        <w:rPr>
          <w:i/>
          <w:iCs/>
          <w:sz w:val="22"/>
          <w:szCs w:val="22"/>
        </w:rPr>
        <w:t>…</w:t>
      </w:r>
    </w:p>
    <w:p w14:paraId="78C6E22F" w14:textId="77777777" w:rsidR="003A4DCE" w:rsidRPr="000824F5" w:rsidRDefault="003A4DCE" w:rsidP="000824F5">
      <w:pPr>
        <w:pBdr>
          <w:top w:val="single" w:sz="4" w:space="1" w:color="auto"/>
          <w:left w:val="single" w:sz="4" w:space="4" w:color="auto"/>
          <w:bottom w:val="single" w:sz="4" w:space="1" w:color="auto"/>
          <w:right w:val="single" w:sz="4" w:space="4" w:color="auto"/>
        </w:pBdr>
        <w:spacing w:after="120"/>
        <w:ind w:left="900" w:right="458" w:hanging="360"/>
        <w:rPr>
          <w:i/>
          <w:iCs/>
          <w:sz w:val="22"/>
          <w:szCs w:val="22"/>
        </w:rPr>
      </w:pPr>
      <w:r w:rsidRPr="000824F5">
        <w:rPr>
          <w:i/>
          <w:iCs/>
          <w:sz w:val="22"/>
          <w:szCs w:val="22"/>
        </w:rPr>
        <w:t>6)</w:t>
      </w:r>
      <w:r w:rsidRPr="000824F5">
        <w:rPr>
          <w:i/>
          <w:iCs/>
          <w:sz w:val="22"/>
          <w:szCs w:val="22"/>
        </w:rPr>
        <w:tab/>
        <w:t>Policy/parameters when NR PC5 is selected:</w:t>
      </w:r>
    </w:p>
    <w:p w14:paraId="47D4798F" w14:textId="02BFCB27" w:rsidR="003A4DCE" w:rsidRPr="000824F5" w:rsidRDefault="003A4DCE" w:rsidP="000824F5">
      <w:pPr>
        <w:pBdr>
          <w:top w:val="single" w:sz="4" w:space="1" w:color="auto"/>
          <w:left w:val="single" w:sz="4" w:space="4" w:color="auto"/>
          <w:bottom w:val="single" w:sz="4" w:space="1" w:color="auto"/>
          <w:right w:val="single" w:sz="4" w:space="4" w:color="auto"/>
        </w:pBdr>
        <w:spacing w:after="120"/>
        <w:ind w:left="900" w:right="458" w:hanging="360"/>
        <w:rPr>
          <w:i/>
          <w:iCs/>
          <w:sz w:val="22"/>
          <w:szCs w:val="22"/>
        </w:rPr>
      </w:pPr>
      <w:r w:rsidRPr="000824F5">
        <w:rPr>
          <w:i/>
          <w:iCs/>
          <w:sz w:val="22"/>
          <w:szCs w:val="22"/>
        </w:rPr>
        <w:t xml:space="preserve">   - The </w:t>
      </w:r>
      <w:r w:rsidRPr="000824F5">
        <w:rPr>
          <w:b/>
          <w:bCs/>
          <w:i/>
          <w:iCs/>
          <w:sz w:val="22"/>
          <w:szCs w:val="22"/>
        </w:rPr>
        <w:t xml:space="preserve">mapping of V2X service types to </w:t>
      </w:r>
      <w:r w:rsidRPr="000824F5">
        <w:rPr>
          <w:b/>
          <w:bCs/>
          <w:i/>
          <w:iCs/>
          <w:sz w:val="22"/>
          <w:szCs w:val="22"/>
          <w:highlight w:val="yellow"/>
        </w:rPr>
        <w:t>V2X frequencies</w:t>
      </w:r>
      <w:r w:rsidRPr="000824F5">
        <w:rPr>
          <w:b/>
          <w:bCs/>
          <w:i/>
          <w:iCs/>
          <w:sz w:val="22"/>
          <w:szCs w:val="22"/>
        </w:rPr>
        <w:t xml:space="preserve"> with Geographical Area(s).</w:t>
      </w:r>
    </w:p>
    <w:p w14:paraId="134D83E7" w14:textId="665708F1" w:rsidR="003A4DCE" w:rsidRPr="000824F5" w:rsidRDefault="003A4DCE" w:rsidP="000824F5">
      <w:pPr>
        <w:pBdr>
          <w:top w:val="single" w:sz="4" w:space="1" w:color="auto"/>
          <w:left w:val="single" w:sz="4" w:space="4" w:color="auto"/>
          <w:bottom w:val="single" w:sz="4" w:space="1" w:color="auto"/>
          <w:right w:val="single" w:sz="4" w:space="4" w:color="auto"/>
        </w:pBdr>
        <w:spacing w:after="120"/>
        <w:ind w:left="900" w:right="458" w:hanging="360"/>
        <w:rPr>
          <w:i/>
          <w:iCs/>
          <w:sz w:val="22"/>
          <w:szCs w:val="22"/>
        </w:rPr>
      </w:pPr>
      <w:r w:rsidRPr="000824F5">
        <w:rPr>
          <w:i/>
          <w:iCs/>
          <w:sz w:val="22"/>
          <w:szCs w:val="22"/>
        </w:rPr>
        <w:t xml:space="preserve">   - The mapping of V2X service types to the default mode of communication (</w:t>
      </w:r>
      <w:r w:rsidR="006E2502" w:rsidRPr="000824F5">
        <w:rPr>
          <w:i/>
          <w:iCs/>
          <w:sz w:val="22"/>
          <w:szCs w:val="22"/>
        </w:rPr>
        <w:t>i.e.,</w:t>
      </w:r>
      <w:r w:rsidRPr="000824F5">
        <w:rPr>
          <w:i/>
          <w:iCs/>
          <w:sz w:val="22"/>
          <w:szCs w:val="22"/>
        </w:rPr>
        <w:t xml:space="preserve"> broadcast mode, groupcast mode or unicast mode).</w:t>
      </w:r>
    </w:p>
    <w:p w14:paraId="6520189B" w14:textId="00E5E2C4" w:rsidR="003A4DCE" w:rsidRPr="000824F5" w:rsidRDefault="003A4DCE" w:rsidP="000824F5">
      <w:pPr>
        <w:pBdr>
          <w:top w:val="single" w:sz="4" w:space="1" w:color="auto"/>
          <w:left w:val="single" w:sz="4" w:space="4" w:color="auto"/>
          <w:bottom w:val="single" w:sz="4" w:space="1" w:color="auto"/>
          <w:right w:val="single" w:sz="4" w:space="4" w:color="auto"/>
        </w:pBdr>
        <w:spacing w:after="120"/>
        <w:ind w:left="900" w:right="458" w:hanging="360"/>
        <w:rPr>
          <w:i/>
          <w:iCs/>
          <w:sz w:val="22"/>
          <w:szCs w:val="22"/>
        </w:rPr>
      </w:pPr>
      <w:r w:rsidRPr="000824F5">
        <w:rPr>
          <w:i/>
          <w:iCs/>
          <w:sz w:val="22"/>
          <w:szCs w:val="22"/>
        </w:rPr>
        <w:t xml:space="preserve">   - The mapping of V2X service types to Destination Layer-2 ID(s) for broadcast.</w:t>
      </w:r>
    </w:p>
    <w:p w14:paraId="64A9C8C6" w14:textId="29C1E8A2" w:rsidR="003A4DCE" w:rsidRPr="000824F5" w:rsidRDefault="003A4DCE" w:rsidP="000824F5">
      <w:pPr>
        <w:pBdr>
          <w:top w:val="single" w:sz="4" w:space="1" w:color="auto"/>
          <w:left w:val="single" w:sz="4" w:space="4" w:color="auto"/>
          <w:bottom w:val="single" w:sz="4" w:space="1" w:color="auto"/>
          <w:right w:val="single" w:sz="4" w:space="4" w:color="auto"/>
        </w:pBdr>
        <w:spacing w:after="120"/>
        <w:ind w:left="900" w:right="458" w:hanging="360"/>
        <w:rPr>
          <w:i/>
          <w:iCs/>
          <w:sz w:val="22"/>
          <w:szCs w:val="22"/>
        </w:rPr>
      </w:pPr>
      <w:r w:rsidRPr="000824F5">
        <w:rPr>
          <w:i/>
          <w:iCs/>
          <w:sz w:val="22"/>
          <w:szCs w:val="22"/>
        </w:rPr>
        <w:t xml:space="preserve">   - The mapping of V2X service types to Destination Layer-2 ID(s) for groupcast mode communication.</w:t>
      </w:r>
    </w:p>
    <w:p w14:paraId="1FD0AD4E" w14:textId="78D2562C" w:rsidR="003A4DCE" w:rsidRPr="000824F5" w:rsidRDefault="003A4DCE" w:rsidP="000824F5">
      <w:pPr>
        <w:pBdr>
          <w:top w:val="single" w:sz="4" w:space="1" w:color="auto"/>
          <w:left w:val="single" w:sz="4" w:space="4" w:color="auto"/>
          <w:bottom w:val="single" w:sz="4" w:space="1" w:color="auto"/>
          <w:right w:val="single" w:sz="4" w:space="4" w:color="auto"/>
        </w:pBdr>
        <w:spacing w:after="120"/>
        <w:ind w:left="900" w:right="458" w:hanging="360"/>
        <w:rPr>
          <w:i/>
          <w:iCs/>
          <w:sz w:val="22"/>
          <w:szCs w:val="22"/>
        </w:rPr>
      </w:pPr>
      <w:r w:rsidRPr="000824F5">
        <w:rPr>
          <w:i/>
          <w:iCs/>
          <w:sz w:val="22"/>
          <w:szCs w:val="22"/>
        </w:rPr>
        <w:t xml:space="preserve">   - The mapping of V2X service types to default Destination Layer-2 ID(s) for initial signalling to establish unicast connection.</w:t>
      </w:r>
    </w:p>
    <w:p w14:paraId="20DAA3B8" w14:textId="1895830D" w:rsidR="006A241D" w:rsidRDefault="003A4DCE" w:rsidP="000824F5">
      <w:pPr>
        <w:pBdr>
          <w:top w:val="single" w:sz="4" w:space="1" w:color="auto"/>
          <w:left w:val="single" w:sz="4" w:space="4" w:color="auto"/>
          <w:bottom w:val="single" w:sz="4" w:space="1" w:color="auto"/>
          <w:right w:val="single" w:sz="4" w:space="4" w:color="auto"/>
        </w:pBdr>
        <w:spacing w:after="120"/>
        <w:ind w:left="900" w:right="458" w:hanging="360"/>
        <w:rPr>
          <w:b/>
          <w:bCs/>
          <w:i/>
          <w:iCs/>
          <w:sz w:val="22"/>
          <w:szCs w:val="22"/>
        </w:rPr>
      </w:pPr>
      <w:r w:rsidRPr="000824F5">
        <w:rPr>
          <w:b/>
          <w:bCs/>
          <w:i/>
          <w:iCs/>
          <w:sz w:val="22"/>
          <w:szCs w:val="22"/>
        </w:rPr>
        <w:t>…</w:t>
      </w:r>
    </w:p>
    <w:p w14:paraId="67375841" w14:textId="77777777" w:rsidR="000824F5" w:rsidRDefault="000824F5" w:rsidP="000824F5">
      <w:pPr>
        <w:pBdr>
          <w:top w:val="single" w:sz="4" w:space="1" w:color="auto"/>
          <w:left w:val="single" w:sz="4" w:space="4" w:color="auto"/>
          <w:bottom w:val="single" w:sz="4" w:space="1" w:color="auto"/>
          <w:right w:val="single" w:sz="4" w:space="4" w:color="auto"/>
        </w:pBdr>
        <w:spacing w:after="120"/>
        <w:ind w:left="900" w:right="458" w:hanging="360"/>
        <w:rPr>
          <w:b/>
          <w:bCs/>
          <w:i/>
          <w:iCs/>
          <w:sz w:val="22"/>
          <w:szCs w:val="22"/>
        </w:rPr>
      </w:pPr>
    </w:p>
    <w:p w14:paraId="5C00BD1D" w14:textId="77777777" w:rsidR="000824F5" w:rsidRPr="000824F5" w:rsidRDefault="000824F5" w:rsidP="000824F5">
      <w:pPr>
        <w:spacing w:after="120"/>
        <w:ind w:left="360" w:right="458" w:hanging="360"/>
        <w:rPr>
          <w:i/>
          <w:iCs/>
          <w:sz w:val="22"/>
          <w:szCs w:val="22"/>
        </w:rPr>
      </w:pPr>
    </w:p>
    <w:p w14:paraId="251D9A58" w14:textId="77777777" w:rsidR="006A241D" w:rsidRPr="00982796" w:rsidRDefault="006A241D" w:rsidP="00982796">
      <w:pPr>
        <w:pStyle w:val="Heading4"/>
        <w:numPr>
          <w:ilvl w:val="0"/>
          <w:numId w:val="0"/>
        </w:numPr>
        <w:pBdr>
          <w:top w:val="single" w:sz="4" w:space="1" w:color="auto"/>
          <w:left w:val="single" w:sz="4" w:space="4" w:color="auto"/>
          <w:bottom w:val="single" w:sz="4" w:space="1" w:color="auto"/>
          <w:right w:val="single" w:sz="4" w:space="0" w:color="auto"/>
        </w:pBdr>
        <w:spacing w:before="0" w:after="120"/>
        <w:ind w:left="900" w:right="368" w:hanging="360"/>
        <w:rPr>
          <w:b/>
          <w:bCs/>
          <w:sz w:val="22"/>
          <w:szCs w:val="22"/>
        </w:rPr>
      </w:pPr>
      <w:bookmarkStart w:id="2" w:name="_Toc122418282"/>
      <w:r w:rsidRPr="00982796">
        <w:rPr>
          <w:b/>
          <w:bCs/>
          <w:sz w:val="22"/>
          <w:szCs w:val="22"/>
        </w:rPr>
        <w:t>5.1.2.2</w:t>
      </w:r>
      <w:r w:rsidRPr="00982796">
        <w:rPr>
          <w:b/>
          <w:bCs/>
          <w:sz w:val="22"/>
          <w:szCs w:val="22"/>
        </w:rPr>
        <w:tab/>
        <w:t>Principles for applying parameters for V2X communications over PC5 reference point</w:t>
      </w:r>
      <w:bookmarkEnd w:id="2"/>
    </w:p>
    <w:p w14:paraId="0D0C1F68" w14:textId="59A9D56D" w:rsidR="006A241D" w:rsidRPr="000824F5" w:rsidRDefault="006A241D" w:rsidP="00982796">
      <w:pPr>
        <w:pBdr>
          <w:top w:val="single" w:sz="4" w:space="1" w:color="auto"/>
          <w:left w:val="single" w:sz="4" w:space="4" w:color="auto"/>
          <w:bottom w:val="single" w:sz="4" w:space="1" w:color="auto"/>
          <w:right w:val="single" w:sz="4" w:space="0" w:color="auto"/>
        </w:pBdr>
        <w:spacing w:after="120"/>
        <w:ind w:left="900" w:right="368" w:hanging="360"/>
        <w:rPr>
          <w:i/>
          <w:iCs/>
          <w:sz w:val="22"/>
          <w:szCs w:val="22"/>
          <w:lang w:val="en-GB"/>
        </w:rPr>
      </w:pPr>
      <w:r w:rsidRPr="000824F5">
        <w:rPr>
          <w:i/>
          <w:iCs/>
          <w:sz w:val="22"/>
          <w:szCs w:val="22"/>
          <w:lang w:val="en-GB"/>
        </w:rPr>
        <w:t>…</w:t>
      </w:r>
    </w:p>
    <w:p w14:paraId="54B4E555" w14:textId="77777777" w:rsidR="006A241D" w:rsidRPr="000824F5" w:rsidRDefault="006A241D" w:rsidP="00982796">
      <w:pPr>
        <w:pStyle w:val="B1"/>
        <w:pBdr>
          <w:top w:val="single" w:sz="4" w:space="1" w:color="auto"/>
          <w:left w:val="single" w:sz="4" w:space="4" w:color="auto"/>
          <w:bottom w:val="single" w:sz="4" w:space="1" w:color="auto"/>
          <w:right w:val="single" w:sz="4" w:space="0" w:color="auto"/>
        </w:pBdr>
        <w:spacing w:after="120"/>
        <w:ind w:left="900" w:right="368" w:hanging="360"/>
        <w:rPr>
          <w:i/>
          <w:iCs/>
          <w:sz w:val="22"/>
          <w:szCs w:val="22"/>
        </w:rPr>
      </w:pPr>
      <w:r w:rsidRPr="000824F5">
        <w:rPr>
          <w:i/>
          <w:iCs/>
          <w:sz w:val="22"/>
          <w:szCs w:val="22"/>
        </w:rPr>
        <w:t>-</w:t>
      </w:r>
      <w:r w:rsidRPr="000824F5">
        <w:rPr>
          <w:i/>
          <w:iCs/>
          <w:sz w:val="22"/>
          <w:szCs w:val="22"/>
        </w:rPr>
        <w:tab/>
        <w:t>The UE shall use radio resources for V2X communications over PC5 reference point as follows:</w:t>
      </w:r>
    </w:p>
    <w:p w14:paraId="3ACEC65F" w14:textId="304318F9" w:rsidR="006A241D" w:rsidRPr="000824F5" w:rsidRDefault="0009251B" w:rsidP="00982796">
      <w:pPr>
        <w:pStyle w:val="B2"/>
        <w:pBdr>
          <w:top w:val="single" w:sz="4" w:space="1" w:color="auto"/>
          <w:left w:val="single" w:sz="4" w:space="4" w:color="auto"/>
          <w:bottom w:val="single" w:sz="4" w:space="1" w:color="auto"/>
          <w:right w:val="single" w:sz="4" w:space="0" w:color="auto"/>
        </w:pBdr>
        <w:spacing w:after="120"/>
        <w:ind w:left="1260" w:right="368" w:hanging="720"/>
        <w:rPr>
          <w:i/>
          <w:iCs/>
          <w:sz w:val="22"/>
          <w:szCs w:val="22"/>
        </w:rPr>
      </w:pPr>
      <w:r w:rsidRPr="000824F5">
        <w:rPr>
          <w:i/>
          <w:iCs/>
          <w:sz w:val="22"/>
          <w:szCs w:val="22"/>
        </w:rPr>
        <w:t xml:space="preserve">      - </w:t>
      </w:r>
      <w:r w:rsidR="006A241D" w:rsidRPr="000824F5">
        <w:rPr>
          <w:i/>
          <w:iCs/>
          <w:sz w:val="22"/>
          <w:szCs w:val="22"/>
        </w:rPr>
        <w:t xml:space="preserve">While a UE has a serving cell and is camped on a cell and the UE intends to use for V2X service the </w:t>
      </w:r>
      <w:r w:rsidR="006A241D" w:rsidRPr="000824F5">
        <w:rPr>
          <w:i/>
          <w:iCs/>
          <w:sz w:val="22"/>
          <w:szCs w:val="22"/>
          <w:highlight w:val="yellow"/>
        </w:rPr>
        <w:t>radio resources (</w:t>
      </w:r>
      <w:r w:rsidR="006E2502" w:rsidRPr="000824F5">
        <w:rPr>
          <w:i/>
          <w:iCs/>
          <w:sz w:val="22"/>
          <w:szCs w:val="22"/>
          <w:highlight w:val="yellow"/>
        </w:rPr>
        <w:t>i.e.,</w:t>
      </w:r>
      <w:r w:rsidR="006A241D" w:rsidRPr="000824F5">
        <w:rPr>
          <w:i/>
          <w:iCs/>
          <w:sz w:val="22"/>
          <w:szCs w:val="22"/>
          <w:highlight w:val="yellow"/>
        </w:rPr>
        <w:t xml:space="preserve"> </w:t>
      </w:r>
      <w:r w:rsidR="006A241D" w:rsidRPr="000824F5">
        <w:rPr>
          <w:b/>
          <w:bCs/>
          <w:i/>
          <w:iCs/>
          <w:sz w:val="22"/>
          <w:szCs w:val="22"/>
          <w:highlight w:val="yellow"/>
        </w:rPr>
        <w:t>carrier frequency</w:t>
      </w:r>
      <w:r w:rsidR="006A241D" w:rsidRPr="000824F5">
        <w:rPr>
          <w:i/>
          <w:iCs/>
          <w:sz w:val="22"/>
          <w:szCs w:val="22"/>
          <w:highlight w:val="yellow"/>
        </w:rPr>
        <w:t>)</w:t>
      </w:r>
      <w:r w:rsidR="006A241D" w:rsidRPr="000824F5">
        <w:rPr>
          <w:i/>
          <w:iCs/>
          <w:sz w:val="22"/>
          <w:szCs w:val="22"/>
        </w:rPr>
        <w:t xml:space="preserve"> operated by this cell, then the </w:t>
      </w:r>
      <w:r w:rsidR="006A241D" w:rsidRPr="000824F5">
        <w:rPr>
          <w:b/>
          <w:bCs/>
          <w:i/>
          <w:iCs/>
          <w:sz w:val="22"/>
          <w:szCs w:val="22"/>
        </w:rPr>
        <w:t>UE shall use the radio resource description indicated by this cell the UE is camped on</w:t>
      </w:r>
      <w:r w:rsidR="006A241D" w:rsidRPr="000824F5">
        <w:rPr>
          <w:i/>
          <w:iCs/>
          <w:sz w:val="22"/>
          <w:szCs w:val="22"/>
        </w:rPr>
        <w:t xml:space="preserve">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541F5B13" w14:textId="77777777" w:rsidR="0009251B" w:rsidRPr="000824F5" w:rsidRDefault="0009251B" w:rsidP="00982796">
      <w:pPr>
        <w:pStyle w:val="B2"/>
        <w:pBdr>
          <w:top w:val="single" w:sz="4" w:space="1" w:color="auto"/>
          <w:left w:val="single" w:sz="4" w:space="4" w:color="auto"/>
          <w:bottom w:val="single" w:sz="4" w:space="1" w:color="auto"/>
          <w:right w:val="single" w:sz="4" w:space="0" w:color="auto"/>
        </w:pBdr>
        <w:spacing w:after="120"/>
        <w:ind w:left="1260" w:right="368" w:hanging="720"/>
        <w:rPr>
          <w:i/>
          <w:iCs/>
          <w:sz w:val="22"/>
          <w:szCs w:val="22"/>
        </w:rPr>
      </w:pPr>
      <w:r w:rsidRPr="000824F5">
        <w:rPr>
          <w:i/>
          <w:iCs/>
          <w:sz w:val="22"/>
          <w:szCs w:val="22"/>
        </w:rPr>
        <w:t xml:space="preserve">      - </w:t>
      </w:r>
      <w:r w:rsidR="006A241D" w:rsidRPr="000824F5">
        <w:rPr>
          <w:i/>
          <w:iCs/>
          <w:sz w:val="22"/>
          <w:szCs w:val="22"/>
        </w:rPr>
        <w:t>If the UE intends to use "</w:t>
      </w:r>
      <w:r w:rsidR="006A241D" w:rsidRPr="000824F5">
        <w:rPr>
          <w:i/>
          <w:iCs/>
          <w:sz w:val="22"/>
          <w:szCs w:val="22"/>
          <w:highlight w:val="yellow"/>
        </w:rPr>
        <w:t xml:space="preserve">operator-managed" radio resources (i.e. </w:t>
      </w:r>
      <w:r w:rsidR="006A241D" w:rsidRPr="000824F5">
        <w:rPr>
          <w:b/>
          <w:bCs/>
          <w:i/>
          <w:iCs/>
          <w:sz w:val="22"/>
          <w:szCs w:val="22"/>
          <w:highlight w:val="yellow"/>
        </w:rPr>
        <w:t>carrier frequency</w:t>
      </w:r>
      <w:r w:rsidR="006A241D" w:rsidRPr="000824F5">
        <w:rPr>
          <w:i/>
          <w:iCs/>
          <w:sz w:val="22"/>
          <w:szCs w:val="22"/>
          <w:highlight w:val="yellow"/>
        </w:rPr>
        <w:t>)</w:t>
      </w:r>
      <w:r w:rsidR="006A241D" w:rsidRPr="000824F5">
        <w:rPr>
          <w:i/>
          <w:iCs/>
          <w:sz w:val="22"/>
          <w:szCs w:val="22"/>
        </w:rPr>
        <w:t xml:space="preserve"> for V2X service that are not operated by the UE's serving cell, as specified in clause 5.1.2.1, or </w:t>
      </w:r>
      <w:r w:rsidR="006A241D" w:rsidRPr="000824F5">
        <w:rPr>
          <w:b/>
          <w:bCs/>
          <w:i/>
          <w:iCs/>
          <w:sz w:val="22"/>
          <w:szCs w:val="22"/>
        </w:rPr>
        <w:t>if the UE is out of coverage</w:t>
      </w:r>
      <w:r w:rsidR="006A241D" w:rsidRPr="000824F5">
        <w:rPr>
          <w:i/>
          <w:iCs/>
          <w:sz w:val="22"/>
          <w:szCs w:val="22"/>
        </w:rPr>
        <w:t xml:space="preserve">, </w:t>
      </w:r>
      <w:r w:rsidR="006A241D" w:rsidRPr="000824F5">
        <w:rPr>
          <w:b/>
          <w:bCs/>
          <w:i/>
          <w:iCs/>
          <w:sz w:val="22"/>
          <w:szCs w:val="22"/>
        </w:rPr>
        <w:t xml:space="preserve">the UE shall search for a cell in any PLMN that is operating the provisioned radio resources (i.e. carrier frequency) </w:t>
      </w:r>
      <w:r w:rsidR="006A241D" w:rsidRPr="000824F5">
        <w:rPr>
          <w:i/>
          <w:iCs/>
          <w:sz w:val="22"/>
          <w:szCs w:val="22"/>
        </w:rPr>
        <w:t>as defined in TS 36.300 [9] and TS 36.304 [10] (if LTE based PC5 is selected for the V2X communication) or as defined in TS 38.300 [11] and TS 38.304 [12] (if NR based PC5 is selected for the V2X communication), and:</w:t>
      </w:r>
    </w:p>
    <w:p w14:paraId="303685D8" w14:textId="77777777" w:rsidR="0009251B" w:rsidRPr="000824F5" w:rsidRDefault="0009251B" w:rsidP="00982796">
      <w:pPr>
        <w:pStyle w:val="B2"/>
        <w:pBdr>
          <w:top w:val="single" w:sz="4" w:space="1" w:color="auto"/>
          <w:left w:val="single" w:sz="4" w:space="4" w:color="auto"/>
          <w:bottom w:val="single" w:sz="4" w:space="1" w:color="auto"/>
          <w:right w:val="single" w:sz="4" w:space="0" w:color="auto"/>
        </w:pBdr>
        <w:spacing w:after="120"/>
        <w:ind w:left="1260" w:right="368" w:hanging="720"/>
        <w:rPr>
          <w:i/>
          <w:iCs/>
          <w:sz w:val="22"/>
          <w:szCs w:val="22"/>
        </w:rPr>
      </w:pPr>
      <w:r w:rsidRPr="000824F5">
        <w:rPr>
          <w:i/>
          <w:iCs/>
          <w:sz w:val="22"/>
          <w:szCs w:val="22"/>
        </w:rPr>
        <w:t>…</w:t>
      </w:r>
    </w:p>
    <w:p w14:paraId="030075E5" w14:textId="46A90E64" w:rsidR="0009251B" w:rsidRPr="000824F5" w:rsidRDefault="0009251B" w:rsidP="00982796">
      <w:pPr>
        <w:pStyle w:val="B2"/>
        <w:pBdr>
          <w:top w:val="single" w:sz="4" w:space="1" w:color="auto"/>
          <w:left w:val="single" w:sz="4" w:space="4" w:color="auto"/>
          <w:bottom w:val="single" w:sz="4" w:space="1" w:color="auto"/>
          <w:right w:val="single" w:sz="4" w:space="0" w:color="auto"/>
        </w:pBdr>
        <w:spacing w:after="120"/>
        <w:ind w:left="1260" w:right="368" w:hanging="720"/>
        <w:rPr>
          <w:i/>
          <w:iCs/>
          <w:sz w:val="22"/>
          <w:szCs w:val="22"/>
        </w:rPr>
      </w:pPr>
      <w:r w:rsidRPr="000824F5">
        <w:rPr>
          <w:i/>
          <w:iCs/>
          <w:sz w:val="22"/>
          <w:szCs w:val="22"/>
        </w:rPr>
        <w:t xml:space="preserve">     -  If the UE intends to use </w:t>
      </w:r>
      <w:r w:rsidRPr="000824F5">
        <w:rPr>
          <w:i/>
          <w:iCs/>
          <w:sz w:val="22"/>
          <w:szCs w:val="22"/>
          <w:highlight w:val="yellow"/>
        </w:rPr>
        <w:t>"non-operator-managed" radio resources (</w:t>
      </w:r>
      <w:r w:rsidR="006E2502" w:rsidRPr="000824F5">
        <w:rPr>
          <w:i/>
          <w:iCs/>
          <w:sz w:val="22"/>
          <w:szCs w:val="22"/>
          <w:highlight w:val="yellow"/>
        </w:rPr>
        <w:t>i.e.,</w:t>
      </w:r>
      <w:r w:rsidRPr="000824F5">
        <w:rPr>
          <w:i/>
          <w:iCs/>
          <w:sz w:val="22"/>
          <w:szCs w:val="22"/>
          <w:highlight w:val="yellow"/>
        </w:rPr>
        <w:t xml:space="preserve"> </w:t>
      </w:r>
      <w:r w:rsidRPr="000824F5">
        <w:rPr>
          <w:b/>
          <w:bCs/>
          <w:i/>
          <w:iCs/>
          <w:sz w:val="22"/>
          <w:szCs w:val="22"/>
          <w:highlight w:val="yellow"/>
        </w:rPr>
        <w:t>carrier frequency</w:t>
      </w:r>
      <w:r w:rsidRPr="000824F5">
        <w:rPr>
          <w:i/>
          <w:iCs/>
          <w:sz w:val="22"/>
          <w:szCs w:val="22"/>
        </w:rPr>
        <w:t xml:space="preserve">) for V2X service, according to TS 36.331 [14] or TS 38.331 [15] and as specified in clause 5.1.2.1, then the UE shall perform V2X communication over PC5 </w:t>
      </w:r>
      <w:r w:rsidRPr="000824F5">
        <w:rPr>
          <w:b/>
          <w:bCs/>
          <w:i/>
          <w:iCs/>
          <w:sz w:val="22"/>
          <w:szCs w:val="22"/>
        </w:rPr>
        <w:t>using resource provisioned in the ME or the UICC</w:t>
      </w:r>
      <w:r w:rsidRPr="000824F5">
        <w:rPr>
          <w:i/>
          <w:iCs/>
          <w:sz w:val="22"/>
          <w:szCs w:val="22"/>
        </w:rPr>
        <w:t>. If no such provision exists in the ME or the UICC or the provision does not authorize V2X communications over PC5 reference point, then the UE is not authorized to transmit.</w:t>
      </w:r>
    </w:p>
    <w:p w14:paraId="23140EEA" w14:textId="04464925" w:rsidR="0009251B" w:rsidRPr="000824F5" w:rsidRDefault="0009251B" w:rsidP="00982796">
      <w:pPr>
        <w:pStyle w:val="B2"/>
        <w:pBdr>
          <w:top w:val="single" w:sz="4" w:space="1" w:color="auto"/>
          <w:left w:val="single" w:sz="4" w:space="4" w:color="auto"/>
          <w:bottom w:val="single" w:sz="4" w:space="1" w:color="auto"/>
          <w:right w:val="single" w:sz="4" w:space="0" w:color="auto"/>
        </w:pBdr>
        <w:spacing w:after="120"/>
        <w:ind w:left="1260" w:right="368" w:hanging="720"/>
        <w:rPr>
          <w:i/>
          <w:iCs/>
          <w:sz w:val="22"/>
          <w:szCs w:val="22"/>
        </w:rPr>
      </w:pPr>
      <w:r w:rsidRPr="000824F5">
        <w:rPr>
          <w:i/>
          <w:iCs/>
          <w:sz w:val="22"/>
          <w:szCs w:val="22"/>
        </w:rPr>
        <w:t>…</w:t>
      </w:r>
    </w:p>
    <w:p w14:paraId="26D256EB" w14:textId="77777777" w:rsidR="003A4DCE" w:rsidRPr="000824F5" w:rsidRDefault="003A4DCE" w:rsidP="000824F5">
      <w:pPr>
        <w:pStyle w:val="B2"/>
        <w:spacing w:after="120"/>
        <w:ind w:left="284"/>
        <w:rPr>
          <w:sz w:val="22"/>
          <w:szCs w:val="22"/>
        </w:rPr>
      </w:pPr>
    </w:p>
    <w:p w14:paraId="1078936C" w14:textId="77777777" w:rsidR="003A4DCE" w:rsidRPr="00982796" w:rsidRDefault="003A4DCE" w:rsidP="000824F5">
      <w:pPr>
        <w:pStyle w:val="Heading5"/>
        <w:numPr>
          <w:ilvl w:val="0"/>
          <w:numId w:val="0"/>
        </w:numPr>
        <w:pBdr>
          <w:top w:val="single" w:sz="4" w:space="1" w:color="auto"/>
          <w:left w:val="single" w:sz="4" w:space="4" w:color="auto"/>
          <w:bottom w:val="single" w:sz="4" w:space="1" w:color="auto"/>
          <w:right w:val="single" w:sz="4" w:space="4" w:color="auto"/>
        </w:pBdr>
        <w:spacing w:before="0" w:after="120"/>
        <w:ind w:left="540" w:right="368"/>
        <w:rPr>
          <w:b/>
          <w:bCs/>
          <w:szCs w:val="22"/>
        </w:rPr>
      </w:pPr>
      <w:bookmarkStart w:id="3" w:name="_Toc122418304"/>
      <w:r w:rsidRPr="00982796">
        <w:rPr>
          <w:b/>
          <w:bCs/>
          <w:szCs w:val="22"/>
        </w:rPr>
        <w:t>5.4.1.1.3 Handling of PC5 QoS Flows based on PC5 QoS Rules</w:t>
      </w:r>
      <w:bookmarkEnd w:id="3"/>
    </w:p>
    <w:p w14:paraId="7CBC4C41" w14:textId="77777777" w:rsidR="003A4DCE" w:rsidRPr="000824F5" w:rsidRDefault="003A4DCE" w:rsidP="000824F5">
      <w:pPr>
        <w:pBdr>
          <w:top w:val="single" w:sz="4" w:space="1" w:color="auto"/>
          <w:left w:val="single" w:sz="4" w:space="4" w:color="auto"/>
          <w:bottom w:val="single" w:sz="4" w:space="1" w:color="auto"/>
          <w:right w:val="single" w:sz="4" w:space="4" w:color="auto"/>
        </w:pBdr>
        <w:spacing w:after="120"/>
        <w:ind w:left="540" w:right="368"/>
        <w:rPr>
          <w:i/>
          <w:iCs/>
          <w:sz w:val="22"/>
          <w:szCs w:val="22"/>
          <w:lang w:val="en-GB"/>
        </w:rPr>
      </w:pPr>
      <w:r w:rsidRPr="000824F5">
        <w:rPr>
          <w:i/>
          <w:iCs/>
          <w:sz w:val="22"/>
          <w:szCs w:val="22"/>
          <w:lang w:val="en-GB"/>
        </w:rPr>
        <w:t>…</w:t>
      </w:r>
    </w:p>
    <w:p w14:paraId="5EC65864" w14:textId="5EC033CF" w:rsidR="003A4DCE" w:rsidRPr="000824F5" w:rsidRDefault="003A4DCE" w:rsidP="000824F5">
      <w:pPr>
        <w:pBdr>
          <w:top w:val="single" w:sz="4" w:space="1" w:color="auto"/>
          <w:left w:val="single" w:sz="4" w:space="4" w:color="auto"/>
          <w:bottom w:val="single" w:sz="4" w:space="1" w:color="auto"/>
          <w:right w:val="single" w:sz="4" w:space="4" w:color="auto"/>
        </w:pBdr>
        <w:spacing w:after="120"/>
        <w:ind w:left="540" w:right="368"/>
        <w:rPr>
          <w:i/>
          <w:iCs/>
          <w:sz w:val="22"/>
          <w:szCs w:val="22"/>
        </w:rPr>
      </w:pPr>
      <w:r w:rsidRPr="000824F5">
        <w:rPr>
          <w:i/>
          <w:iCs/>
          <w:sz w:val="22"/>
          <w:szCs w:val="22"/>
        </w:rPr>
        <w:lastRenderedPageBreak/>
        <w:t xml:space="preserve">In addition, the </w:t>
      </w:r>
      <w:r w:rsidRPr="000824F5">
        <w:rPr>
          <w:b/>
          <w:bCs/>
          <w:i/>
          <w:iCs/>
          <w:sz w:val="22"/>
          <w:szCs w:val="22"/>
        </w:rPr>
        <w:t>V2X layer</w:t>
      </w:r>
      <w:r w:rsidRPr="000824F5">
        <w:rPr>
          <w:i/>
          <w:iCs/>
          <w:sz w:val="22"/>
          <w:szCs w:val="22"/>
        </w:rPr>
        <w:t xml:space="preserve"> also </w:t>
      </w:r>
      <w:r w:rsidRPr="000824F5">
        <w:rPr>
          <w:b/>
          <w:bCs/>
          <w:i/>
          <w:iCs/>
          <w:sz w:val="22"/>
          <w:szCs w:val="22"/>
        </w:rPr>
        <w:t>provides the communication mode (</w:t>
      </w:r>
      <w:r w:rsidR="006E2502" w:rsidRPr="000824F5">
        <w:rPr>
          <w:b/>
          <w:bCs/>
          <w:i/>
          <w:iCs/>
          <w:sz w:val="22"/>
          <w:szCs w:val="22"/>
        </w:rPr>
        <w:t>e.g.,</w:t>
      </w:r>
      <w:r w:rsidRPr="000824F5">
        <w:rPr>
          <w:b/>
          <w:bCs/>
          <w:i/>
          <w:iCs/>
          <w:sz w:val="22"/>
          <w:szCs w:val="22"/>
        </w:rPr>
        <w:t xml:space="preserve"> broadcast, groupcast, unicast)</w:t>
      </w:r>
      <w:r w:rsidRPr="000824F5">
        <w:rPr>
          <w:i/>
          <w:iCs/>
          <w:sz w:val="22"/>
          <w:szCs w:val="22"/>
        </w:rPr>
        <w:t xml:space="preserve"> and </w:t>
      </w:r>
      <w:r w:rsidRPr="000824F5">
        <w:rPr>
          <w:b/>
          <w:bCs/>
          <w:i/>
          <w:iCs/>
          <w:sz w:val="22"/>
          <w:szCs w:val="22"/>
          <w:highlight w:val="yellow"/>
        </w:rPr>
        <w:t>radio frequencies</w:t>
      </w:r>
      <w:r w:rsidRPr="000824F5">
        <w:rPr>
          <w:i/>
          <w:iCs/>
          <w:sz w:val="22"/>
          <w:szCs w:val="22"/>
        </w:rPr>
        <w:t xml:space="preserve"> </w:t>
      </w:r>
      <w:r w:rsidRPr="000824F5">
        <w:rPr>
          <w:b/>
          <w:bCs/>
          <w:i/>
          <w:iCs/>
          <w:sz w:val="22"/>
          <w:szCs w:val="22"/>
        </w:rPr>
        <w:t>to the AS layer for the PC5 operation</w:t>
      </w:r>
      <w:r w:rsidRPr="000824F5">
        <w:rPr>
          <w:i/>
          <w:iCs/>
          <w:sz w:val="22"/>
          <w:szCs w:val="22"/>
        </w:rPr>
        <w:t xml:space="preserve">. The </w:t>
      </w:r>
      <w:r w:rsidRPr="000824F5">
        <w:rPr>
          <w:b/>
          <w:bCs/>
          <w:i/>
          <w:iCs/>
          <w:sz w:val="22"/>
          <w:szCs w:val="22"/>
          <w:highlight w:val="yellow"/>
        </w:rPr>
        <w:t>radio frequencies</w:t>
      </w:r>
      <w:r w:rsidRPr="000824F5">
        <w:rPr>
          <w:i/>
          <w:iCs/>
          <w:sz w:val="22"/>
          <w:szCs w:val="22"/>
        </w:rPr>
        <w:t xml:space="preserve"> </w:t>
      </w:r>
      <w:r w:rsidRPr="000824F5">
        <w:rPr>
          <w:b/>
          <w:bCs/>
          <w:i/>
          <w:iCs/>
          <w:sz w:val="22"/>
          <w:szCs w:val="22"/>
        </w:rPr>
        <w:t>are determined based on the V2X service type</w:t>
      </w:r>
      <w:r w:rsidRPr="000824F5">
        <w:rPr>
          <w:i/>
          <w:iCs/>
          <w:sz w:val="22"/>
          <w:szCs w:val="22"/>
        </w:rPr>
        <w:t xml:space="preserve">. The V2X layer ensures that </w:t>
      </w:r>
      <w:r w:rsidRPr="000824F5">
        <w:rPr>
          <w:b/>
          <w:bCs/>
          <w:i/>
          <w:iCs/>
          <w:sz w:val="22"/>
          <w:szCs w:val="22"/>
        </w:rPr>
        <w:t>V2X service types associated with different radio frequencies</w:t>
      </w:r>
      <w:r w:rsidRPr="000824F5">
        <w:rPr>
          <w:i/>
          <w:iCs/>
          <w:sz w:val="22"/>
          <w:szCs w:val="22"/>
        </w:rPr>
        <w:t xml:space="preserve"> are classified into distinct PC5 QoS Flows.</w:t>
      </w:r>
    </w:p>
    <w:p w14:paraId="74B2E37B" w14:textId="0DCDD302" w:rsidR="00E73459" w:rsidRPr="000824F5" w:rsidRDefault="003A4DCE" w:rsidP="000824F5">
      <w:pPr>
        <w:pBdr>
          <w:top w:val="single" w:sz="4" w:space="1" w:color="auto"/>
          <w:left w:val="single" w:sz="4" w:space="4" w:color="auto"/>
          <w:bottom w:val="single" w:sz="4" w:space="1" w:color="auto"/>
          <w:right w:val="single" w:sz="4" w:space="4" w:color="auto"/>
        </w:pBdr>
        <w:spacing w:after="120"/>
        <w:ind w:left="540" w:right="368"/>
        <w:rPr>
          <w:i/>
          <w:iCs/>
          <w:sz w:val="22"/>
          <w:szCs w:val="22"/>
        </w:rPr>
      </w:pPr>
      <w:r w:rsidRPr="000824F5">
        <w:rPr>
          <w:i/>
          <w:iCs/>
          <w:sz w:val="22"/>
          <w:szCs w:val="22"/>
        </w:rPr>
        <w:t>…</w:t>
      </w:r>
    </w:p>
    <w:p w14:paraId="7F059671" w14:textId="77777777" w:rsidR="006A241D" w:rsidRPr="000824F5" w:rsidRDefault="006A241D" w:rsidP="000824F5">
      <w:pPr>
        <w:spacing w:after="120"/>
        <w:rPr>
          <w:sz w:val="22"/>
          <w:szCs w:val="22"/>
          <w:lang w:val="en-GB"/>
        </w:rPr>
      </w:pPr>
    </w:p>
    <w:p w14:paraId="75412E35" w14:textId="2543F99B" w:rsidR="00E73459" w:rsidRPr="000824F5" w:rsidRDefault="00E73459" w:rsidP="000824F5">
      <w:pPr>
        <w:spacing w:after="120"/>
        <w:rPr>
          <w:b/>
          <w:bCs/>
          <w:i/>
          <w:iCs/>
          <w:sz w:val="22"/>
          <w:szCs w:val="22"/>
        </w:rPr>
      </w:pPr>
      <w:r w:rsidRPr="000824F5">
        <w:rPr>
          <w:b/>
          <w:bCs/>
          <w:i/>
          <w:iCs/>
          <w:sz w:val="22"/>
          <w:szCs w:val="22"/>
          <w:lang w:val="en-GB"/>
        </w:rPr>
        <w:t xml:space="preserve">Observation 1. </w:t>
      </w:r>
      <w:r w:rsidRPr="000824F5">
        <w:rPr>
          <w:b/>
          <w:bCs/>
          <w:i/>
          <w:iCs/>
          <w:sz w:val="22"/>
          <w:szCs w:val="22"/>
        </w:rPr>
        <w:t>NR V2X service layer maps a service type to frequency band</w:t>
      </w:r>
      <w:r w:rsidR="00982796">
        <w:rPr>
          <w:b/>
          <w:bCs/>
          <w:i/>
          <w:iCs/>
          <w:sz w:val="22"/>
          <w:szCs w:val="22"/>
        </w:rPr>
        <w:t>s</w:t>
      </w:r>
      <w:r w:rsidRPr="000824F5">
        <w:rPr>
          <w:b/>
          <w:bCs/>
          <w:i/>
          <w:iCs/>
          <w:sz w:val="22"/>
          <w:szCs w:val="22"/>
        </w:rPr>
        <w:t xml:space="preserve">, not frequency carriers or carrier components. </w:t>
      </w:r>
    </w:p>
    <w:p w14:paraId="418D22E1" w14:textId="296D8B9F" w:rsidR="00E73459" w:rsidRPr="000824F5" w:rsidRDefault="00E73459" w:rsidP="000824F5">
      <w:pPr>
        <w:spacing w:after="120"/>
        <w:rPr>
          <w:b/>
          <w:bCs/>
          <w:i/>
          <w:iCs/>
          <w:sz w:val="22"/>
          <w:szCs w:val="22"/>
        </w:rPr>
      </w:pPr>
      <w:r w:rsidRPr="000824F5">
        <w:rPr>
          <w:b/>
          <w:bCs/>
          <w:i/>
          <w:iCs/>
          <w:sz w:val="22"/>
          <w:szCs w:val="22"/>
        </w:rPr>
        <w:t xml:space="preserve">Observation 2. For NR V2X, frequency carriers or carrier components are preconfigured or configured for a sidelink communication. </w:t>
      </w:r>
    </w:p>
    <w:p w14:paraId="49688D97" w14:textId="2B9264B6" w:rsidR="00E73459" w:rsidRPr="000824F5" w:rsidRDefault="00E73459" w:rsidP="000824F5">
      <w:pPr>
        <w:spacing w:after="120"/>
        <w:textAlignment w:val="baseline"/>
        <w:rPr>
          <w:b/>
          <w:bCs/>
          <w:i/>
          <w:iCs/>
          <w:sz w:val="22"/>
          <w:szCs w:val="22"/>
        </w:rPr>
      </w:pPr>
      <w:r w:rsidRPr="000824F5">
        <w:rPr>
          <w:b/>
          <w:bCs/>
          <w:i/>
          <w:iCs/>
          <w:sz w:val="22"/>
          <w:szCs w:val="22"/>
        </w:rPr>
        <w:t xml:space="preserve">Proposal 1. RAN2 needs to </w:t>
      </w:r>
      <w:r w:rsidR="00A7317C" w:rsidRPr="000824F5">
        <w:rPr>
          <w:b/>
          <w:bCs/>
          <w:i/>
          <w:iCs/>
          <w:sz w:val="22"/>
          <w:szCs w:val="22"/>
        </w:rPr>
        <w:t xml:space="preserve">further </w:t>
      </w:r>
      <w:r w:rsidRPr="000824F5">
        <w:rPr>
          <w:b/>
          <w:bCs/>
          <w:i/>
          <w:iCs/>
          <w:sz w:val="22"/>
          <w:szCs w:val="22"/>
        </w:rPr>
        <w:t>discuss how to allocate carriers or carrier components for sidelink carrier aggregation. </w:t>
      </w:r>
    </w:p>
    <w:p w14:paraId="5B5D82E8" w14:textId="51D7BC2E" w:rsidR="00242D1E" w:rsidRDefault="00242D1E" w:rsidP="005A3888">
      <w:pPr>
        <w:spacing w:after="0"/>
        <w:textAlignment w:val="baseline"/>
        <w:rPr>
          <w:rFonts w:ascii="Segoe UI" w:eastAsia="Times New Roman" w:hAnsi="Segoe UI" w:cs="Segoe UI"/>
          <w:i/>
          <w:iCs/>
        </w:rPr>
      </w:pPr>
    </w:p>
    <w:p w14:paraId="2E0F199C" w14:textId="2901E59C" w:rsidR="00242D1E" w:rsidRDefault="00242D1E" w:rsidP="00242D1E">
      <w:pPr>
        <w:pStyle w:val="Heading2"/>
      </w:pPr>
      <w:r>
        <w:t>Backward compatibility issue</w:t>
      </w:r>
    </w:p>
    <w:p w14:paraId="2017E0AB" w14:textId="77777777" w:rsidR="00E73459" w:rsidRDefault="004F310D" w:rsidP="000824F5">
      <w:pPr>
        <w:spacing w:after="120"/>
        <w:textAlignment w:val="baseline"/>
        <w:rPr>
          <w:sz w:val="22"/>
          <w:szCs w:val="22"/>
          <w:lang w:eastAsia="ko-KR"/>
        </w:rPr>
      </w:pPr>
      <w:r>
        <w:rPr>
          <w:sz w:val="22"/>
          <w:szCs w:val="22"/>
          <w:lang w:eastAsia="ko-KR"/>
        </w:rPr>
        <w:t>Since a</w:t>
      </w:r>
      <w:r w:rsidR="00DF67F9" w:rsidRPr="00DF67F9">
        <w:rPr>
          <w:sz w:val="22"/>
          <w:szCs w:val="22"/>
          <w:lang w:eastAsia="ko-KR"/>
        </w:rPr>
        <w:t xml:space="preserve"> Rel-16/Rel-17 UE </w:t>
      </w:r>
      <w:r>
        <w:rPr>
          <w:sz w:val="22"/>
          <w:szCs w:val="22"/>
          <w:lang w:eastAsia="ko-KR"/>
        </w:rPr>
        <w:t xml:space="preserve">do not support sidelink carrier aggregation and can operate with only one carrier, the </w:t>
      </w:r>
      <w:r w:rsidRPr="00DF67F9">
        <w:rPr>
          <w:sz w:val="22"/>
          <w:szCs w:val="22"/>
          <w:lang w:eastAsia="ko-KR"/>
        </w:rPr>
        <w:t xml:space="preserve">Rel-16/Rel-17 UE </w:t>
      </w:r>
      <w:r w:rsidR="00DF67F9">
        <w:rPr>
          <w:sz w:val="22"/>
          <w:szCs w:val="22"/>
          <w:lang w:eastAsia="ko-KR"/>
        </w:rPr>
        <w:t xml:space="preserve">may not be able to receive all TB transmissions which are broadcasted or groupcasted by a Rel-18 UE using sidelink CA </w:t>
      </w:r>
      <w:r>
        <w:rPr>
          <w:sz w:val="22"/>
          <w:szCs w:val="22"/>
          <w:lang w:eastAsia="ko-KR"/>
        </w:rPr>
        <w:t>with</w:t>
      </w:r>
      <w:r w:rsidR="00DF67F9">
        <w:rPr>
          <w:sz w:val="22"/>
          <w:szCs w:val="22"/>
          <w:lang w:eastAsia="ko-KR"/>
        </w:rPr>
        <w:t xml:space="preserve"> </w:t>
      </w:r>
      <w:r>
        <w:rPr>
          <w:sz w:val="22"/>
          <w:szCs w:val="22"/>
          <w:lang w:eastAsia="ko-KR"/>
        </w:rPr>
        <w:t xml:space="preserve">more </w:t>
      </w:r>
      <w:r w:rsidR="00DF67F9">
        <w:rPr>
          <w:sz w:val="22"/>
          <w:szCs w:val="22"/>
          <w:lang w:eastAsia="ko-KR"/>
        </w:rPr>
        <w:t>than one sidelink carrier</w:t>
      </w:r>
      <w:r>
        <w:rPr>
          <w:sz w:val="22"/>
          <w:szCs w:val="22"/>
          <w:lang w:eastAsia="ko-KR"/>
        </w:rPr>
        <w:t xml:space="preserve">. How to ensure that the </w:t>
      </w:r>
      <w:r w:rsidRPr="00DF67F9">
        <w:rPr>
          <w:sz w:val="22"/>
          <w:szCs w:val="22"/>
          <w:lang w:eastAsia="ko-KR"/>
        </w:rPr>
        <w:t>Rel-16/Rel-17 UE</w:t>
      </w:r>
      <w:r>
        <w:rPr>
          <w:sz w:val="22"/>
          <w:szCs w:val="22"/>
          <w:lang w:eastAsia="ko-KR"/>
        </w:rPr>
        <w:t xml:space="preserve"> </w:t>
      </w:r>
      <w:r w:rsidR="00530B6F">
        <w:rPr>
          <w:sz w:val="22"/>
          <w:szCs w:val="22"/>
          <w:lang w:eastAsia="ko-KR"/>
        </w:rPr>
        <w:t>will not</w:t>
      </w:r>
      <w:r>
        <w:rPr>
          <w:sz w:val="22"/>
          <w:szCs w:val="22"/>
          <w:lang w:eastAsia="ko-KR"/>
        </w:rPr>
        <w:t xml:space="preserve"> miss any transmission broadcasted or groupcasted from Rel-18 UE needs to be addressed at RAN2.</w:t>
      </w:r>
      <w:r w:rsidR="009E1637">
        <w:rPr>
          <w:sz w:val="22"/>
          <w:szCs w:val="22"/>
          <w:lang w:eastAsia="ko-KR"/>
        </w:rPr>
        <w:t xml:space="preserve"> </w:t>
      </w:r>
    </w:p>
    <w:p w14:paraId="0690701D" w14:textId="6AA394B4" w:rsidR="00DF67F9" w:rsidRDefault="00A7317C" w:rsidP="000824F5">
      <w:pPr>
        <w:spacing w:after="120"/>
        <w:textAlignment w:val="baseline"/>
        <w:rPr>
          <w:sz w:val="22"/>
          <w:szCs w:val="22"/>
          <w:lang w:eastAsia="ko-KR"/>
        </w:rPr>
      </w:pPr>
      <w:r>
        <w:rPr>
          <w:sz w:val="22"/>
          <w:szCs w:val="22"/>
          <w:lang w:eastAsia="ko-KR"/>
        </w:rPr>
        <w:t>How to address b</w:t>
      </w:r>
      <w:r w:rsidR="00E73459">
        <w:rPr>
          <w:sz w:val="22"/>
          <w:szCs w:val="22"/>
          <w:lang w:eastAsia="ko-KR"/>
        </w:rPr>
        <w:t xml:space="preserve">ackward compatibility </w:t>
      </w:r>
      <w:r>
        <w:rPr>
          <w:sz w:val="22"/>
          <w:szCs w:val="22"/>
          <w:lang w:eastAsia="ko-KR"/>
        </w:rPr>
        <w:t>was discussed at RAN2 #122 with the follows [3]</w:t>
      </w:r>
      <w:r w:rsidR="009E1637">
        <w:rPr>
          <w:sz w:val="22"/>
          <w:szCs w:val="22"/>
          <w:lang w:eastAsia="ko-KR"/>
        </w:rPr>
        <w:t>.</w:t>
      </w:r>
    </w:p>
    <w:p w14:paraId="0466F67F" w14:textId="77777777" w:rsidR="00AA6B4F" w:rsidRPr="000824F5" w:rsidRDefault="00AA6B4F" w:rsidP="000824F5">
      <w:pPr>
        <w:pStyle w:val="Doc-title"/>
        <w:pBdr>
          <w:top w:val="single" w:sz="4" w:space="1" w:color="auto"/>
          <w:left w:val="single" w:sz="4" w:space="4" w:color="auto"/>
          <w:bottom w:val="single" w:sz="4" w:space="1" w:color="auto"/>
          <w:right w:val="single" w:sz="4" w:space="0" w:color="auto"/>
        </w:pBdr>
        <w:spacing w:before="0" w:after="120"/>
        <w:ind w:left="900" w:right="638" w:hanging="450"/>
        <w:rPr>
          <w:rFonts w:ascii="Times New Roman" w:eastAsia="SimSun" w:hAnsi="Times New Roman"/>
          <w:i/>
          <w:iCs/>
          <w:noProof w:val="0"/>
          <w:color w:val="000000"/>
          <w:sz w:val="22"/>
          <w:szCs w:val="22"/>
          <w:lang w:eastAsia="ko-KR"/>
        </w:rPr>
      </w:pPr>
      <w:r w:rsidRPr="000824F5">
        <w:rPr>
          <w:rFonts w:ascii="Times New Roman" w:eastAsia="SimSun" w:hAnsi="Times New Roman"/>
          <w:i/>
          <w:iCs/>
          <w:noProof w:val="0"/>
          <w:color w:val="000000"/>
          <w:sz w:val="22"/>
          <w:szCs w:val="22"/>
          <w:lang w:eastAsia="ko-KR"/>
        </w:rPr>
        <w:t>FFS on backward compatibility issue in SL CA (for GC/BC)</w:t>
      </w:r>
    </w:p>
    <w:p w14:paraId="4B5F1641" w14:textId="77777777" w:rsidR="00AA6B4F" w:rsidRPr="000824F5" w:rsidRDefault="00AA6B4F" w:rsidP="000824F5">
      <w:pPr>
        <w:pStyle w:val="Doc-title"/>
        <w:pBdr>
          <w:top w:val="single" w:sz="4" w:space="1" w:color="auto"/>
          <w:left w:val="single" w:sz="4" w:space="4" w:color="auto"/>
          <w:bottom w:val="single" w:sz="4" w:space="1" w:color="auto"/>
          <w:right w:val="single" w:sz="4" w:space="0" w:color="auto"/>
        </w:pBdr>
        <w:spacing w:before="0" w:after="120"/>
        <w:ind w:left="900" w:right="638" w:hanging="450"/>
        <w:rPr>
          <w:rFonts w:ascii="Times New Roman" w:eastAsia="SimSun" w:hAnsi="Times New Roman"/>
          <w:i/>
          <w:iCs/>
          <w:noProof w:val="0"/>
          <w:color w:val="000000"/>
          <w:sz w:val="22"/>
          <w:szCs w:val="22"/>
          <w:lang w:eastAsia="ko-KR"/>
        </w:rPr>
      </w:pPr>
      <w:r w:rsidRPr="000824F5">
        <w:rPr>
          <w:rFonts w:ascii="Times New Roman" w:eastAsia="SimSun" w:hAnsi="Times New Roman"/>
          <w:i/>
          <w:iCs/>
          <w:noProof w:val="0"/>
          <w:color w:val="000000"/>
          <w:sz w:val="22"/>
          <w:szCs w:val="22"/>
          <w:lang w:eastAsia="ko-KR"/>
        </w:rPr>
        <w:t>- No issue with service-to-carrier mapping (P3:4668)</w:t>
      </w:r>
    </w:p>
    <w:p w14:paraId="133308EF" w14:textId="1904E4E8" w:rsidR="00AA6B4F" w:rsidRPr="000824F5" w:rsidRDefault="00AA6B4F" w:rsidP="000824F5">
      <w:pPr>
        <w:pStyle w:val="Doc-title"/>
        <w:pBdr>
          <w:top w:val="single" w:sz="4" w:space="1" w:color="auto"/>
          <w:left w:val="single" w:sz="4" w:space="4" w:color="auto"/>
          <w:bottom w:val="single" w:sz="4" w:space="1" w:color="auto"/>
          <w:right w:val="single" w:sz="4" w:space="0" w:color="auto"/>
        </w:pBdr>
        <w:spacing w:before="0" w:after="120"/>
        <w:ind w:left="900" w:right="638" w:hanging="450"/>
        <w:rPr>
          <w:rFonts w:ascii="Times New Roman" w:eastAsia="SimSun" w:hAnsi="Times New Roman"/>
          <w:i/>
          <w:iCs/>
          <w:noProof w:val="0"/>
          <w:color w:val="000000"/>
          <w:sz w:val="22"/>
          <w:szCs w:val="22"/>
          <w:lang w:eastAsia="ko-KR"/>
        </w:rPr>
      </w:pPr>
      <w:r w:rsidRPr="000824F5">
        <w:rPr>
          <w:rFonts w:ascii="Times New Roman" w:eastAsia="SimSun" w:hAnsi="Times New Roman"/>
          <w:i/>
          <w:iCs/>
          <w:noProof w:val="0"/>
          <w:color w:val="000000"/>
          <w:sz w:val="22"/>
          <w:szCs w:val="22"/>
          <w:lang w:eastAsia="ko-KR"/>
        </w:rPr>
        <w:t>- Need TX profile to handle the compatibility issue (P2:5093)</w:t>
      </w:r>
    </w:p>
    <w:p w14:paraId="73EC974E" w14:textId="77777777" w:rsidR="00A7317C" w:rsidRDefault="00A7317C" w:rsidP="000824F5">
      <w:pPr>
        <w:spacing w:after="120"/>
        <w:textAlignment w:val="baseline"/>
        <w:rPr>
          <w:sz w:val="22"/>
          <w:szCs w:val="22"/>
          <w:lang w:eastAsia="ko-KR"/>
        </w:rPr>
      </w:pPr>
    </w:p>
    <w:p w14:paraId="284E422A" w14:textId="449DDC84" w:rsidR="00AA6B4F" w:rsidRDefault="00AA6B4F" w:rsidP="000824F5">
      <w:pPr>
        <w:spacing w:after="120"/>
        <w:textAlignment w:val="baseline"/>
        <w:rPr>
          <w:sz w:val="22"/>
          <w:szCs w:val="22"/>
          <w:lang w:eastAsia="ko-KR"/>
        </w:rPr>
      </w:pPr>
      <w:r>
        <w:rPr>
          <w:sz w:val="22"/>
          <w:szCs w:val="22"/>
          <w:lang w:eastAsia="ko-KR"/>
        </w:rPr>
        <w:t xml:space="preserve">As described previously, NR V2X service layer does not support service-to-carrier mapping. To support service-to-carrier mapping at service layer requires extra work for upper layer working group which has no time allocation for studying how to map a service type to frequency carriers or carrier components without understanding </w:t>
      </w:r>
      <w:r w:rsidR="00982796">
        <w:rPr>
          <w:sz w:val="22"/>
          <w:szCs w:val="22"/>
          <w:lang w:eastAsia="ko-KR"/>
        </w:rPr>
        <w:t xml:space="preserve">the </w:t>
      </w:r>
      <w:r>
        <w:rPr>
          <w:sz w:val="22"/>
          <w:szCs w:val="22"/>
          <w:lang w:eastAsia="ko-KR"/>
        </w:rPr>
        <w:t>channelization in a geographical area.</w:t>
      </w:r>
    </w:p>
    <w:p w14:paraId="15B3FAEE" w14:textId="120DFA59" w:rsidR="00AA6B4F" w:rsidRDefault="00AA6B4F" w:rsidP="000824F5">
      <w:pPr>
        <w:spacing w:after="120"/>
        <w:textAlignment w:val="baseline"/>
        <w:rPr>
          <w:sz w:val="22"/>
          <w:szCs w:val="22"/>
          <w:lang w:eastAsia="ko-KR"/>
        </w:rPr>
      </w:pPr>
      <w:r>
        <w:rPr>
          <w:sz w:val="22"/>
          <w:szCs w:val="22"/>
          <w:lang w:eastAsia="ko-KR"/>
        </w:rPr>
        <w:t xml:space="preserve">As described in TS 23.287, frequency carriers or carrier components (i.e., frequency resources) are allocated via pre-configuration or configuration (e.g., based on the channelization). Therefore, it’s more suitable for AS layer to select </w:t>
      </w:r>
      <w:r w:rsidR="000824F5">
        <w:rPr>
          <w:sz w:val="22"/>
          <w:szCs w:val="22"/>
          <w:lang w:eastAsia="ko-KR"/>
        </w:rPr>
        <w:t xml:space="preserve">multiple </w:t>
      </w:r>
      <w:r>
        <w:rPr>
          <w:sz w:val="22"/>
          <w:szCs w:val="22"/>
          <w:lang w:eastAsia="ko-KR"/>
        </w:rPr>
        <w:t>carriers or carrier components</w:t>
      </w:r>
      <w:r w:rsidR="000824F5">
        <w:rPr>
          <w:sz w:val="22"/>
          <w:szCs w:val="22"/>
          <w:lang w:eastAsia="ko-KR"/>
        </w:rPr>
        <w:t xml:space="preserve"> for sidelink carrier aggregation or </w:t>
      </w:r>
      <w:r>
        <w:rPr>
          <w:sz w:val="22"/>
          <w:szCs w:val="22"/>
          <w:lang w:eastAsia="ko-KR"/>
        </w:rPr>
        <w:t>a carrier or carrier component supported by legacy UEs for backward compatibility</w:t>
      </w:r>
      <w:r w:rsidR="000824F5">
        <w:rPr>
          <w:sz w:val="22"/>
          <w:szCs w:val="22"/>
          <w:lang w:eastAsia="ko-KR"/>
        </w:rPr>
        <w:t>.</w:t>
      </w:r>
      <w:r>
        <w:rPr>
          <w:sz w:val="22"/>
          <w:szCs w:val="22"/>
          <w:lang w:eastAsia="ko-KR"/>
        </w:rPr>
        <w:t xml:space="preserve"> </w:t>
      </w:r>
    </w:p>
    <w:p w14:paraId="5E5BB49D" w14:textId="370CBB39" w:rsidR="005A3888" w:rsidRPr="000824F5" w:rsidRDefault="005A3888" w:rsidP="000824F5">
      <w:pPr>
        <w:spacing w:after="120"/>
        <w:textAlignment w:val="baseline"/>
        <w:rPr>
          <w:b/>
          <w:bCs/>
          <w:i/>
          <w:iCs/>
          <w:sz w:val="22"/>
          <w:szCs w:val="22"/>
          <w:lang w:eastAsia="ko-KR"/>
        </w:rPr>
      </w:pPr>
      <w:r w:rsidRPr="000824F5">
        <w:rPr>
          <w:b/>
          <w:bCs/>
          <w:i/>
          <w:iCs/>
          <w:sz w:val="22"/>
          <w:szCs w:val="22"/>
          <w:lang w:eastAsia="ko-KR"/>
        </w:rPr>
        <w:t xml:space="preserve">Proposal </w:t>
      </w:r>
      <w:r w:rsidR="000824F5">
        <w:rPr>
          <w:b/>
          <w:bCs/>
          <w:i/>
          <w:iCs/>
          <w:sz w:val="22"/>
          <w:szCs w:val="22"/>
          <w:lang w:eastAsia="ko-KR"/>
        </w:rPr>
        <w:t>2</w:t>
      </w:r>
      <w:r w:rsidRPr="000824F5">
        <w:rPr>
          <w:b/>
          <w:bCs/>
          <w:i/>
          <w:iCs/>
          <w:sz w:val="22"/>
          <w:szCs w:val="22"/>
          <w:lang w:eastAsia="ko-KR"/>
        </w:rPr>
        <w:t xml:space="preserve">. </w:t>
      </w:r>
      <w:r w:rsidR="008F47B7">
        <w:rPr>
          <w:b/>
          <w:bCs/>
          <w:i/>
          <w:iCs/>
          <w:sz w:val="22"/>
          <w:szCs w:val="22"/>
          <w:lang w:eastAsia="ko-KR"/>
        </w:rPr>
        <w:t>Carrier selection for backward compatibility</w:t>
      </w:r>
      <w:r w:rsidR="000824F5" w:rsidRPr="000824F5">
        <w:rPr>
          <w:b/>
          <w:bCs/>
          <w:i/>
          <w:iCs/>
          <w:sz w:val="22"/>
          <w:szCs w:val="22"/>
          <w:lang w:eastAsia="ko-KR"/>
        </w:rPr>
        <w:t xml:space="preserve"> should be </w:t>
      </w:r>
      <w:r w:rsidR="008F47B7">
        <w:rPr>
          <w:b/>
          <w:bCs/>
          <w:i/>
          <w:iCs/>
          <w:sz w:val="22"/>
          <w:szCs w:val="22"/>
          <w:lang w:eastAsia="ko-KR"/>
        </w:rPr>
        <w:t>conducted</w:t>
      </w:r>
      <w:r w:rsidR="000824F5" w:rsidRPr="000824F5">
        <w:rPr>
          <w:b/>
          <w:bCs/>
          <w:i/>
          <w:iCs/>
          <w:sz w:val="22"/>
          <w:szCs w:val="22"/>
          <w:lang w:eastAsia="ko-KR"/>
        </w:rPr>
        <w:t xml:space="preserve"> at AS layer</w:t>
      </w:r>
      <w:r w:rsidR="00242D1E" w:rsidRPr="000824F5">
        <w:rPr>
          <w:b/>
          <w:bCs/>
          <w:i/>
          <w:iCs/>
          <w:sz w:val="22"/>
          <w:szCs w:val="22"/>
          <w:lang w:eastAsia="ko-KR"/>
        </w:rPr>
        <w:t>.</w:t>
      </w:r>
    </w:p>
    <w:p w14:paraId="034395A0" w14:textId="77777777" w:rsidR="00440C2B" w:rsidRPr="00692DEB" w:rsidRDefault="00440C2B" w:rsidP="00440C2B">
      <w:pPr>
        <w:pStyle w:val="Heading1"/>
        <w:rPr>
          <w:b/>
          <w:lang w:val="en-US"/>
        </w:rPr>
      </w:pPr>
      <w:r>
        <w:rPr>
          <w:lang w:val="en-US"/>
        </w:rPr>
        <w:t>Conclusion</w:t>
      </w:r>
    </w:p>
    <w:p w14:paraId="52CFD56B" w14:textId="373C94CF" w:rsidR="004C4F7D" w:rsidRDefault="008E65BF" w:rsidP="00D726D8">
      <w:pPr>
        <w:spacing w:after="120"/>
        <w:rPr>
          <w:color w:val="000000" w:themeColor="text1"/>
          <w:sz w:val="22"/>
          <w:szCs w:val="22"/>
        </w:rPr>
      </w:pPr>
      <w:r w:rsidRPr="00DB0F72">
        <w:rPr>
          <w:color w:val="000000" w:themeColor="text1"/>
          <w:sz w:val="22"/>
          <w:szCs w:val="22"/>
        </w:rPr>
        <w:t xml:space="preserve">In this contribution, we </w:t>
      </w:r>
      <w:bookmarkStart w:id="4" w:name="_Hlk92772570"/>
      <w:r w:rsidR="003A2ABD" w:rsidRPr="00613452">
        <w:rPr>
          <w:color w:val="auto"/>
          <w:sz w:val="22"/>
          <w:szCs w:val="22"/>
        </w:rPr>
        <w:t>discuss</w:t>
      </w:r>
      <w:r w:rsidR="00F26D1D">
        <w:rPr>
          <w:color w:val="auto"/>
          <w:sz w:val="22"/>
          <w:szCs w:val="22"/>
        </w:rPr>
        <w:t>ed</w:t>
      </w:r>
      <w:r w:rsidR="003A2ABD" w:rsidRPr="00613452">
        <w:rPr>
          <w:color w:val="auto"/>
          <w:sz w:val="22"/>
          <w:szCs w:val="22"/>
        </w:rPr>
        <w:t xml:space="preserve"> </w:t>
      </w:r>
      <w:r w:rsidR="004F310D">
        <w:rPr>
          <w:color w:val="auto"/>
          <w:sz w:val="22"/>
          <w:szCs w:val="22"/>
        </w:rPr>
        <w:t>RAN2 scope on sidelink carrier aggregation (CA)</w:t>
      </w:r>
      <w:r w:rsidR="004F0F3B">
        <w:rPr>
          <w:color w:val="auto"/>
          <w:sz w:val="22"/>
          <w:szCs w:val="22"/>
        </w:rPr>
        <w:t xml:space="preserve"> and</w:t>
      </w:r>
      <w:r w:rsidR="00DB0F72">
        <w:rPr>
          <w:color w:val="000000" w:themeColor="text1"/>
          <w:sz w:val="22"/>
          <w:szCs w:val="22"/>
        </w:rPr>
        <w:t xml:space="preserve"> concluded </w:t>
      </w:r>
      <w:r w:rsidR="00DB0F72" w:rsidRPr="00DB0F72">
        <w:rPr>
          <w:color w:val="000000" w:themeColor="text1"/>
          <w:sz w:val="22"/>
          <w:szCs w:val="22"/>
        </w:rPr>
        <w:t xml:space="preserve">with </w:t>
      </w:r>
      <w:r w:rsidR="004C4F7D" w:rsidRPr="00DB0F72">
        <w:rPr>
          <w:color w:val="000000" w:themeColor="text1"/>
          <w:sz w:val="22"/>
          <w:szCs w:val="22"/>
        </w:rPr>
        <w:t xml:space="preserve">the following </w:t>
      </w:r>
      <w:r w:rsidR="008F47B7">
        <w:rPr>
          <w:color w:val="000000" w:themeColor="text1"/>
          <w:sz w:val="22"/>
          <w:szCs w:val="22"/>
        </w:rPr>
        <w:t xml:space="preserve">observations and </w:t>
      </w:r>
      <w:r w:rsidR="004C4F7D" w:rsidRPr="00DB0F72">
        <w:rPr>
          <w:color w:val="000000" w:themeColor="text1"/>
          <w:sz w:val="22"/>
          <w:szCs w:val="22"/>
        </w:rPr>
        <w:t>proposals</w:t>
      </w:r>
      <w:bookmarkEnd w:id="4"/>
      <w:r w:rsidR="004C4F7D" w:rsidRPr="00DB0F72">
        <w:rPr>
          <w:color w:val="000000" w:themeColor="text1"/>
          <w:sz w:val="22"/>
          <w:szCs w:val="22"/>
        </w:rPr>
        <w:t>.</w:t>
      </w:r>
    </w:p>
    <w:p w14:paraId="13EF5313" w14:textId="77777777" w:rsidR="000824F5" w:rsidRPr="00982796" w:rsidRDefault="000824F5" w:rsidP="000824F5">
      <w:pPr>
        <w:spacing w:after="120"/>
        <w:rPr>
          <w:sz w:val="22"/>
          <w:szCs w:val="22"/>
        </w:rPr>
      </w:pPr>
      <w:r w:rsidRPr="00982796">
        <w:rPr>
          <w:b/>
          <w:bCs/>
          <w:sz w:val="22"/>
          <w:szCs w:val="22"/>
          <w:lang w:val="en-GB"/>
        </w:rPr>
        <w:t>Observation 1</w:t>
      </w:r>
      <w:r w:rsidRPr="00982796">
        <w:rPr>
          <w:sz w:val="22"/>
          <w:szCs w:val="22"/>
          <w:lang w:val="en-GB"/>
        </w:rPr>
        <w:t xml:space="preserve">. </w:t>
      </w:r>
      <w:r w:rsidRPr="00982796">
        <w:rPr>
          <w:sz w:val="22"/>
          <w:szCs w:val="22"/>
        </w:rPr>
        <w:t xml:space="preserve">NR V2X service layer maps a service type to frequency band, not frequency carriers or carrier components. </w:t>
      </w:r>
    </w:p>
    <w:p w14:paraId="5F52C549" w14:textId="77777777" w:rsidR="000824F5" w:rsidRPr="00982796" w:rsidRDefault="000824F5" w:rsidP="000824F5">
      <w:pPr>
        <w:spacing w:after="120"/>
        <w:rPr>
          <w:sz w:val="22"/>
          <w:szCs w:val="22"/>
        </w:rPr>
      </w:pPr>
      <w:r w:rsidRPr="00982796">
        <w:rPr>
          <w:b/>
          <w:bCs/>
          <w:sz w:val="22"/>
          <w:szCs w:val="22"/>
        </w:rPr>
        <w:t>Observation 2</w:t>
      </w:r>
      <w:r w:rsidRPr="00982796">
        <w:rPr>
          <w:sz w:val="22"/>
          <w:szCs w:val="22"/>
        </w:rPr>
        <w:t xml:space="preserve">. For NR V2X, frequency carriers or carrier components are preconfigured or configured for a sidelink communication. </w:t>
      </w:r>
    </w:p>
    <w:p w14:paraId="05676301" w14:textId="77777777" w:rsidR="000824F5" w:rsidRPr="00982796" w:rsidRDefault="000824F5" w:rsidP="000824F5">
      <w:pPr>
        <w:spacing w:after="120"/>
        <w:textAlignment w:val="baseline"/>
        <w:rPr>
          <w:sz w:val="22"/>
          <w:szCs w:val="22"/>
        </w:rPr>
      </w:pPr>
      <w:r w:rsidRPr="00982796">
        <w:rPr>
          <w:b/>
          <w:bCs/>
          <w:sz w:val="22"/>
          <w:szCs w:val="22"/>
        </w:rPr>
        <w:t>Proposal 1.</w:t>
      </w:r>
      <w:r w:rsidRPr="00982796">
        <w:rPr>
          <w:sz w:val="22"/>
          <w:szCs w:val="22"/>
        </w:rPr>
        <w:t> RAN2 needs to further discuss how to allocate carriers or carrier components for sidelink carrier aggregation. </w:t>
      </w:r>
    </w:p>
    <w:p w14:paraId="1269C1A3" w14:textId="77777777" w:rsidR="000824F5" w:rsidRPr="00982796" w:rsidRDefault="000824F5" w:rsidP="000824F5">
      <w:pPr>
        <w:spacing w:after="120"/>
        <w:textAlignment w:val="baseline"/>
        <w:rPr>
          <w:sz w:val="22"/>
          <w:szCs w:val="22"/>
          <w:lang w:eastAsia="ko-KR"/>
        </w:rPr>
      </w:pPr>
    </w:p>
    <w:p w14:paraId="7D0DB871" w14:textId="08C36EFF" w:rsidR="000824F5" w:rsidRPr="00982796" w:rsidRDefault="000824F5" w:rsidP="000824F5">
      <w:pPr>
        <w:spacing w:after="120"/>
        <w:textAlignment w:val="baseline"/>
        <w:rPr>
          <w:sz w:val="22"/>
          <w:szCs w:val="22"/>
          <w:lang w:eastAsia="ko-KR"/>
        </w:rPr>
      </w:pPr>
      <w:r w:rsidRPr="00982796">
        <w:rPr>
          <w:b/>
          <w:bCs/>
          <w:sz w:val="22"/>
          <w:szCs w:val="22"/>
          <w:lang w:eastAsia="ko-KR"/>
        </w:rPr>
        <w:lastRenderedPageBreak/>
        <w:t>Proposal 2.</w:t>
      </w:r>
      <w:r w:rsidRPr="00982796">
        <w:rPr>
          <w:sz w:val="22"/>
          <w:szCs w:val="22"/>
          <w:lang w:eastAsia="ko-KR"/>
        </w:rPr>
        <w:t xml:space="preserve"> </w:t>
      </w:r>
      <w:r w:rsidR="008F47B7" w:rsidRPr="00982796">
        <w:rPr>
          <w:sz w:val="22"/>
          <w:szCs w:val="22"/>
          <w:lang w:eastAsia="ko-KR"/>
        </w:rPr>
        <w:t>Carrier selection for backward compatibility should be conducted at AS layer</w:t>
      </w:r>
      <w:r w:rsidRPr="00982796">
        <w:rPr>
          <w:sz w:val="22"/>
          <w:szCs w:val="22"/>
          <w:lang w:eastAsia="ko-KR"/>
        </w:rPr>
        <w:t>.</w:t>
      </w:r>
    </w:p>
    <w:p w14:paraId="084538FD" w14:textId="77777777" w:rsidR="00C20C06" w:rsidRPr="00692DEB" w:rsidRDefault="004B3D91" w:rsidP="005B4F84">
      <w:pPr>
        <w:pStyle w:val="Heading1"/>
        <w:rPr>
          <w:lang w:val="en-US"/>
        </w:rPr>
      </w:pPr>
      <w:r w:rsidRPr="00692DEB">
        <w:rPr>
          <w:lang w:val="en-US"/>
        </w:rPr>
        <w:t>References</w:t>
      </w:r>
    </w:p>
    <w:p w14:paraId="1A3A9425" w14:textId="26D8D777" w:rsidR="005F30BB" w:rsidRDefault="005F30BB" w:rsidP="008F47B7">
      <w:pPr>
        <w:pStyle w:val="ZT"/>
        <w:framePr w:wrap="auto" w:hAnchor="text" w:yAlign="inline"/>
        <w:spacing w:after="120" w:line="240" w:lineRule="auto"/>
        <w:ind w:left="360" w:hanging="360"/>
        <w:jc w:val="left"/>
        <w:rPr>
          <w:rFonts w:ascii="Times New Roman" w:hAnsi="Times New Roman"/>
          <w:b w:val="0"/>
          <w:bCs/>
          <w:color w:val="000000"/>
          <w:sz w:val="22"/>
          <w:szCs w:val="22"/>
          <w:lang w:val="en-US"/>
        </w:rPr>
      </w:pPr>
      <w:bookmarkStart w:id="5" w:name="_Hlk115357799"/>
      <w:r>
        <w:rPr>
          <w:rFonts w:ascii="Times New Roman" w:hAnsi="Times New Roman"/>
          <w:b w:val="0"/>
          <w:bCs/>
          <w:color w:val="000000"/>
          <w:sz w:val="22"/>
          <w:szCs w:val="22"/>
          <w:lang w:val="en-US"/>
        </w:rPr>
        <w:t>[1]</w:t>
      </w:r>
      <w:r w:rsidRPr="00A4032D">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Session chair’s meeting note, “</w:t>
      </w:r>
      <w:r w:rsidRPr="002F3398">
        <w:rPr>
          <w:rFonts w:ascii="Times New Roman" w:hAnsi="Times New Roman"/>
          <w:b w:val="0"/>
          <w:bCs/>
          <w:color w:val="000000"/>
          <w:sz w:val="22"/>
          <w:szCs w:val="22"/>
          <w:lang w:val="en-US"/>
        </w:rPr>
        <w:t>RAN2-121bis-e_R16_NR SL_R17&amp;R18_NR SL enh_20230425-EOM_r1</w:t>
      </w:r>
      <w:r>
        <w:rPr>
          <w:rFonts w:ascii="Times New Roman" w:hAnsi="Times New Roman"/>
          <w:b w:val="0"/>
          <w:bCs/>
          <w:color w:val="000000"/>
          <w:sz w:val="22"/>
          <w:szCs w:val="22"/>
          <w:lang w:val="en-US"/>
        </w:rPr>
        <w:t xml:space="preserve">”, </w:t>
      </w:r>
      <w:r w:rsidRPr="003B29C6">
        <w:rPr>
          <w:rFonts w:ascii="Times New Roman" w:hAnsi="Times New Roman"/>
          <w:b w:val="0"/>
          <w:bCs/>
          <w:color w:val="000000"/>
          <w:sz w:val="22"/>
          <w:szCs w:val="22"/>
          <w:lang w:val="en-US"/>
        </w:rPr>
        <w:t>3GPP TSG RAN</w:t>
      </w:r>
      <w:r>
        <w:rPr>
          <w:rFonts w:ascii="Times New Roman" w:hAnsi="Times New Roman"/>
          <w:b w:val="0"/>
          <w:bCs/>
          <w:color w:val="000000"/>
          <w:sz w:val="22"/>
          <w:szCs w:val="22"/>
          <w:lang w:val="en-US"/>
        </w:rPr>
        <w:t>2</w:t>
      </w:r>
      <w:r w:rsidRPr="003B29C6">
        <w:rPr>
          <w:rFonts w:ascii="Times New Roman" w:hAnsi="Times New Roman"/>
          <w:b w:val="0"/>
          <w:bCs/>
          <w:color w:val="000000"/>
          <w:sz w:val="22"/>
          <w:szCs w:val="22"/>
          <w:lang w:val="en-US"/>
        </w:rPr>
        <w:t xml:space="preserve"> #</w:t>
      </w:r>
      <w:r>
        <w:rPr>
          <w:rFonts w:ascii="Times New Roman" w:hAnsi="Times New Roman"/>
          <w:b w:val="0"/>
          <w:bCs/>
          <w:color w:val="000000"/>
          <w:sz w:val="22"/>
          <w:szCs w:val="22"/>
          <w:lang w:val="en-US"/>
        </w:rPr>
        <w:t xml:space="preserve">121-bis </w:t>
      </w:r>
      <w:r w:rsidRPr="003B29C6">
        <w:rPr>
          <w:rFonts w:ascii="Times New Roman" w:hAnsi="Times New Roman"/>
          <w:b w:val="0"/>
          <w:bCs/>
          <w:color w:val="000000"/>
          <w:sz w:val="22"/>
          <w:szCs w:val="22"/>
          <w:lang w:val="en-US"/>
        </w:rPr>
        <w:t>e</w:t>
      </w:r>
      <w:r>
        <w:rPr>
          <w:rFonts w:ascii="Times New Roman" w:hAnsi="Times New Roman"/>
          <w:b w:val="0"/>
          <w:bCs/>
          <w:color w:val="000000"/>
          <w:sz w:val="22"/>
          <w:szCs w:val="22"/>
          <w:lang w:val="en-US"/>
        </w:rPr>
        <w:t xml:space="preserve">-meeting, </w:t>
      </w:r>
      <w:r w:rsidRPr="002F3398">
        <w:rPr>
          <w:rFonts w:ascii="Times New Roman" w:hAnsi="Times New Roman"/>
          <w:b w:val="0"/>
          <w:bCs/>
          <w:color w:val="000000"/>
          <w:sz w:val="22"/>
          <w:szCs w:val="22"/>
          <w:lang w:val="en-US"/>
        </w:rPr>
        <w:t>Apr</w:t>
      </w:r>
      <w:r>
        <w:rPr>
          <w:rFonts w:ascii="Times New Roman" w:hAnsi="Times New Roman"/>
          <w:b w:val="0"/>
          <w:bCs/>
          <w:color w:val="000000"/>
          <w:sz w:val="22"/>
          <w:szCs w:val="22"/>
          <w:lang w:val="en-US"/>
        </w:rPr>
        <w:t>il</w:t>
      </w:r>
      <w:r w:rsidRPr="002F3398">
        <w:rPr>
          <w:rFonts w:ascii="Times New Roman" w:hAnsi="Times New Roman"/>
          <w:b w:val="0"/>
          <w:bCs/>
          <w:color w:val="000000"/>
          <w:sz w:val="22"/>
          <w:szCs w:val="22"/>
          <w:lang w:val="en-US"/>
        </w:rPr>
        <w:t xml:space="preserve"> 17 – 26, 2023</w:t>
      </w:r>
      <w:r>
        <w:rPr>
          <w:rFonts w:ascii="Times New Roman" w:hAnsi="Times New Roman"/>
          <w:b w:val="0"/>
          <w:bCs/>
          <w:color w:val="000000"/>
          <w:sz w:val="22"/>
          <w:szCs w:val="22"/>
          <w:lang w:val="en-US"/>
        </w:rPr>
        <w:t>.</w:t>
      </w:r>
    </w:p>
    <w:p w14:paraId="27810D03" w14:textId="69AEF36E" w:rsidR="00BC10E1" w:rsidRDefault="005F30BB" w:rsidP="008F47B7">
      <w:pPr>
        <w:pStyle w:val="ZT"/>
        <w:framePr w:wrap="auto" w:hAnchor="text" w:yAlign="inline"/>
        <w:spacing w:after="120" w:line="240" w:lineRule="auto"/>
        <w:ind w:left="360" w:hanging="360"/>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 xml:space="preserve">[2] </w:t>
      </w:r>
      <w:r w:rsidR="00BC10E1">
        <w:rPr>
          <w:rFonts w:ascii="Times New Roman" w:hAnsi="Times New Roman"/>
          <w:b w:val="0"/>
          <w:bCs/>
          <w:color w:val="000000"/>
          <w:sz w:val="22"/>
          <w:szCs w:val="22"/>
          <w:lang w:val="en-US"/>
        </w:rPr>
        <w:t xml:space="preserve">3GPP </w:t>
      </w:r>
      <w:r w:rsidR="00BC10E1" w:rsidRPr="00BC10E1">
        <w:rPr>
          <w:rFonts w:ascii="Times New Roman" w:hAnsi="Times New Roman"/>
          <w:b w:val="0"/>
          <w:bCs/>
          <w:color w:val="000000"/>
          <w:sz w:val="22"/>
          <w:szCs w:val="22"/>
          <w:lang w:val="en-US"/>
        </w:rPr>
        <w:t xml:space="preserve">TS 23.287 </w:t>
      </w:r>
      <w:r w:rsidR="00BC10E1">
        <w:rPr>
          <w:rFonts w:ascii="Times New Roman" w:hAnsi="Times New Roman"/>
          <w:b w:val="0"/>
          <w:bCs/>
          <w:color w:val="000000"/>
          <w:sz w:val="22"/>
          <w:szCs w:val="22"/>
          <w:lang w:val="en-US"/>
        </w:rPr>
        <w:t>“</w:t>
      </w:r>
      <w:r w:rsidR="00BC10E1" w:rsidRPr="00BC10E1">
        <w:rPr>
          <w:rFonts w:ascii="Times New Roman" w:hAnsi="Times New Roman"/>
          <w:b w:val="0"/>
          <w:bCs/>
          <w:color w:val="000000"/>
          <w:sz w:val="22"/>
          <w:szCs w:val="22"/>
          <w:lang w:val="en-US"/>
        </w:rPr>
        <w:t>Architecture enhancements for 5G System (5GS) to support Vehicle-to-Everything (V2X) services</w:t>
      </w:r>
      <w:r w:rsidR="00BC10E1">
        <w:rPr>
          <w:rFonts w:ascii="Times New Roman" w:hAnsi="Times New Roman"/>
          <w:b w:val="0"/>
          <w:bCs/>
          <w:color w:val="000000"/>
          <w:sz w:val="22"/>
          <w:szCs w:val="22"/>
          <w:lang w:val="en-US"/>
        </w:rPr>
        <w:t xml:space="preserve"> </w:t>
      </w:r>
      <w:r w:rsidR="00BC10E1" w:rsidRPr="00646CFA">
        <w:rPr>
          <w:rFonts w:ascii="Times New Roman" w:hAnsi="Times New Roman"/>
          <w:b w:val="0"/>
          <w:bCs/>
          <w:color w:val="000000"/>
          <w:sz w:val="22"/>
          <w:szCs w:val="22"/>
          <w:lang w:val="en-US"/>
        </w:rPr>
        <w:t>(Release 17)</w:t>
      </w:r>
      <w:r w:rsidR="00BC10E1" w:rsidRPr="00227C1E">
        <w:rPr>
          <w:rFonts w:ascii="Times New Roman" w:hAnsi="Times New Roman"/>
          <w:b w:val="0"/>
          <w:bCs/>
          <w:color w:val="000000"/>
          <w:sz w:val="22"/>
          <w:szCs w:val="22"/>
          <w:lang w:val="en-US"/>
        </w:rPr>
        <w:t>”</w:t>
      </w:r>
      <w:r w:rsidR="00BC10E1">
        <w:rPr>
          <w:rFonts w:ascii="Times New Roman" w:hAnsi="Times New Roman"/>
          <w:b w:val="0"/>
          <w:bCs/>
          <w:color w:val="000000"/>
          <w:sz w:val="22"/>
          <w:szCs w:val="22"/>
          <w:lang w:val="en-US"/>
        </w:rPr>
        <w:t xml:space="preserve">, </w:t>
      </w:r>
      <w:r w:rsidR="00BC10E1" w:rsidRPr="00BC10E1">
        <w:rPr>
          <w:rFonts w:ascii="Times New Roman" w:hAnsi="Times New Roman"/>
          <w:b w:val="0"/>
          <w:bCs/>
          <w:color w:val="000000"/>
          <w:sz w:val="22"/>
          <w:szCs w:val="22"/>
          <w:lang w:val="en-US"/>
        </w:rPr>
        <w:t>V</w:t>
      </w:r>
      <w:r w:rsidR="00BC10E1">
        <w:rPr>
          <w:rFonts w:ascii="Times New Roman" w:hAnsi="Times New Roman"/>
          <w:b w:val="0"/>
          <w:bCs/>
          <w:color w:val="000000"/>
          <w:sz w:val="22"/>
          <w:szCs w:val="22"/>
          <w:lang w:val="en-US"/>
        </w:rPr>
        <w:t xml:space="preserve">ersion </w:t>
      </w:r>
      <w:r w:rsidR="00BC10E1" w:rsidRPr="00BC10E1">
        <w:rPr>
          <w:rFonts w:ascii="Times New Roman" w:hAnsi="Times New Roman"/>
          <w:b w:val="0"/>
          <w:bCs/>
          <w:color w:val="000000"/>
          <w:sz w:val="22"/>
          <w:szCs w:val="22"/>
          <w:lang w:val="en-US"/>
        </w:rPr>
        <w:t>17.5.0 (2022-12)</w:t>
      </w:r>
      <w:r w:rsidR="00BC10E1" w:rsidRPr="00227C1E">
        <w:rPr>
          <w:rFonts w:ascii="Times New Roman" w:hAnsi="Times New Roman"/>
          <w:b w:val="0"/>
          <w:bCs/>
          <w:color w:val="000000"/>
          <w:sz w:val="22"/>
          <w:szCs w:val="22"/>
          <w:lang w:val="en-US"/>
        </w:rPr>
        <w:t>.</w:t>
      </w:r>
    </w:p>
    <w:p w14:paraId="09A92EEF" w14:textId="58288072" w:rsidR="000E5599" w:rsidRDefault="005F30BB" w:rsidP="008F47B7">
      <w:pPr>
        <w:pStyle w:val="ZT"/>
        <w:framePr w:wrap="auto" w:hAnchor="text" w:yAlign="inline"/>
        <w:spacing w:after="120" w:line="240" w:lineRule="auto"/>
        <w:ind w:left="360" w:hanging="360"/>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 xml:space="preserve">[3] </w:t>
      </w:r>
      <w:r w:rsidRPr="000C6100">
        <w:rPr>
          <w:rFonts w:ascii="Times New Roman" w:hAnsi="Times New Roman"/>
          <w:b w:val="0"/>
          <w:bCs/>
          <w:color w:val="000000"/>
          <w:sz w:val="22"/>
          <w:szCs w:val="22"/>
          <w:lang w:val="en-US"/>
        </w:rPr>
        <w:t>R2-2306545</w:t>
      </w:r>
      <w:r w:rsidRPr="00A4032D">
        <w:rPr>
          <w:rFonts w:ascii="Times New Roman" w:hAnsi="Times New Roman"/>
          <w:b w:val="0"/>
          <w:bCs/>
          <w:color w:val="000000"/>
          <w:sz w:val="22"/>
          <w:szCs w:val="22"/>
          <w:lang w:val="en-US"/>
        </w:rPr>
        <w:t xml:space="preserve"> “Report from session on LTE V2X and NR SL” Session chair (Samsung), RAN2 #12</w:t>
      </w:r>
      <w:r>
        <w:rPr>
          <w:rFonts w:ascii="Times New Roman" w:hAnsi="Times New Roman"/>
          <w:b w:val="0"/>
          <w:bCs/>
          <w:color w:val="000000"/>
          <w:sz w:val="22"/>
          <w:szCs w:val="22"/>
          <w:lang w:val="en-US"/>
        </w:rPr>
        <w:t>2</w:t>
      </w:r>
      <w:r w:rsidRPr="00A4032D">
        <w:rPr>
          <w:rFonts w:ascii="Times New Roman" w:hAnsi="Times New Roman"/>
          <w:sz w:val="22"/>
          <w:szCs w:val="22"/>
        </w:rPr>
        <w:t xml:space="preserve"> </w:t>
      </w:r>
      <w:r w:rsidRPr="000C6100">
        <w:rPr>
          <w:rFonts w:ascii="Times New Roman" w:hAnsi="Times New Roman"/>
          <w:b w:val="0"/>
          <w:bCs/>
          <w:color w:val="000000"/>
          <w:sz w:val="22"/>
          <w:szCs w:val="22"/>
          <w:lang w:val="en-US"/>
        </w:rPr>
        <w:t>Incheon, South Korea, May 22 – 26 2023</w:t>
      </w:r>
      <w:r w:rsidRPr="00A4032D">
        <w:rPr>
          <w:rFonts w:ascii="Times New Roman" w:hAnsi="Times New Roman"/>
          <w:b w:val="0"/>
          <w:bCs/>
          <w:color w:val="000000"/>
          <w:sz w:val="22"/>
          <w:szCs w:val="22"/>
          <w:lang w:val="en-US"/>
        </w:rPr>
        <w:t xml:space="preserve">. </w:t>
      </w:r>
      <w:r w:rsidR="00542F23">
        <w:rPr>
          <w:rFonts w:ascii="Times New Roman" w:hAnsi="Times New Roman"/>
          <w:b w:val="0"/>
          <w:bCs/>
          <w:color w:val="000000"/>
          <w:sz w:val="22"/>
          <w:szCs w:val="22"/>
          <w:lang w:val="en-US"/>
        </w:rPr>
        <w:t xml:space="preserve"> </w:t>
      </w:r>
      <w:bookmarkEnd w:id="5"/>
    </w:p>
    <w:p w14:paraId="76B65D31" w14:textId="77777777" w:rsidR="00C93F57" w:rsidRDefault="00C93F57" w:rsidP="00F26D1D">
      <w:pPr>
        <w:pStyle w:val="ZT"/>
        <w:framePr w:wrap="auto" w:hAnchor="text" w:yAlign="inline"/>
        <w:spacing w:after="120" w:line="240" w:lineRule="auto"/>
        <w:jc w:val="left"/>
        <w:rPr>
          <w:rFonts w:ascii="Times New Roman" w:hAnsi="Times New Roman"/>
          <w:b w:val="0"/>
          <w:bCs/>
          <w:color w:val="000000"/>
          <w:sz w:val="22"/>
          <w:szCs w:val="22"/>
          <w:lang w:val="en-US"/>
        </w:rPr>
      </w:pPr>
    </w:p>
    <w:sectPr w:rsidR="00C93F57">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956C9" w14:textId="77777777" w:rsidR="00675D8C" w:rsidRDefault="00675D8C">
      <w:r>
        <w:separator/>
      </w:r>
    </w:p>
    <w:p w14:paraId="16031FA2" w14:textId="77777777" w:rsidR="00675D8C" w:rsidRDefault="00675D8C"/>
  </w:endnote>
  <w:endnote w:type="continuationSeparator" w:id="0">
    <w:p w14:paraId="2EBAD181" w14:textId="77777777" w:rsidR="00675D8C" w:rsidRDefault="00675D8C">
      <w:r>
        <w:continuationSeparator/>
      </w:r>
    </w:p>
    <w:p w14:paraId="50040F0A" w14:textId="77777777" w:rsidR="00675D8C" w:rsidRDefault="00675D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3" w:usb1="00000000" w:usb2="00000000" w:usb3="00000000" w:csb0="0000004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3F7E3" w14:textId="77777777" w:rsidR="00675D8C" w:rsidRDefault="00675D8C">
      <w:r>
        <w:separator/>
      </w:r>
    </w:p>
    <w:p w14:paraId="4759769D" w14:textId="77777777" w:rsidR="00675D8C" w:rsidRDefault="00675D8C"/>
  </w:footnote>
  <w:footnote w:type="continuationSeparator" w:id="0">
    <w:p w14:paraId="773514BD" w14:textId="77777777" w:rsidR="00675D8C" w:rsidRDefault="00675D8C">
      <w:r>
        <w:continuationSeparator/>
      </w:r>
    </w:p>
    <w:p w14:paraId="4A69948A" w14:textId="77777777" w:rsidR="00675D8C" w:rsidRDefault="00675D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5"/>
  </w:num>
  <w:num w:numId="2" w16cid:durableId="1542982269">
    <w:abstractNumId w:val="13"/>
  </w:num>
  <w:num w:numId="3" w16cid:durableId="89743588">
    <w:abstractNumId w:val="6"/>
  </w:num>
  <w:num w:numId="4" w16cid:durableId="545223178">
    <w:abstractNumId w:val="12"/>
  </w:num>
  <w:num w:numId="5" w16cid:durableId="423693691">
    <w:abstractNumId w:val="0"/>
  </w:num>
  <w:num w:numId="6" w16cid:durableId="1419671084">
    <w:abstractNumId w:val="4"/>
  </w:num>
  <w:num w:numId="7" w16cid:durableId="244341172">
    <w:abstractNumId w:val="8"/>
  </w:num>
  <w:num w:numId="8" w16cid:durableId="581263184">
    <w:abstractNumId w:val="10"/>
  </w:num>
  <w:num w:numId="9" w16cid:durableId="807547945">
    <w:abstractNumId w:val="3"/>
  </w:num>
  <w:num w:numId="10" w16cid:durableId="864633928">
    <w:abstractNumId w:val="14"/>
  </w:num>
  <w:num w:numId="11" w16cid:durableId="586351984">
    <w:abstractNumId w:val="7"/>
  </w:num>
  <w:num w:numId="12" w16cid:durableId="543250717">
    <w:abstractNumId w:val="2"/>
  </w:num>
  <w:num w:numId="13" w16cid:durableId="1913655272">
    <w:abstractNumId w:val="5"/>
  </w:num>
  <w:num w:numId="14" w16cid:durableId="1869178335">
    <w:abstractNumId w:val="11"/>
  </w:num>
  <w:num w:numId="15" w16cid:durableId="16281243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96839305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6F14"/>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1E80"/>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0EDD"/>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1199</Words>
  <Characters>6837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3</cp:revision>
  <cp:lastPrinted>2017-03-22T20:13:00Z</cp:lastPrinted>
  <dcterms:created xsi:type="dcterms:W3CDTF">2023-08-10T23:12:00Z</dcterms:created>
  <dcterms:modified xsi:type="dcterms:W3CDTF">2023-08-11T05:19:00Z</dcterms:modified>
</cp:coreProperties>
</file>