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115FE971"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6D397C">
        <w:rPr>
          <w:sz w:val="24"/>
          <w:lang w:eastAsia="zh-CN"/>
        </w:rPr>
        <w:t>3</w:t>
      </w:r>
      <w:r w:rsidR="00C44AFE">
        <w:rPr>
          <w:sz w:val="24"/>
          <w:lang w:eastAsia="zh-CN"/>
        </w:rPr>
        <w:t xml:space="preserve">       </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236A6D" w:rsidRPr="00236A6D">
        <w:rPr>
          <w:bCs/>
          <w:noProof w:val="0"/>
          <w:sz w:val="24"/>
        </w:rPr>
        <w:t>R2-2308081</w:t>
      </w:r>
    </w:p>
    <w:p w14:paraId="2B60AF3C" w14:textId="00D603BA" w:rsidR="00EB410E" w:rsidRDefault="006D397C" w:rsidP="00ED7D99">
      <w:pPr>
        <w:pStyle w:val="CRCoverPage"/>
        <w:spacing w:after="240"/>
        <w:outlineLvl w:val="0"/>
        <w:rPr>
          <w:b/>
          <w:sz w:val="24"/>
        </w:rPr>
      </w:pPr>
      <w:r w:rsidRPr="006D397C">
        <w:rPr>
          <w:b/>
          <w:sz w:val="24"/>
        </w:rPr>
        <w:t>Toulouse, France, August 21-25, 2023</w:t>
      </w:r>
    </w:p>
    <w:p w14:paraId="012E2D7F" w14:textId="5A7DCD6F"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730F58">
        <w:rPr>
          <w:rFonts w:ascii="Arial" w:hAnsi="Arial" w:cs="Arial"/>
          <w:b/>
          <w:bCs/>
          <w:sz w:val="24"/>
        </w:rPr>
        <w:t>Agenda item:</w:t>
      </w:r>
      <w:r w:rsidRPr="00730F58">
        <w:rPr>
          <w:rFonts w:ascii="Arial" w:hAnsi="Arial" w:cs="Arial"/>
          <w:bCs/>
          <w:sz w:val="24"/>
        </w:rPr>
        <w:tab/>
      </w:r>
      <w:r w:rsidR="004801AB" w:rsidRPr="00292DFE">
        <w:rPr>
          <w:rFonts w:ascii="Arial" w:hAnsi="Arial" w:cs="Arial"/>
          <w:bCs/>
          <w:sz w:val="24"/>
        </w:rPr>
        <w:t>7.18.</w:t>
      </w:r>
      <w:r w:rsidR="00F0320E">
        <w:rPr>
          <w:rFonts w:ascii="Arial" w:hAnsi="Arial" w:cs="Arial"/>
          <w:bCs/>
          <w:sz w:val="24"/>
        </w:rPr>
        <w:t>3</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256F2FF3"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A400FD">
        <w:rPr>
          <w:rFonts w:ascii="Arial" w:hAnsi="Arial" w:cs="Arial"/>
          <w:bCs/>
          <w:sz w:val="24"/>
        </w:rPr>
        <w:t xml:space="preserve">MT SDT </w:t>
      </w:r>
      <w:r w:rsidR="003D2DB2" w:rsidRPr="003D2DB2">
        <w:rPr>
          <w:rFonts w:ascii="Arial" w:hAnsi="Arial" w:cs="Arial"/>
          <w:bCs/>
          <w:sz w:val="24"/>
        </w:rPr>
        <w:t xml:space="preserve">– </w:t>
      </w:r>
      <w:r w:rsidR="003D2DB2">
        <w:rPr>
          <w:rFonts w:ascii="Arial" w:hAnsi="Arial" w:cs="Arial"/>
          <w:bCs/>
          <w:sz w:val="24"/>
        </w:rPr>
        <w:t>UP</w:t>
      </w:r>
      <w:r w:rsidR="003D2DB2" w:rsidRPr="003D2DB2">
        <w:rPr>
          <w:rFonts w:ascii="Arial" w:hAnsi="Arial" w:cs="Arial"/>
          <w:bCs/>
          <w:sz w:val="24"/>
        </w:rPr>
        <w:t xml:space="preserve"> Open Topics on </w:t>
      </w:r>
      <w:r w:rsidR="00C275AC">
        <w:rPr>
          <w:rFonts w:ascii="Arial" w:hAnsi="Arial" w:cs="Arial"/>
          <w:bCs/>
          <w:sz w:val="24"/>
        </w:rPr>
        <w:t>ROHC</w:t>
      </w:r>
      <w:r w:rsidR="002200CC">
        <w:rPr>
          <w:rFonts w:ascii="Arial" w:hAnsi="Arial" w:cs="Arial"/>
          <w:bCs/>
          <w:sz w:val="24"/>
        </w:rPr>
        <w:t xml:space="preserve"> and DVT</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305AEB">
      <w:pPr>
        <w:pStyle w:val="Heading1"/>
        <w:numPr>
          <w:ilvl w:val="0"/>
          <w:numId w:val="2"/>
        </w:numPr>
      </w:pPr>
      <w:r>
        <w:t>Introduction</w:t>
      </w:r>
    </w:p>
    <w:p w14:paraId="001A8E44" w14:textId="54F24B5C" w:rsidR="00EB410E" w:rsidRDefault="00472A30" w:rsidP="00EB410E">
      <w:pPr>
        <w:jc w:val="both"/>
        <w:rPr>
          <w:lang w:val="en-GB"/>
        </w:rPr>
      </w:pPr>
      <w:bookmarkStart w:id="1" w:name="Proposal_Pattern_Length"/>
      <w:r>
        <w:rPr>
          <w:lang w:val="en-GB"/>
        </w:rPr>
        <w:t>This document continue</w:t>
      </w:r>
      <w:r w:rsidR="009E3825">
        <w:rPr>
          <w:lang w:val="en-GB"/>
        </w:rPr>
        <w:t>s</w:t>
      </w:r>
      <w:r>
        <w:rPr>
          <w:lang w:val="en-GB"/>
        </w:rPr>
        <w:t xml:space="preserve"> discussion on remaining open items to enable</w:t>
      </w:r>
      <w:r w:rsidR="009E3825">
        <w:rPr>
          <w:lang w:val="en-GB"/>
        </w:rPr>
        <w:t xml:space="preserve"> MT SDT mechanism</w:t>
      </w:r>
      <w:r w:rsidR="00F06840">
        <w:rPr>
          <w:lang w:val="en-GB"/>
        </w:rPr>
        <w:t xml:space="preserve"> focusing on user plane topics</w:t>
      </w:r>
      <w:r w:rsidR="00B01C0F">
        <w:rPr>
          <w:lang w:val="en-GB"/>
        </w:rPr>
        <w:t xml:space="preserve"> mainly</w:t>
      </w:r>
      <w:r w:rsidR="00F06840">
        <w:rPr>
          <w:lang w:val="en-GB"/>
        </w:rPr>
        <w:t xml:space="preserve"> </w:t>
      </w:r>
      <w:r w:rsidR="00B01C0F">
        <w:rPr>
          <w:lang w:val="en-GB"/>
        </w:rPr>
        <w:t>associated with ROHC</w:t>
      </w:r>
      <w:r w:rsidR="009C628E">
        <w:rPr>
          <w:lang w:val="en-GB"/>
        </w:rPr>
        <w:t xml:space="preserve"> and DVT</w:t>
      </w:r>
      <w:r w:rsidR="009E3825">
        <w:rPr>
          <w:lang w:val="en-GB"/>
        </w:rPr>
        <w:t>.</w:t>
      </w:r>
      <w:r w:rsidR="00B01C0F">
        <w:rPr>
          <w:lang w:val="en-GB"/>
        </w:rPr>
        <w:t xml:space="preserve"> </w:t>
      </w:r>
    </w:p>
    <w:p w14:paraId="79A42B9D" w14:textId="77777777" w:rsidR="00EB410E" w:rsidRDefault="00EB410E" w:rsidP="00305AEB">
      <w:pPr>
        <w:pStyle w:val="Heading1"/>
        <w:numPr>
          <w:ilvl w:val="0"/>
          <w:numId w:val="2"/>
        </w:numPr>
      </w:pPr>
      <w:r>
        <w:t>Discussion</w:t>
      </w:r>
    </w:p>
    <w:p w14:paraId="387989DE" w14:textId="1FDB07BF" w:rsidR="00B320C7" w:rsidRDefault="00465D05" w:rsidP="00305AEB">
      <w:pPr>
        <w:pStyle w:val="Heading2"/>
      </w:pPr>
      <w:r>
        <w:t>ROHC</w:t>
      </w:r>
      <w:r w:rsidR="00B320C7">
        <w:t xml:space="preserve"> configuration for MT-SDT</w:t>
      </w:r>
    </w:p>
    <w:p w14:paraId="58DEA602" w14:textId="440B96EA" w:rsidR="00D47439" w:rsidRDefault="00D47439" w:rsidP="00D47439">
      <w:pPr>
        <w:spacing w:before="240"/>
        <w:jc w:val="both"/>
      </w:pPr>
      <w:r>
        <w:t xml:space="preserve">For Rel-17 MO-SDT, </w:t>
      </w:r>
      <w:proofErr w:type="spellStart"/>
      <w:r>
        <w:t>RRCRelease</w:t>
      </w:r>
      <w:proofErr w:type="spellEnd"/>
      <w:r>
        <w:t xml:space="preserve"> message indicates the UE </w:t>
      </w:r>
      <w:r w:rsidR="001A4F0F">
        <w:t>should continue or reset ROHC header compression protocol during resume for SDT as explained in TS 38.331:</w:t>
      </w:r>
    </w:p>
    <w:p w14:paraId="709379E2" w14:textId="77777777" w:rsidR="00D47439" w:rsidRPr="00FF7E4A" w:rsidRDefault="00D47439" w:rsidP="00766420">
      <w:pPr>
        <w:pBdr>
          <w:top w:val="single" w:sz="4" w:space="1" w:color="auto"/>
          <w:left w:val="single" w:sz="4" w:space="4" w:color="auto"/>
          <w:bottom w:val="single" w:sz="4" w:space="1" w:color="auto"/>
          <w:right w:val="single" w:sz="4" w:space="4" w:color="auto"/>
        </w:pBdr>
        <w:spacing w:before="240" w:after="60"/>
        <w:ind w:left="360"/>
        <w:jc w:val="both"/>
        <w:rPr>
          <w:b/>
          <w:bCs/>
          <w:i/>
          <w:iCs/>
        </w:rPr>
      </w:pPr>
      <w:proofErr w:type="spellStart"/>
      <w:r w:rsidRPr="00FF7E4A">
        <w:rPr>
          <w:b/>
          <w:bCs/>
          <w:i/>
          <w:iCs/>
        </w:rPr>
        <w:t>sdt</w:t>
      </w:r>
      <w:proofErr w:type="spellEnd"/>
      <w:r w:rsidRPr="00FF7E4A">
        <w:rPr>
          <w:b/>
          <w:bCs/>
          <w:i/>
          <w:iCs/>
        </w:rPr>
        <w:t>-DRB-</w:t>
      </w:r>
      <w:proofErr w:type="spellStart"/>
      <w:r w:rsidRPr="00FF7E4A">
        <w:rPr>
          <w:b/>
          <w:bCs/>
          <w:i/>
          <w:iCs/>
        </w:rPr>
        <w:t>ContinueROHC</w:t>
      </w:r>
      <w:proofErr w:type="spellEnd"/>
      <w:r w:rsidRPr="00FF7E4A">
        <w:rPr>
          <w:b/>
          <w:bCs/>
          <w:i/>
          <w:iCs/>
        </w:rPr>
        <w:t xml:space="preserve"> </w:t>
      </w:r>
    </w:p>
    <w:p w14:paraId="64B7C72A" w14:textId="77777777" w:rsidR="00D47439" w:rsidRPr="00305AEB" w:rsidRDefault="00D47439" w:rsidP="00766420">
      <w:pPr>
        <w:pBdr>
          <w:top w:val="single" w:sz="4" w:space="1" w:color="auto"/>
          <w:left w:val="single" w:sz="4" w:space="4" w:color="auto"/>
          <w:bottom w:val="single" w:sz="4" w:space="1" w:color="auto"/>
          <w:right w:val="single" w:sz="4" w:space="4" w:color="auto"/>
        </w:pBdr>
        <w:ind w:left="360"/>
        <w:jc w:val="both"/>
        <w:rPr>
          <w:i/>
          <w:iCs/>
        </w:rPr>
      </w:pPr>
      <w:r w:rsidRPr="00305AEB">
        <w:rPr>
          <w:i/>
          <w:iCs/>
          <w:highlight w:val="yellow"/>
        </w:rPr>
        <w:t>Indicates whether the PDCP entity of the radio bearers configured for SDT continues or resets the ROHC header compression protocol during PDCP re-establishment during SDT procedure, as specified in TS 38.323</w:t>
      </w:r>
      <w:r w:rsidRPr="00305AEB">
        <w:rPr>
          <w:i/>
          <w:iCs/>
        </w:rPr>
        <w:t xml:space="preserve"> [5]. Value cell indicates that ROHC header compression continues when the UE resumes for SDT in the same cell as the </w:t>
      </w:r>
      <w:proofErr w:type="spellStart"/>
      <w:r w:rsidRPr="00305AEB">
        <w:rPr>
          <w:i/>
          <w:iCs/>
        </w:rPr>
        <w:t>PCell</w:t>
      </w:r>
      <w:proofErr w:type="spellEnd"/>
      <w:r w:rsidRPr="00305AEB">
        <w:rPr>
          <w:i/>
          <w:iCs/>
        </w:rPr>
        <w:t xml:space="preserve"> when the </w:t>
      </w:r>
      <w:proofErr w:type="spellStart"/>
      <w:r w:rsidRPr="00305AEB">
        <w:rPr>
          <w:i/>
          <w:iCs/>
        </w:rPr>
        <w:t>RRCRelease</w:t>
      </w:r>
      <w:proofErr w:type="spellEnd"/>
      <w:r w:rsidRPr="00305AEB">
        <w:rPr>
          <w:i/>
          <w:iCs/>
        </w:rPr>
        <w:t xml:space="preserve"> message was received. Value </w:t>
      </w:r>
      <w:proofErr w:type="spellStart"/>
      <w:r w:rsidRPr="00305AEB">
        <w:rPr>
          <w:i/>
          <w:iCs/>
        </w:rPr>
        <w:t>rna</w:t>
      </w:r>
      <w:proofErr w:type="spellEnd"/>
      <w:r w:rsidRPr="00305AEB">
        <w:rPr>
          <w:i/>
          <w:iCs/>
        </w:rPr>
        <w:t xml:space="preserve"> indicates that ROHC header compression continues when the UE resumes for SDT in a cell belonging to the same RNA as the </w:t>
      </w:r>
      <w:proofErr w:type="spellStart"/>
      <w:r w:rsidRPr="00305AEB">
        <w:rPr>
          <w:i/>
          <w:iCs/>
        </w:rPr>
        <w:t>PCell</w:t>
      </w:r>
      <w:proofErr w:type="spellEnd"/>
      <w:r w:rsidRPr="00305AEB">
        <w:rPr>
          <w:i/>
          <w:iCs/>
        </w:rPr>
        <w:t xml:space="preserve"> where the </w:t>
      </w:r>
      <w:proofErr w:type="spellStart"/>
      <w:r w:rsidRPr="00305AEB">
        <w:rPr>
          <w:i/>
          <w:iCs/>
        </w:rPr>
        <w:t>RRCRelease</w:t>
      </w:r>
      <w:proofErr w:type="spellEnd"/>
      <w:r w:rsidRPr="00305AEB">
        <w:rPr>
          <w:i/>
          <w:iCs/>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p w14:paraId="29AAD63A" w14:textId="0176EBBE" w:rsidR="00B320C7" w:rsidRDefault="008C3AB2" w:rsidP="00B320C7">
      <w:pPr>
        <w:spacing w:before="240"/>
        <w:jc w:val="both"/>
      </w:pPr>
      <w:r>
        <w:rPr>
          <w:iCs/>
        </w:rPr>
        <w:t>I</w:t>
      </w:r>
      <w:r w:rsidR="00C80F6A">
        <w:t>t seems desirable that UE is aware on whether it should continue or not</w:t>
      </w:r>
      <w:r>
        <w:t xml:space="preserve"> with </w:t>
      </w:r>
      <w:proofErr w:type="spellStart"/>
      <w:r>
        <w:t>RoHC</w:t>
      </w:r>
      <w:proofErr w:type="spellEnd"/>
      <w:r>
        <w:t xml:space="preserve"> within current cell or the RNA </w:t>
      </w:r>
      <w:proofErr w:type="gramStart"/>
      <w:r>
        <w:t>similarly</w:t>
      </w:r>
      <w:proofErr w:type="gramEnd"/>
      <w:r>
        <w:t xml:space="preserve"> as it was done for Rel-17 SDT. </w:t>
      </w:r>
      <w:r w:rsidR="00FF0D96">
        <w:t xml:space="preserve">Whether Rel-17 MO-SDT related indication (i.e., </w:t>
      </w:r>
      <w:r w:rsidR="0029092F" w:rsidRPr="002A1C47">
        <w:rPr>
          <w:i/>
          <w:iCs/>
        </w:rPr>
        <w:t>sdt-DRB-ContinueROHC-r17</w:t>
      </w:r>
      <w:r w:rsidR="00FF0D96">
        <w:t xml:space="preserve">) </w:t>
      </w:r>
      <w:r w:rsidR="0029092F">
        <w:t>could be used for MT-SDT or a new one</w:t>
      </w:r>
      <w:r w:rsidR="00373E8C">
        <w:t xml:space="preserve"> indication</w:t>
      </w:r>
      <w:r w:rsidR="0029092F">
        <w:t xml:space="preserve"> speci</w:t>
      </w:r>
      <w:r w:rsidR="00373E8C">
        <w:t>fic MT-SDT</w:t>
      </w:r>
      <w:r w:rsidR="0029092F">
        <w:t xml:space="preserve"> could </w:t>
      </w:r>
      <w:r w:rsidR="00373E8C">
        <w:t xml:space="preserve">be </w:t>
      </w:r>
      <w:r w:rsidR="00FF0D96">
        <w:t xml:space="preserve">further discussed depending on the preference on how to define the new </w:t>
      </w:r>
      <w:r w:rsidR="00C961DE">
        <w:t xml:space="preserve">Rel-18 </w:t>
      </w:r>
      <w:r w:rsidR="00FF0D96">
        <w:t>MT-SDT related configuration in relation to Rel-17 MO-SDT one</w:t>
      </w:r>
      <w:r w:rsidR="00C961DE">
        <w:t xml:space="preserve"> as discussed in </w:t>
      </w:r>
      <w:r w:rsidR="00C961DE">
        <w:fldChar w:fldCharType="begin"/>
      </w:r>
      <w:r w:rsidR="00C961DE">
        <w:instrText xml:space="preserve"> REF _Ref478150265 \r \h </w:instrText>
      </w:r>
      <w:r w:rsidR="00C961DE">
        <w:fldChar w:fldCharType="separate"/>
      </w:r>
      <w:r w:rsidR="00305AEB">
        <w:t>[1]</w:t>
      </w:r>
      <w:r w:rsidR="00C961DE">
        <w:fldChar w:fldCharType="end"/>
      </w:r>
      <w:r w:rsidR="00373E8C">
        <w:t>.</w:t>
      </w:r>
    </w:p>
    <w:p w14:paraId="46601F65" w14:textId="5151EF12" w:rsidR="00292DFE" w:rsidRPr="00A517B5" w:rsidRDefault="00BF788D" w:rsidP="00292DFE">
      <w:pPr>
        <w:pStyle w:val="observ"/>
        <w:ind w:left="360"/>
      </w:pPr>
      <w:bookmarkStart w:id="2" w:name="_Toc134703371"/>
      <w:bookmarkStart w:id="3" w:name="_Toc134737423"/>
      <w:bookmarkStart w:id="4" w:name="_Toc134737781"/>
      <w:bookmarkStart w:id="5" w:name="_Toc141819106"/>
      <w:bookmarkStart w:id="6" w:name="_Toc142566131"/>
      <w:bookmarkStart w:id="7" w:name="_Toc142566185"/>
      <w:r>
        <w:t xml:space="preserve">UE specific signaling is provided </w:t>
      </w:r>
      <w:r w:rsidR="00FF0D96">
        <w:t xml:space="preserve">for UE </w:t>
      </w:r>
      <w:r>
        <w:t xml:space="preserve">to know </w:t>
      </w:r>
      <w:r w:rsidR="00FF0D96">
        <w:t xml:space="preserve">it should </w:t>
      </w:r>
      <w:r>
        <w:t xml:space="preserve">continue or reset the ROHC header compression protocol during PDCP re-establishment </w:t>
      </w:r>
      <w:r w:rsidR="00FF0D96">
        <w:t>of the resume due to Rel-17 MO-SDT</w:t>
      </w:r>
      <w:r w:rsidR="00292DFE">
        <w:t>.</w:t>
      </w:r>
      <w:bookmarkEnd w:id="2"/>
      <w:bookmarkEnd w:id="3"/>
      <w:bookmarkEnd w:id="4"/>
      <w:bookmarkEnd w:id="5"/>
      <w:bookmarkEnd w:id="6"/>
      <w:bookmarkEnd w:id="7"/>
    </w:p>
    <w:p w14:paraId="23325410" w14:textId="358F3E3E" w:rsidR="00373E8C" w:rsidRPr="00A517B5" w:rsidRDefault="00373E8C" w:rsidP="00B34785">
      <w:pPr>
        <w:pStyle w:val="Proposal"/>
        <w:numPr>
          <w:ilvl w:val="0"/>
          <w:numId w:val="4"/>
        </w:numPr>
      </w:pPr>
      <w:bookmarkStart w:id="8" w:name="_Toc134703375"/>
      <w:bookmarkStart w:id="9" w:name="_Toc134737427"/>
      <w:bookmarkStart w:id="10" w:name="_Toc134737786"/>
      <w:bookmarkStart w:id="11" w:name="_Toc134475914"/>
      <w:bookmarkStart w:id="12" w:name="_Toc141819113"/>
      <w:bookmarkStart w:id="13" w:name="_Toc142566134"/>
      <w:bookmarkStart w:id="14" w:name="_Toc142566183"/>
      <w:r>
        <w:t xml:space="preserve">When </w:t>
      </w:r>
      <w:r w:rsidR="002977FF">
        <w:t>UE is configured with</w:t>
      </w:r>
      <w:r>
        <w:t xml:space="preserve"> MT-SDT</w:t>
      </w:r>
      <w:r w:rsidR="002977FF">
        <w:t xml:space="preserve"> (via </w:t>
      </w:r>
      <w:proofErr w:type="spellStart"/>
      <w:r w:rsidR="002977FF" w:rsidRPr="00766420">
        <w:rPr>
          <w:i/>
          <w:iCs/>
        </w:rPr>
        <w:t>RRCRelease</w:t>
      </w:r>
      <w:proofErr w:type="spellEnd"/>
      <w:r w:rsidR="002977FF">
        <w:t xml:space="preserve"> msg.)</w:t>
      </w:r>
      <w:r>
        <w:t xml:space="preserve">, </w:t>
      </w:r>
      <w:proofErr w:type="spellStart"/>
      <w:r>
        <w:t>gNB</w:t>
      </w:r>
      <w:proofErr w:type="spellEnd"/>
      <w:r>
        <w:t xml:space="preserve"> informs whether UE</w:t>
      </w:r>
      <w:r w:rsidR="002A1C47">
        <w:t xml:space="preserve"> whether the PDCP entity of the radio bearers configured for MT-SDT continues or resets the ROHC header compression protocol during PDCP re-establishment during SDT procedure.</w:t>
      </w:r>
      <w:bookmarkEnd w:id="8"/>
      <w:bookmarkEnd w:id="9"/>
      <w:bookmarkEnd w:id="10"/>
      <w:r w:rsidR="002A1C47">
        <w:t xml:space="preserve"> </w:t>
      </w:r>
      <w:bookmarkEnd w:id="11"/>
      <w:r w:rsidR="00550898">
        <w:t xml:space="preserve">How this is signalled depends on how MT-SDT configuration is defined in </w:t>
      </w:r>
      <w:proofErr w:type="spellStart"/>
      <w:r w:rsidR="00550898" w:rsidRPr="00766420">
        <w:rPr>
          <w:i/>
          <w:iCs/>
        </w:rPr>
        <w:t>RRCRelease</w:t>
      </w:r>
      <w:proofErr w:type="spellEnd"/>
      <w:r w:rsidR="00550898">
        <w:t xml:space="preserve"> message.</w:t>
      </w:r>
      <w:bookmarkEnd w:id="12"/>
      <w:bookmarkEnd w:id="13"/>
      <w:bookmarkEnd w:id="14"/>
    </w:p>
    <w:p w14:paraId="59A94A7F" w14:textId="77777777" w:rsidR="0096064F" w:rsidRDefault="0096064F" w:rsidP="00820E81">
      <w:pPr>
        <w:jc w:val="both"/>
      </w:pPr>
    </w:p>
    <w:p w14:paraId="4DDFDF43" w14:textId="0877B1A3" w:rsidR="00A630FC" w:rsidRDefault="00233CC9" w:rsidP="00305AEB">
      <w:pPr>
        <w:pStyle w:val="Heading2"/>
      </w:pPr>
      <w:r>
        <w:t>DVT check</w:t>
      </w:r>
      <w:r w:rsidR="00A630FC">
        <w:t xml:space="preserve"> for MT-SDT</w:t>
      </w:r>
    </w:p>
    <w:p w14:paraId="3C43EEB0" w14:textId="2E460082" w:rsidR="00A630FC" w:rsidRDefault="00550898" w:rsidP="00A630FC">
      <w:pPr>
        <w:jc w:val="both"/>
        <w:rPr>
          <w:iCs/>
        </w:rPr>
      </w:pPr>
      <w:r>
        <w:rPr>
          <w:iCs/>
        </w:rPr>
        <w:t>Email discussion</w:t>
      </w:r>
      <w:r w:rsidR="00316934">
        <w:rPr>
          <w:iCs/>
        </w:rPr>
        <w:t xml:space="preserve"> </w:t>
      </w:r>
      <w:r w:rsidR="00316934" w:rsidRPr="00316934">
        <w:rPr>
          <w:iCs/>
        </w:rPr>
        <w:t>[Post122][309]</w:t>
      </w:r>
      <w:r w:rsidR="00316934">
        <w:rPr>
          <w:iCs/>
        </w:rPr>
        <w:t xml:space="preserve"> captured the following </w:t>
      </w:r>
      <w:r w:rsidR="00CF1000">
        <w:rPr>
          <w:iCs/>
        </w:rPr>
        <w:t>editor’s note</w:t>
      </w:r>
      <w:r w:rsidR="00DB6379">
        <w:rPr>
          <w:iCs/>
        </w:rPr>
        <w:t xml:space="preserve"> on the running CR to 38.321</w:t>
      </w:r>
      <w:r w:rsidR="008411C2">
        <w:rPr>
          <w:iCs/>
        </w:rPr>
        <w:t xml:space="preserve"> </w:t>
      </w:r>
      <w:r w:rsidR="00233CC9">
        <w:rPr>
          <w:iCs/>
        </w:rPr>
        <w:t xml:space="preserve">for the </w:t>
      </w:r>
      <w:r w:rsidR="008411C2">
        <w:rPr>
          <w:iCs/>
        </w:rPr>
        <w:t>data volume check that it is currently performed for MO-SDT and whether it should also apply for MT-SDT operation</w:t>
      </w:r>
      <w:r w:rsidR="00CF1000">
        <w:rPr>
          <w:iCs/>
        </w:rPr>
        <w:t>:</w:t>
      </w:r>
    </w:p>
    <w:p w14:paraId="5E2CB1F0" w14:textId="77C2FB89" w:rsidR="00CF1000" w:rsidRPr="00766420" w:rsidRDefault="0052116C" w:rsidP="00766420">
      <w:pPr>
        <w:ind w:left="432"/>
        <w:jc w:val="both"/>
        <w:rPr>
          <w:i/>
          <w:color w:val="C00000"/>
        </w:rPr>
      </w:pPr>
      <w:r w:rsidRPr="00766420">
        <w:rPr>
          <w:i/>
          <w:color w:val="C00000"/>
        </w:rPr>
        <w:lastRenderedPageBreak/>
        <w:t>Editor’s NOTE:</w:t>
      </w:r>
      <w:r w:rsidRPr="00766420">
        <w:rPr>
          <w:i/>
          <w:color w:val="C00000"/>
        </w:rPr>
        <w:tab/>
        <w:t>Whether the above condition is needed is dependent on the further discussion on FFS 3a: Check for DVT (if UL data becomes available in UL).</w:t>
      </w:r>
    </w:p>
    <w:p w14:paraId="1A2515E6" w14:textId="37E92903" w:rsidR="00D17C45" w:rsidRDefault="0052116C" w:rsidP="00A630FC">
      <w:pPr>
        <w:jc w:val="both"/>
      </w:pPr>
      <w:r>
        <w:t xml:space="preserve">In our understanding, nothing needs to be </w:t>
      </w:r>
      <w:r w:rsidR="00D17C45">
        <w:t xml:space="preserve">further discussed </w:t>
      </w:r>
      <w:r w:rsidR="00346ED3">
        <w:t xml:space="preserve">in this topic </w:t>
      </w:r>
      <w:r w:rsidR="00D17C45">
        <w:t>understanding that th</w:t>
      </w:r>
      <w:r w:rsidR="00346ED3">
        <w:t>e</w:t>
      </w:r>
      <w:r w:rsidR="00D17C45">
        <w:t xml:space="preserve"> FFS</w:t>
      </w:r>
      <w:r w:rsidR="00346ED3">
        <w:t xml:space="preserve"> mentioned by </w:t>
      </w:r>
      <w:r w:rsidR="00DB6379">
        <w:t>Rapporteur</w:t>
      </w:r>
      <w:r w:rsidR="00D17C45">
        <w:t xml:space="preserve"> was already addressed in sub-sequent agreements taken in that </w:t>
      </w:r>
      <w:r w:rsidR="00346ED3">
        <w:t>same RAN2#121</w:t>
      </w:r>
      <w:r w:rsidR="00D17C45">
        <w:t xml:space="preserve"> meeting </w:t>
      </w:r>
      <w:r w:rsidR="00346ED3">
        <w:t xml:space="preserve">and in subsequent RAN2#122 meeting </w:t>
      </w:r>
      <w:r w:rsidR="00D17C45">
        <w:t>as shown in the related agreements shown below</w:t>
      </w:r>
      <w:r w:rsidR="00346ED3">
        <w:t xml:space="preserve"> (highlighted in </w:t>
      </w:r>
      <w:r w:rsidR="00346ED3" w:rsidRPr="00766420">
        <w:rPr>
          <w:highlight w:val="green"/>
        </w:rPr>
        <w:t>green</w:t>
      </w:r>
      <w:r w:rsidR="00346ED3">
        <w:t>)</w:t>
      </w:r>
      <w:r w:rsidR="00D17C45">
        <w:t>:</w:t>
      </w:r>
    </w:p>
    <w:p w14:paraId="004DBD91" w14:textId="77777777" w:rsidR="009269FF" w:rsidRPr="00FF7E4A" w:rsidRDefault="009269FF" w:rsidP="009269FF">
      <w:pPr>
        <w:spacing w:after="0"/>
        <w:rPr>
          <w:b/>
          <w:bCs/>
        </w:rPr>
      </w:pPr>
      <w:r w:rsidRPr="00FF7E4A">
        <w:rPr>
          <w:b/>
          <w:bCs/>
        </w:rPr>
        <w:t>R2#122</w:t>
      </w:r>
    </w:p>
    <w:p w14:paraId="3D17EC96" w14:textId="3AF3EFEA" w:rsidR="009269FF" w:rsidRPr="00305AEB" w:rsidRDefault="004C7251" w:rsidP="00766420">
      <w:pPr>
        <w:pStyle w:val="Doc-text2"/>
        <w:spacing w:after="60"/>
        <w:ind w:left="720" w:hanging="360"/>
        <w:rPr>
          <w:rFonts w:ascii="Times New Roman" w:hAnsi="Times New Roman"/>
          <w:i/>
          <w:iCs/>
        </w:rPr>
      </w:pPr>
      <w:r w:rsidRPr="00305AEB">
        <w:rPr>
          <w:rFonts w:ascii="Times New Roman" w:hAnsi="Times New Roman"/>
          <w:i/>
          <w:iCs/>
          <w:lang w:val="en-US"/>
        </w:rPr>
        <w:t xml:space="preserve">=&gt; </w:t>
      </w:r>
      <w:r w:rsidR="009269FF" w:rsidRPr="00305AEB">
        <w:rPr>
          <w:rFonts w:ascii="Times New Roman" w:hAnsi="Times New Roman"/>
          <w:i/>
          <w:iCs/>
          <w:lang w:val="en-US"/>
        </w:rPr>
        <w:t>3.</w:t>
      </w:r>
      <w:r w:rsidR="00346ED3" w:rsidRPr="00305AEB">
        <w:rPr>
          <w:rFonts w:ascii="Times New Roman" w:hAnsi="Times New Roman"/>
          <w:i/>
          <w:iCs/>
          <w:lang w:val="en-US"/>
        </w:rPr>
        <w:t xml:space="preserve"> </w:t>
      </w:r>
      <w:r w:rsidR="009269FF" w:rsidRPr="00305AEB">
        <w:rPr>
          <w:rFonts w:ascii="Times New Roman" w:hAnsi="Times New Roman"/>
          <w:i/>
          <w:iCs/>
          <w:lang w:val="en-US"/>
        </w:rPr>
        <w:t xml:space="preserve">Assumption is that </w:t>
      </w:r>
      <w:r w:rsidR="009269FF" w:rsidRPr="00305AEB">
        <w:rPr>
          <w:rFonts w:ascii="Times New Roman" w:hAnsi="Times New Roman"/>
          <w:i/>
          <w:iCs/>
          <w:highlight w:val="green"/>
          <w:lang w:val="en-US"/>
        </w:rPr>
        <w:t>if the UE has UL data</w:t>
      </w:r>
      <w:r w:rsidR="009269FF" w:rsidRPr="00305AEB">
        <w:rPr>
          <w:rFonts w:ascii="Times New Roman" w:hAnsi="Times New Roman"/>
          <w:i/>
          <w:iCs/>
          <w:lang w:val="en-US"/>
        </w:rPr>
        <w:t xml:space="preserve"> the UE can still check and trigger MO-SDT (</w:t>
      </w:r>
      <w:r w:rsidR="009269FF" w:rsidRPr="00305AEB">
        <w:rPr>
          <w:rFonts w:ascii="Times New Roman" w:hAnsi="Times New Roman"/>
          <w:i/>
          <w:iCs/>
          <w:highlight w:val="green"/>
          <w:lang w:val="en-US"/>
        </w:rPr>
        <w:t>it is up to UE implementation</w:t>
      </w:r>
      <w:r w:rsidR="009269FF" w:rsidRPr="00305AEB">
        <w:rPr>
          <w:rFonts w:ascii="Times New Roman" w:hAnsi="Times New Roman"/>
          <w:i/>
          <w:iCs/>
          <w:lang w:val="en-US"/>
        </w:rPr>
        <w:t>)</w:t>
      </w:r>
    </w:p>
    <w:p w14:paraId="606FBC96" w14:textId="77777777" w:rsidR="009269FF" w:rsidRPr="00FF7E4A" w:rsidRDefault="009269FF" w:rsidP="009269FF">
      <w:pPr>
        <w:spacing w:after="0"/>
        <w:rPr>
          <w:b/>
          <w:bCs/>
        </w:rPr>
      </w:pPr>
      <w:r w:rsidRPr="00FF7E4A">
        <w:rPr>
          <w:b/>
          <w:bCs/>
        </w:rPr>
        <w:t>R2#121</w:t>
      </w:r>
    </w:p>
    <w:p w14:paraId="2F46CA8B" w14:textId="77777777" w:rsidR="009269FF" w:rsidRPr="00305AEB" w:rsidRDefault="009269FF" w:rsidP="00766420">
      <w:pPr>
        <w:pStyle w:val="Doc-text2"/>
        <w:spacing w:after="60"/>
        <w:ind w:left="720" w:hanging="360"/>
        <w:rPr>
          <w:rFonts w:ascii="Times New Roman" w:hAnsi="Times New Roman"/>
          <w:i/>
          <w:iCs/>
        </w:rPr>
      </w:pPr>
      <w:r w:rsidRPr="00305AEB">
        <w:rPr>
          <w:rFonts w:ascii="Times New Roman" w:hAnsi="Times New Roman"/>
          <w:i/>
          <w:iCs/>
          <w:lang w:val="en-US"/>
        </w:rPr>
        <w:t>2.</w:t>
      </w:r>
      <w:r w:rsidRPr="00305AEB">
        <w:rPr>
          <w:rFonts w:ascii="Times New Roman" w:hAnsi="Times New Roman"/>
          <w:i/>
          <w:iCs/>
          <w:lang w:val="en-US"/>
        </w:rPr>
        <w:tab/>
        <w:t xml:space="preserve">Upon receiving MT-SDT trigger, the UE shall initiate SDT procedure if the following checks are satisfied (all these same as Rel-17) </w:t>
      </w:r>
    </w:p>
    <w:p w14:paraId="49D50339" w14:textId="77777777" w:rsidR="009269FF" w:rsidRPr="00305AEB" w:rsidRDefault="009269FF" w:rsidP="00766420">
      <w:pPr>
        <w:pStyle w:val="Doc-text2"/>
        <w:spacing w:after="60"/>
        <w:ind w:left="720" w:hanging="360"/>
        <w:rPr>
          <w:rFonts w:ascii="Times New Roman" w:hAnsi="Times New Roman"/>
          <w:i/>
          <w:iCs/>
        </w:rPr>
      </w:pPr>
      <w:r w:rsidRPr="00305AEB">
        <w:rPr>
          <w:rFonts w:ascii="Times New Roman" w:hAnsi="Times New Roman"/>
          <w:i/>
          <w:iCs/>
          <w:highlight w:val="yellow"/>
          <w:lang w:val="en-US"/>
        </w:rPr>
        <w:t>-     FFS 3a: Check for DVT (if UL data becomes available in UL)</w:t>
      </w:r>
    </w:p>
    <w:p w14:paraId="0BE97B8D" w14:textId="77777777" w:rsidR="009269FF" w:rsidRPr="00305AEB" w:rsidRDefault="009269FF" w:rsidP="00766420">
      <w:pPr>
        <w:pStyle w:val="Doc-text2"/>
        <w:spacing w:after="60"/>
        <w:ind w:left="720" w:hanging="360"/>
        <w:rPr>
          <w:rFonts w:ascii="Times New Roman" w:hAnsi="Times New Roman"/>
          <w:i/>
          <w:iCs/>
        </w:rPr>
      </w:pPr>
      <w:r w:rsidRPr="00305AEB">
        <w:rPr>
          <w:rFonts w:ascii="Times New Roman" w:hAnsi="Times New Roman"/>
          <w:i/>
          <w:iCs/>
          <w:lang w:val="en-US"/>
        </w:rPr>
        <w:t>-     3b: Check for SDT RSRP threshold</w:t>
      </w:r>
    </w:p>
    <w:p w14:paraId="17357B89" w14:textId="77777777" w:rsidR="009269FF" w:rsidRPr="00305AEB" w:rsidRDefault="009269FF" w:rsidP="00766420">
      <w:pPr>
        <w:pStyle w:val="Doc-text2"/>
        <w:spacing w:after="60"/>
        <w:ind w:left="720" w:hanging="360"/>
        <w:rPr>
          <w:rFonts w:ascii="Times New Roman" w:hAnsi="Times New Roman"/>
          <w:i/>
          <w:iCs/>
        </w:rPr>
      </w:pPr>
      <w:r w:rsidRPr="00305AEB">
        <w:rPr>
          <w:rFonts w:ascii="Times New Roman" w:hAnsi="Times New Roman"/>
          <w:i/>
          <w:iCs/>
          <w:lang w:val="en-US"/>
        </w:rPr>
        <w:t>-     3c: Check for TA validation before selecting CG (if applicable)</w:t>
      </w:r>
    </w:p>
    <w:p w14:paraId="79D0E9CB" w14:textId="77777777" w:rsidR="009269FF" w:rsidRPr="00305AEB" w:rsidRDefault="009269FF" w:rsidP="00766420">
      <w:pPr>
        <w:pStyle w:val="Doc-text2"/>
        <w:spacing w:after="60"/>
        <w:ind w:left="720" w:hanging="360"/>
        <w:rPr>
          <w:rFonts w:ascii="Times New Roman" w:hAnsi="Times New Roman"/>
          <w:i/>
          <w:iCs/>
        </w:rPr>
      </w:pPr>
      <w:r w:rsidRPr="00305AEB">
        <w:rPr>
          <w:rFonts w:ascii="Times New Roman" w:hAnsi="Times New Roman"/>
          <w:i/>
          <w:iCs/>
          <w:lang w:val="en-US"/>
        </w:rPr>
        <w:t>-     3d: Check for SSB level RSRP threshold for CG resource (if applicable)</w:t>
      </w:r>
    </w:p>
    <w:p w14:paraId="53CB9778" w14:textId="77777777" w:rsidR="009269FF" w:rsidRPr="00305AEB" w:rsidRDefault="009269FF" w:rsidP="00766420">
      <w:pPr>
        <w:pStyle w:val="Doc-text2"/>
        <w:spacing w:after="60"/>
        <w:ind w:left="720" w:hanging="360"/>
        <w:rPr>
          <w:rFonts w:ascii="Times New Roman" w:hAnsi="Times New Roman"/>
          <w:i/>
          <w:iCs/>
        </w:rPr>
      </w:pPr>
      <w:r w:rsidRPr="00305AEB">
        <w:rPr>
          <w:rFonts w:ascii="Times New Roman" w:hAnsi="Times New Roman"/>
          <w:i/>
          <w:iCs/>
          <w:lang w:val="en-US"/>
        </w:rPr>
        <w:t>1.</w:t>
      </w:r>
      <w:r w:rsidRPr="00305AEB">
        <w:rPr>
          <w:rFonts w:ascii="Times New Roman" w:hAnsi="Times New Roman"/>
          <w:i/>
          <w:iCs/>
          <w:lang w:val="en-US"/>
        </w:rPr>
        <w:tab/>
        <w:t xml:space="preserve">Specify a RRC procedure for </w:t>
      </w:r>
      <w:proofErr w:type="spellStart"/>
      <w:r w:rsidRPr="00305AEB">
        <w:rPr>
          <w:rFonts w:ascii="Times New Roman" w:hAnsi="Times New Roman"/>
          <w:i/>
          <w:iCs/>
          <w:lang w:val="en-US"/>
        </w:rPr>
        <w:t>RRCResume</w:t>
      </w:r>
      <w:proofErr w:type="spellEnd"/>
      <w:r w:rsidRPr="00305AEB">
        <w:rPr>
          <w:rFonts w:ascii="Times New Roman" w:hAnsi="Times New Roman"/>
          <w:i/>
          <w:iCs/>
          <w:lang w:val="en-US"/>
        </w:rPr>
        <w:t xml:space="preserve"> for MT-SDT initiation </w:t>
      </w:r>
      <w:r w:rsidRPr="00305AEB">
        <w:rPr>
          <w:rFonts w:ascii="Times New Roman" w:hAnsi="Times New Roman"/>
          <w:i/>
          <w:iCs/>
          <w:highlight w:val="green"/>
          <w:lang w:val="en-US"/>
        </w:rPr>
        <w:t>without checking for availability of UL data (</w:t>
      </w:r>
      <w:proofErr w:type="gramStart"/>
      <w:r w:rsidRPr="00305AEB">
        <w:rPr>
          <w:rFonts w:ascii="Times New Roman" w:hAnsi="Times New Roman"/>
          <w:i/>
          <w:iCs/>
          <w:highlight w:val="green"/>
          <w:lang w:val="en-US"/>
        </w:rPr>
        <w:t>i.e.</w:t>
      </w:r>
      <w:proofErr w:type="gramEnd"/>
      <w:r w:rsidRPr="00305AEB">
        <w:rPr>
          <w:rFonts w:ascii="Times New Roman" w:hAnsi="Times New Roman"/>
          <w:i/>
          <w:iCs/>
          <w:highlight w:val="green"/>
          <w:lang w:val="en-US"/>
        </w:rPr>
        <w:t xml:space="preserve"> if MT-SDT is initiated first the resume cause will be set to MT-SDT)</w:t>
      </w:r>
    </w:p>
    <w:p w14:paraId="447EC809" w14:textId="77777777" w:rsidR="009269FF" w:rsidRPr="00305AEB" w:rsidRDefault="009269FF" w:rsidP="00766420">
      <w:pPr>
        <w:pStyle w:val="Doc-text2"/>
        <w:spacing w:after="60"/>
        <w:ind w:left="720" w:hanging="360"/>
        <w:rPr>
          <w:rFonts w:ascii="Times New Roman" w:hAnsi="Times New Roman"/>
          <w:i/>
          <w:iCs/>
        </w:rPr>
      </w:pPr>
      <w:r w:rsidRPr="00305AEB">
        <w:rPr>
          <w:rFonts w:ascii="Times New Roman" w:hAnsi="Times New Roman"/>
          <w:i/>
          <w:iCs/>
          <w:lang w:val="en-US"/>
        </w:rPr>
        <w:t>2.</w:t>
      </w:r>
      <w:r w:rsidRPr="00305AEB">
        <w:rPr>
          <w:rFonts w:ascii="Times New Roman" w:hAnsi="Times New Roman"/>
          <w:i/>
          <w:iCs/>
          <w:lang w:val="en-US"/>
        </w:rPr>
        <w:tab/>
      </w:r>
      <w:r w:rsidRPr="00305AEB">
        <w:rPr>
          <w:rFonts w:ascii="Times New Roman" w:hAnsi="Times New Roman"/>
          <w:i/>
          <w:iCs/>
          <w:highlight w:val="green"/>
          <w:lang w:val="en-US"/>
        </w:rPr>
        <w:t xml:space="preserve">UE is allowed to initiate either MO-SDT based resume or non-SDT based resume at any point (before </w:t>
      </w:r>
      <w:proofErr w:type="spellStart"/>
      <w:r w:rsidRPr="00305AEB">
        <w:rPr>
          <w:rFonts w:ascii="Times New Roman" w:hAnsi="Times New Roman"/>
          <w:i/>
          <w:iCs/>
          <w:highlight w:val="green"/>
          <w:lang w:val="en-US"/>
        </w:rPr>
        <w:t>initation</w:t>
      </w:r>
      <w:proofErr w:type="spellEnd"/>
      <w:r w:rsidRPr="00305AEB">
        <w:rPr>
          <w:rFonts w:ascii="Times New Roman" w:hAnsi="Times New Roman"/>
          <w:i/>
          <w:iCs/>
          <w:highlight w:val="green"/>
          <w:lang w:val="en-US"/>
        </w:rPr>
        <w:t xml:space="preserve"> </w:t>
      </w:r>
      <w:proofErr w:type="spellStart"/>
      <w:r w:rsidRPr="00305AEB">
        <w:rPr>
          <w:rFonts w:ascii="Times New Roman" w:hAnsi="Times New Roman"/>
          <w:i/>
          <w:iCs/>
          <w:highlight w:val="green"/>
          <w:lang w:val="en-US"/>
        </w:rPr>
        <w:t>RRCResumeRequest</w:t>
      </w:r>
      <w:proofErr w:type="spellEnd"/>
      <w:r w:rsidRPr="00305AEB">
        <w:rPr>
          <w:rFonts w:ascii="Times New Roman" w:hAnsi="Times New Roman"/>
          <w:i/>
          <w:iCs/>
          <w:highlight w:val="green"/>
          <w:lang w:val="en-US"/>
        </w:rPr>
        <w:t xml:space="preserve"> for MT-SDT) using separate procedures</w:t>
      </w:r>
      <w:r w:rsidRPr="00305AEB">
        <w:rPr>
          <w:rFonts w:ascii="Times New Roman" w:hAnsi="Times New Roman"/>
          <w:i/>
          <w:iCs/>
          <w:lang w:val="en-US"/>
        </w:rPr>
        <w:t xml:space="preserve"> </w:t>
      </w:r>
    </w:p>
    <w:p w14:paraId="4ECCDB42" w14:textId="77777777" w:rsidR="009269FF" w:rsidRPr="00305AEB" w:rsidRDefault="009269FF" w:rsidP="00766420">
      <w:pPr>
        <w:pStyle w:val="Doc-text2"/>
        <w:spacing w:after="60"/>
        <w:ind w:left="720" w:hanging="360"/>
        <w:rPr>
          <w:rFonts w:ascii="Times New Roman" w:hAnsi="Times New Roman"/>
          <w:i/>
          <w:iCs/>
        </w:rPr>
      </w:pPr>
      <w:r w:rsidRPr="00305AEB">
        <w:rPr>
          <w:rFonts w:ascii="Times New Roman" w:hAnsi="Times New Roman"/>
          <w:i/>
          <w:iCs/>
          <w:lang w:val="en-US"/>
        </w:rPr>
        <w:t>3.</w:t>
      </w:r>
      <w:r w:rsidRPr="00305AEB">
        <w:rPr>
          <w:rFonts w:ascii="Times New Roman" w:hAnsi="Times New Roman"/>
          <w:i/>
          <w:iCs/>
          <w:lang w:val="en-US"/>
        </w:rPr>
        <w:tab/>
        <w:t>If MT-SDT procedure is initiated, for RACH during subsequent data transfer (</w:t>
      </w:r>
      <w:proofErr w:type="gramStart"/>
      <w:r w:rsidRPr="00305AEB">
        <w:rPr>
          <w:rFonts w:ascii="Times New Roman" w:hAnsi="Times New Roman"/>
          <w:i/>
          <w:iCs/>
          <w:lang w:val="en-US"/>
        </w:rPr>
        <w:t>i.e.</w:t>
      </w:r>
      <w:proofErr w:type="gramEnd"/>
      <w:r w:rsidRPr="00305AEB">
        <w:rPr>
          <w:rFonts w:ascii="Times New Roman" w:hAnsi="Times New Roman"/>
          <w:i/>
          <w:iCs/>
          <w:lang w:val="en-US"/>
        </w:rPr>
        <w:t xml:space="preserve"> RACH triggered due to SR), UE uses only the non-SDT RACH resources (i.e. like legacy)</w:t>
      </w:r>
    </w:p>
    <w:p w14:paraId="1F5C2A46" w14:textId="69F75EF1" w:rsidR="00CF1000" w:rsidRDefault="00DB6379" w:rsidP="00A630FC">
      <w:pPr>
        <w:jc w:val="both"/>
      </w:pPr>
      <w:r>
        <w:t>On summary, the editor’s note does not seem needed on this topic.</w:t>
      </w:r>
    </w:p>
    <w:p w14:paraId="09D2B7C4" w14:textId="36594DF9" w:rsidR="00346ED3" w:rsidRPr="00A517B5" w:rsidRDefault="00346ED3" w:rsidP="00346ED3">
      <w:pPr>
        <w:pStyle w:val="Proposal"/>
        <w:numPr>
          <w:ilvl w:val="0"/>
          <w:numId w:val="4"/>
        </w:numPr>
      </w:pPr>
      <w:bookmarkStart w:id="15" w:name="_Toc141819114"/>
      <w:bookmarkStart w:id="16" w:name="_Toc142566135"/>
      <w:bookmarkStart w:id="17" w:name="_Toc142566184"/>
      <w:r>
        <w:t xml:space="preserve">To remove editor’s note on DVT from 38.321 running CR as RAN2 </w:t>
      </w:r>
      <w:r w:rsidR="00DB6379">
        <w:t xml:space="preserve">subsequent </w:t>
      </w:r>
      <w:r>
        <w:t>agreements already addressed that specific FFS</w:t>
      </w:r>
      <w:r w:rsidR="00DB6379">
        <w:t xml:space="preserve"> (which was previously captured</w:t>
      </w:r>
      <w:r>
        <w:t>.</w:t>
      </w:r>
      <w:bookmarkEnd w:id="15"/>
      <w:bookmarkEnd w:id="16"/>
      <w:bookmarkEnd w:id="17"/>
    </w:p>
    <w:p w14:paraId="7DAEB379" w14:textId="77777777" w:rsidR="009269FF" w:rsidRDefault="009269FF" w:rsidP="00A630FC">
      <w:pPr>
        <w:jc w:val="both"/>
      </w:pPr>
    </w:p>
    <w:p w14:paraId="5AB4BABA" w14:textId="77777777" w:rsidR="00EB410E" w:rsidRDefault="00EB410E" w:rsidP="00305AEB">
      <w:pPr>
        <w:pStyle w:val="Heading1"/>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0E271E97" w14:textId="77777777" w:rsidR="00FF7E4A" w:rsidRDefault="00EB410E" w:rsidP="00305AEB">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FF7E4A" w:rsidRPr="00461D57">
        <w:rPr>
          <w:b/>
          <w:noProof/>
        </w:rPr>
        <w:t>Observation 1.</w:t>
      </w:r>
      <w:r w:rsidR="00FF7E4A">
        <w:rPr>
          <w:rFonts w:asciiTheme="minorHAnsi" w:eastAsiaTheme="minorEastAsia" w:hAnsiTheme="minorHAnsi" w:cstheme="minorBidi"/>
          <w:noProof/>
          <w:sz w:val="22"/>
        </w:rPr>
        <w:tab/>
      </w:r>
      <w:r w:rsidR="00FF7E4A">
        <w:rPr>
          <w:noProof/>
        </w:rPr>
        <w:t>UE specific signaling is provided for UE to know it should continue or reset the ROHC header compression protocol during PDCP re-establishment of the resume due to Rel-17 MO-SDT.</w:t>
      </w:r>
    </w:p>
    <w:p w14:paraId="5239C8EE" w14:textId="41F69032"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96FE853" w14:textId="77777777" w:rsidR="00FF7E4A" w:rsidRDefault="00EB410E" w:rsidP="00305AEB">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FF7E4A" w:rsidRPr="00A7112A">
        <w:rPr>
          <w:b/>
          <w:noProof/>
        </w:rPr>
        <w:t>Proposal 1.</w:t>
      </w:r>
      <w:r w:rsidR="00FF7E4A">
        <w:rPr>
          <w:rFonts w:asciiTheme="minorHAnsi" w:eastAsiaTheme="minorEastAsia" w:hAnsiTheme="minorHAnsi" w:cstheme="minorBidi"/>
          <w:noProof/>
          <w:sz w:val="22"/>
        </w:rPr>
        <w:tab/>
      </w:r>
      <w:r w:rsidR="00FF7E4A">
        <w:rPr>
          <w:noProof/>
        </w:rPr>
        <w:t xml:space="preserve">When UE is configured with MT-SDT (via </w:t>
      </w:r>
      <w:r w:rsidR="00FF7E4A" w:rsidRPr="00A7112A">
        <w:rPr>
          <w:i/>
          <w:iCs/>
          <w:noProof/>
        </w:rPr>
        <w:t>RRCRelease</w:t>
      </w:r>
      <w:r w:rsidR="00FF7E4A">
        <w:rPr>
          <w:noProof/>
        </w:rPr>
        <w:t xml:space="preserve"> msg.), gNB informs whether UE whether the PDCP entity of the radio bearers configured for MT-SDT continues or resets the ROHC header compression protocol during PDCP re-establishment during SDT procedure. How this is signalled depends on how MT-SDT configuration is defined in </w:t>
      </w:r>
      <w:r w:rsidR="00FF7E4A" w:rsidRPr="00A7112A">
        <w:rPr>
          <w:i/>
          <w:iCs/>
          <w:noProof/>
        </w:rPr>
        <w:t>RRCRelease</w:t>
      </w:r>
      <w:r w:rsidR="00FF7E4A">
        <w:rPr>
          <w:noProof/>
        </w:rPr>
        <w:t xml:space="preserve"> message.</w:t>
      </w:r>
    </w:p>
    <w:p w14:paraId="45308BFF" w14:textId="77777777" w:rsidR="00FF7E4A" w:rsidRDefault="00FF7E4A" w:rsidP="00305AEB">
      <w:pPr>
        <w:pStyle w:val="TOC1"/>
        <w:rPr>
          <w:rFonts w:asciiTheme="minorHAnsi" w:eastAsiaTheme="minorEastAsia" w:hAnsiTheme="minorHAnsi" w:cstheme="minorBidi"/>
          <w:noProof/>
          <w:sz w:val="22"/>
        </w:rPr>
      </w:pPr>
      <w:r w:rsidRPr="00A7112A">
        <w:rPr>
          <w:b/>
          <w:noProof/>
        </w:rPr>
        <w:t>Proposal 2.</w:t>
      </w:r>
      <w:r>
        <w:rPr>
          <w:rFonts w:asciiTheme="minorHAnsi" w:eastAsiaTheme="minorEastAsia" w:hAnsiTheme="minorHAnsi" w:cstheme="minorBidi"/>
          <w:noProof/>
          <w:sz w:val="22"/>
        </w:rPr>
        <w:tab/>
      </w:r>
      <w:r>
        <w:rPr>
          <w:noProof/>
        </w:rPr>
        <w:t>To remove editor’s note on DVT from 38.321 running CR as RAN2 subsequent agreements already addressed that specific FFS (which was previously captured.</w:t>
      </w:r>
    </w:p>
    <w:p w14:paraId="39485485" w14:textId="7B1246A7" w:rsidR="0072470C" w:rsidRDefault="00EB410E" w:rsidP="00EB410E">
      <w:pPr>
        <w:jc w:val="both"/>
        <w:rPr>
          <w:lang w:eastAsia="zh-CN"/>
        </w:rPr>
      </w:pPr>
      <w:r>
        <w:rPr>
          <w:lang w:eastAsia="zh-CN"/>
        </w:rPr>
        <w:fldChar w:fldCharType="end"/>
      </w:r>
    </w:p>
    <w:p w14:paraId="4831B0DD" w14:textId="77777777" w:rsidR="00EB410E" w:rsidRDefault="00EB410E" w:rsidP="00305AEB">
      <w:pPr>
        <w:pStyle w:val="Heading1"/>
      </w:pPr>
      <w:bookmarkStart w:id="18" w:name="_Ref434066290"/>
      <w:r>
        <w:t>Reference</w:t>
      </w:r>
      <w:bookmarkEnd w:id="18"/>
    </w:p>
    <w:p w14:paraId="355ADD30" w14:textId="295DE3BA" w:rsidR="00EB410E" w:rsidRDefault="00AF4559" w:rsidP="00EB410E">
      <w:pPr>
        <w:pStyle w:val="Doc-title"/>
        <w:numPr>
          <w:ilvl w:val="0"/>
          <w:numId w:val="3"/>
        </w:numPr>
        <w:spacing w:before="0" w:after="60"/>
        <w:rPr>
          <w:rFonts w:ascii="Times New Roman" w:hAnsi="Times New Roman" w:cs="Times New Roman"/>
          <w:sz w:val="20"/>
        </w:rPr>
      </w:pPr>
      <w:bookmarkStart w:id="19" w:name="_Ref478150265"/>
      <w:bookmarkEnd w:id="1"/>
      <w:r w:rsidRPr="00AF4559">
        <w:rPr>
          <w:rFonts w:ascii="Times New Roman" w:hAnsi="Times New Roman" w:cs="Times New Roman"/>
          <w:sz w:val="20"/>
        </w:rPr>
        <w:t>R2-2308077</w:t>
      </w:r>
      <w:r w:rsidR="0094253F">
        <w:rPr>
          <w:rFonts w:ascii="Times New Roman" w:hAnsi="Times New Roman" w:cs="Times New Roman"/>
          <w:sz w:val="20"/>
        </w:rPr>
        <w:t xml:space="preserve">, </w:t>
      </w:r>
      <w:r w:rsidR="0094253F" w:rsidRPr="0094253F">
        <w:rPr>
          <w:rFonts w:ascii="Times New Roman" w:hAnsi="Times New Roman" w:cs="Times New Roman"/>
          <w:sz w:val="20"/>
        </w:rPr>
        <w:t xml:space="preserve">MT SDT </w:t>
      </w:r>
      <w:r w:rsidR="00707500" w:rsidRPr="00707500">
        <w:rPr>
          <w:rFonts w:ascii="Times New Roman" w:hAnsi="Times New Roman" w:cs="Times New Roman"/>
          <w:sz w:val="20"/>
        </w:rPr>
        <w:t>– CP Open Topics on Capabilities and Configurations (including CG-SDT)</w:t>
      </w:r>
      <w:r w:rsidR="0094253F">
        <w:rPr>
          <w:rFonts w:ascii="Times New Roman" w:hAnsi="Times New Roman" w:cs="Times New Roman"/>
          <w:sz w:val="20"/>
        </w:rPr>
        <w:t xml:space="preserve">, </w:t>
      </w:r>
      <w:r w:rsidR="001716F2">
        <w:rPr>
          <w:rFonts w:ascii="Times New Roman" w:hAnsi="Times New Roman" w:cs="Times New Roman"/>
          <w:sz w:val="20"/>
        </w:rPr>
        <w:t xml:space="preserve">Intel Corporation, </w:t>
      </w:r>
      <w:r w:rsidR="009C628E">
        <w:rPr>
          <w:rFonts w:ascii="Times New Roman" w:hAnsi="Times New Roman" w:cs="Times New Roman"/>
          <w:sz w:val="20"/>
        </w:rPr>
        <w:t xml:space="preserve">August </w:t>
      </w:r>
      <w:r w:rsidR="0094253F">
        <w:rPr>
          <w:rFonts w:ascii="Times New Roman" w:hAnsi="Times New Roman" w:cs="Times New Roman"/>
          <w:sz w:val="20"/>
        </w:rPr>
        <w:t>2023</w:t>
      </w:r>
      <w:r w:rsidR="00EB410E">
        <w:rPr>
          <w:rFonts w:ascii="Times New Roman" w:hAnsi="Times New Roman" w:cs="Times New Roman"/>
          <w:sz w:val="20"/>
        </w:rPr>
        <w:t>.</w:t>
      </w:r>
      <w:bookmarkEnd w:id="19"/>
    </w:p>
    <w:p w14:paraId="434C09F6" w14:textId="075A9054" w:rsidR="00A4565C" w:rsidRDefault="00A4565C">
      <w:pPr>
        <w:rPr>
          <w:lang w:val="en-GB"/>
        </w:rPr>
      </w:pPr>
    </w:p>
    <w:sectPr w:rsidR="00A4565C"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F0B83"/>
    <w:multiLevelType w:val="hybridMultilevel"/>
    <w:tmpl w:val="8618C9AA"/>
    <w:lvl w:ilvl="0" w:tplc="FE942918">
      <w:start w:val="1"/>
      <w:numFmt w:val="decimal"/>
      <w:lvlText w:val="option %1)"/>
      <w:lvlJc w:val="left"/>
      <w:pPr>
        <w:ind w:left="1296" w:hanging="360"/>
      </w:pPr>
      <w:rPr>
        <w:rFonts w:hint="default"/>
        <w:b/>
        <w:i w:val="0"/>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304ED"/>
    <w:multiLevelType w:val="hybridMultilevel"/>
    <w:tmpl w:val="2CC00E9C"/>
    <w:lvl w:ilvl="0" w:tplc="FE942918">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1E231D"/>
    <w:multiLevelType w:val="hybridMultilevel"/>
    <w:tmpl w:val="8618C9AA"/>
    <w:lvl w:ilvl="0" w:tplc="FFFFFFFF">
      <w:start w:val="1"/>
      <w:numFmt w:val="decimal"/>
      <w:lvlText w:val="option %1)"/>
      <w:lvlJc w:val="left"/>
      <w:pPr>
        <w:ind w:left="1296" w:hanging="360"/>
      </w:pPr>
      <w:rPr>
        <w:rFonts w:hint="default"/>
        <w:b/>
        <w:i w:val="0"/>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4"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D598A"/>
    <w:multiLevelType w:val="hybridMultilevel"/>
    <w:tmpl w:val="9A9852B4"/>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26A64E1"/>
    <w:multiLevelType w:val="hybridMultilevel"/>
    <w:tmpl w:val="CBB2155A"/>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CF6AAA"/>
    <w:multiLevelType w:val="hybridMultilevel"/>
    <w:tmpl w:val="B7BE9560"/>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2DA122F"/>
    <w:multiLevelType w:val="hybridMultilevel"/>
    <w:tmpl w:val="BD86397C"/>
    <w:lvl w:ilvl="0" w:tplc="5420CDCE">
      <w:start w:val="1"/>
      <w:numFmt w:val="decimal"/>
      <w:lvlText w:val="Option %1)"/>
      <w:lvlJc w:val="left"/>
      <w:pPr>
        <w:ind w:left="720" w:hanging="360"/>
      </w:pPr>
      <w:rPr>
        <w:rFonts w:hint="default"/>
        <w:b/>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4F27432"/>
    <w:multiLevelType w:val="hybridMultilevel"/>
    <w:tmpl w:val="DE305290"/>
    <w:lvl w:ilvl="0" w:tplc="AF3AF1E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647301"/>
    <w:multiLevelType w:val="multilevel"/>
    <w:tmpl w:val="CB70FC9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E644606"/>
    <w:multiLevelType w:val="hybridMultilevel"/>
    <w:tmpl w:val="13028C4E"/>
    <w:lvl w:ilvl="0" w:tplc="732A80FE">
      <w:start w:val="1"/>
      <w:numFmt w:val="decimal"/>
      <w:lvlText w:val="Approach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0D241E"/>
    <w:multiLevelType w:val="hybridMultilevel"/>
    <w:tmpl w:val="7C787D9E"/>
    <w:lvl w:ilvl="0" w:tplc="19E2592A">
      <w:start w:val="1"/>
      <w:numFmt w:val="lowerLetter"/>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0D084E"/>
    <w:multiLevelType w:val="hybridMultilevel"/>
    <w:tmpl w:val="98AEC9D0"/>
    <w:lvl w:ilvl="0" w:tplc="1158DF9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4C35FE"/>
    <w:multiLevelType w:val="hybridMultilevel"/>
    <w:tmpl w:val="FCBEA004"/>
    <w:lvl w:ilvl="0" w:tplc="4F0E2F30">
      <w:start w:val="1"/>
      <w:numFmt w:val="bullet"/>
      <w:lvlText w:val=""/>
      <w:lvlJc w:val="left"/>
      <w:pPr>
        <w:tabs>
          <w:tab w:val="num" w:pos="720"/>
        </w:tabs>
        <w:ind w:left="720" w:hanging="360"/>
      </w:pPr>
      <w:rPr>
        <w:rFonts w:ascii="Wingdings" w:hAnsi="Wingdings" w:hint="default"/>
      </w:rPr>
    </w:lvl>
    <w:lvl w:ilvl="1" w:tplc="A37C5548">
      <w:numFmt w:val="bullet"/>
      <w:lvlText w:val="•"/>
      <w:lvlJc w:val="left"/>
      <w:pPr>
        <w:tabs>
          <w:tab w:val="num" w:pos="1440"/>
        </w:tabs>
        <w:ind w:left="1440" w:hanging="360"/>
      </w:pPr>
      <w:rPr>
        <w:rFonts w:ascii="Arial" w:hAnsi="Arial" w:hint="default"/>
      </w:rPr>
    </w:lvl>
    <w:lvl w:ilvl="2" w:tplc="31E8E2CC" w:tentative="1">
      <w:start w:val="1"/>
      <w:numFmt w:val="bullet"/>
      <w:lvlText w:val=""/>
      <w:lvlJc w:val="left"/>
      <w:pPr>
        <w:tabs>
          <w:tab w:val="num" w:pos="2160"/>
        </w:tabs>
        <w:ind w:left="2160" w:hanging="360"/>
      </w:pPr>
      <w:rPr>
        <w:rFonts w:ascii="Wingdings" w:hAnsi="Wingdings" w:hint="default"/>
      </w:rPr>
    </w:lvl>
    <w:lvl w:ilvl="3" w:tplc="58D8DD3C" w:tentative="1">
      <w:start w:val="1"/>
      <w:numFmt w:val="bullet"/>
      <w:lvlText w:val=""/>
      <w:lvlJc w:val="left"/>
      <w:pPr>
        <w:tabs>
          <w:tab w:val="num" w:pos="2880"/>
        </w:tabs>
        <w:ind w:left="2880" w:hanging="360"/>
      </w:pPr>
      <w:rPr>
        <w:rFonts w:ascii="Wingdings" w:hAnsi="Wingdings" w:hint="default"/>
      </w:rPr>
    </w:lvl>
    <w:lvl w:ilvl="4" w:tplc="E15C3F08" w:tentative="1">
      <w:start w:val="1"/>
      <w:numFmt w:val="bullet"/>
      <w:lvlText w:val=""/>
      <w:lvlJc w:val="left"/>
      <w:pPr>
        <w:tabs>
          <w:tab w:val="num" w:pos="3600"/>
        </w:tabs>
        <w:ind w:left="3600" w:hanging="360"/>
      </w:pPr>
      <w:rPr>
        <w:rFonts w:ascii="Wingdings" w:hAnsi="Wingdings" w:hint="default"/>
      </w:rPr>
    </w:lvl>
    <w:lvl w:ilvl="5" w:tplc="970C3778" w:tentative="1">
      <w:start w:val="1"/>
      <w:numFmt w:val="bullet"/>
      <w:lvlText w:val=""/>
      <w:lvlJc w:val="left"/>
      <w:pPr>
        <w:tabs>
          <w:tab w:val="num" w:pos="4320"/>
        </w:tabs>
        <w:ind w:left="4320" w:hanging="360"/>
      </w:pPr>
      <w:rPr>
        <w:rFonts w:ascii="Wingdings" w:hAnsi="Wingdings" w:hint="default"/>
      </w:rPr>
    </w:lvl>
    <w:lvl w:ilvl="6" w:tplc="71F8B8F2" w:tentative="1">
      <w:start w:val="1"/>
      <w:numFmt w:val="bullet"/>
      <w:lvlText w:val=""/>
      <w:lvlJc w:val="left"/>
      <w:pPr>
        <w:tabs>
          <w:tab w:val="num" w:pos="5040"/>
        </w:tabs>
        <w:ind w:left="5040" w:hanging="360"/>
      </w:pPr>
      <w:rPr>
        <w:rFonts w:ascii="Wingdings" w:hAnsi="Wingdings" w:hint="default"/>
      </w:rPr>
    </w:lvl>
    <w:lvl w:ilvl="7" w:tplc="8C308AC6" w:tentative="1">
      <w:start w:val="1"/>
      <w:numFmt w:val="bullet"/>
      <w:lvlText w:val=""/>
      <w:lvlJc w:val="left"/>
      <w:pPr>
        <w:tabs>
          <w:tab w:val="num" w:pos="5760"/>
        </w:tabs>
        <w:ind w:left="5760" w:hanging="360"/>
      </w:pPr>
      <w:rPr>
        <w:rFonts w:ascii="Wingdings" w:hAnsi="Wingdings" w:hint="default"/>
      </w:rPr>
    </w:lvl>
    <w:lvl w:ilvl="8" w:tplc="63DE94C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num w:numId="1" w16cid:durableId="1939021094">
    <w:abstractNumId w:val="14"/>
  </w:num>
  <w:num w:numId="2" w16cid:durableId="4450012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426890">
    <w:abstractNumId w:val="21"/>
  </w:num>
  <w:num w:numId="4" w16cid:durableId="136804226">
    <w:abstractNumId w:val="9"/>
  </w:num>
  <w:num w:numId="5" w16cid:durableId="1886870302">
    <w:abstractNumId w:val="16"/>
  </w:num>
  <w:num w:numId="6" w16cid:durableId="756942600">
    <w:abstractNumId w:val="18"/>
  </w:num>
  <w:num w:numId="7" w16cid:durableId="526020091">
    <w:abstractNumId w:val="1"/>
  </w:num>
  <w:num w:numId="8" w16cid:durableId="1157039508">
    <w:abstractNumId w:val="17"/>
  </w:num>
  <w:num w:numId="9" w16cid:durableId="128516923">
    <w:abstractNumId w:val="4"/>
  </w:num>
  <w:num w:numId="10" w16cid:durableId="1104108046">
    <w:abstractNumId w:val="8"/>
  </w:num>
  <w:num w:numId="11" w16cid:durableId="1148398545">
    <w:abstractNumId w:val="7"/>
  </w:num>
  <w:num w:numId="12" w16cid:durableId="946160576">
    <w:abstractNumId w:val="23"/>
  </w:num>
  <w:num w:numId="13" w16cid:durableId="1523081911">
    <w:abstractNumId w:val="6"/>
  </w:num>
  <w:num w:numId="14" w16cid:durableId="1262491650">
    <w:abstractNumId w:val="22"/>
  </w:num>
  <w:num w:numId="15" w16cid:durableId="1113597271">
    <w:abstractNumId w:val="13"/>
  </w:num>
  <w:num w:numId="16" w16cid:durableId="481503674">
    <w:abstractNumId w:val="2"/>
  </w:num>
  <w:num w:numId="17" w16cid:durableId="884947796">
    <w:abstractNumId w:val="15"/>
  </w:num>
  <w:num w:numId="18" w16cid:durableId="1793788477">
    <w:abstractNumId w:val="0"/>
  </w:num>
  <w:num w:numId="19" w16cid:durableId="964895038">
    <w:abstractNumId w:val="3"/>
  </w:num>
  <w:num w:numId="20" w16cid:durableId="506217078">
    <w:abstractNumId w:val="19"/>
  </w:num>
  <w:num w:numId="21" w16cid:durableId="1066684746">
    <w:abstractNumId w:val="11"/>
  </w:num>
  <w:num w:numId="22" w16cid:durableId="613830518">
    <w:abstractNumId w:val="12"/>
  </w:num>
  <w:num w:numId="23" w16cid:durableId="307437009">
    <w:abstractNumId w:val="5"/>
  </w:num>
  <w:num w:numId="24" w16cid:durableId="889074661">
    <w:abstractNumId w:val="10"/>
  </w:num>
  <w:num w:numId="25" w16cid:durableId="165879910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2AD"/>
    <w:rsid w:val="0000586E"/>
    <w:rsid w:val="00046D48"/>
    <w:rsid w:val="0005289D"/>
    <w:rsid w:val="00054827"/>
    <w:rsid w:val="000571DA"/>
    <w:rsid w:val="0005779D"/>
    <w:rsid w:val="00060F2A"/>
    <w:rsid w:val="00061456"/>
    <w:rsid w:val="00062432"/>
    <w:rsid w:val="00063B01"/>
    <w:rsid w:val="00090A23"/>
    <w:rsid w:val="00093A43"/>
    <w:rsid w:val="000949A4"/>
    <w:rsid w:val="000A43D1"/>
    <w:rsid w:val="000B2559"/>
    <w:rsid w:val="000B64F0"/>
    <w:rsid w:val="000C0CFB"/>
    <w:rsid w:val="000F2D49"/>
    <w:rsid w:val="00104576"/>
    <w:rsid w:val="001069E2"/>
    <w:rsid w:val="001156C6"/>
    <w:rsid w:val="00120775"/>
    <w:rsid w:val="00125CE0"/>
    <w:rsid w:val="0014401E"/>
    <w:rsid w:val="00145644"/>
    <w:rsid w:val="00153C43"/>
    <w:rsid w:val="0015417C"/>
    <w:rsid w:val="0016510A"/>
    <w:rsid w:val="00167922"/>
    <w:rsid w:val="001716F2"/>
    <w:rsid w:val="00175810"/>
    <w:rsid w:val="00175883"/>
    <w:rsid w:val="00194601"/>
    <w:rsid w:val="001A4F0F"/>
    <w:rsid w:val="001B4CD5"/>
    <w:rsid w:val="001B6A94"/>
    <w:rsid w:val="001C11D4"/>
    <w:rsid w:val="001D136B"/>
    <w:rsid w:val="001F3ED6"/>
    <w:rsid w:val="00207C55"/>
    <w:rsid w:val="002200CC"/>
    <w:rsid w:val="00221AFA"/>
    <w:rsid w:val="00233CC9"/>
    <w:rsid w:val="00236A6D"/>
    <w:rsid w:val="00243A40"/>
    <w:rsid w:val="00253E99"/>
    <w:rsid w:val="002561FD"/>
    <w:rsid w:val="00275713"/>
    <w:rsid w:val="0028022D"/>
    <w:rsid w:val="00282599"/>
    <w:rsid w:val="0029092F"/>
    <w:rsid w:val="002922D2"/>
    <w:rsid w:val="00292DFE"/>
    <w:rsid w:val="00294098"/>
    <w:rsid w:val="00294FE8"/>
    <w:rsid w:val="002977FF"/>
    <w:rsid w:val="002A1C47"/>
    <w:rsid w:val="002B43E1"/>
    <w:rsid w:val="002B72E1"/>
    <w:rsid w:val="002C23C8"/>
    <w:rsid w:val="002C32EB"/>
    <w:rsid w:val="002C47F5"/>
    <w:rsid w:val="002D5EF6"/>
    <w:rsid w:val="002E085F"/>
    <w:rsid w:val="002E1831"/>
    <w:rsid w:val="002E1B7E"/>
    <w:rsid w:val="002F1C7B"/>
    <w:rsid w:val="002F3769"/>
    <w:rsid w:val="003030D8"/>
    <w:rsid w:val="00305072"/>
    <w:rsid w:val="00305AEB"/>
    <w:rsid w:val="003063C7"/>
    <w:rsid w:val="00312776"/>
    <w:rsid w:val="00314A49"/>
    <w:rsid w:val="00316934"/>
    <w:rsid w:val="003205AD"/>
    <w:rsid w:val="00321DD1"/>
    <w:rsid w:val="003228C6"/>
    <w:rsid w:val="00330161"/>
    <w:rsid w:val="00333B99"/>
    <w:rsid w:val="00337893"/>
    <w:rsid w:val="00345F8B"/>
    <w:rsid w:val="00346ED3"/>
    <w:rsid w:val="00352195"/>
    <w:rsid w:val="00361CBE"/>
    <w:rsid w:val="00373E8C"/>
    <w:rsid w:val="00375BAF"/>
    <w:rsid w:val="00385DF6"/>
    <w:rsid w:val="00393F1E"/>
    <w:rsid w:val="00395E4E"/>
    <w:rsid w:val="00396894"/>
    <w:rsid w:val="003A146B"/>
    <w:rsid w:val="003A6AE5"/>
    <w:rsid w:val="003B5B62"/>
    <w:rsid w:val="003D2DB2"/>
    <w:rsid w:val="003D53D8"/>
    <w:rsid w:val="003D593C"/>
    <w:rsid w:val="0040530D"/>
    <w:rsid w:val="00406F58"/>
    <w:rsid w:val="00414436"/>
    <w:rsid w:val="004209BA"/>
    <w:rsid w:val="004212F0"/>
    <w:rsid w:val="0042215A"/>
    <w:rsid w:val="004235BF"/>
    <w:rsid w:val="00423E84"/>
    <w:rsid w:val="00431D7D"/>
    <w:rsid w:val="00433797"/>
    <w:rsid w:val="00453FC4"/>
    <w:rsid w:val="004574B5"/>
    <w:rsid w:val="00462089"/>
    <w:rsid w:val="00465D05"/>
    <w:rsid w:val="00466831"/>
    <w:rsid w:val="00472A30"/>
    <w:rsid w:val="00474FED"/>
    <w:rsid w:val="004801AB"/>
    <w:rsid w:val="00480E15"/>
    <w:rsid w:val="00483B93"/>
    <w:rsid w:val="00487301"/>
    <w:rsid w:val="004963BE"/>
    <w:rsid w:val="004C43DD"/>
    <w:rsid w:val="004C5901"/>
    <w:rsid w:val="004C6014"/>
    <w:rsid w:val="004C7251"/>
    <w:rsid w:val="004D139D"/>
    <w:rsid w:val="004D4921"/>
    <w:rsid w:val="004D6816"/>
    <w:rsid w:val="00506E3E"/>
    <w:rsid w:val="00513871"/>
    <w:rsid w:val="0051416A"/>
    <w:rsid w:val="0052116C"/>
    <w:rsid w:val="00525C26"/>
    <w:rsid w:val="00534E65"/>
    <w:rsid w:val="00537284"/>
    <w:rsid w:val="00543CCD"/>
    <w:rsid w:val="00550898"/>
    <w:rsid w:val="0055636B"/>
    <w:rsid w:val="00576836"/>
    <w:rsid w:val="00584D1A"/>
    <w:rsid w:val="0059520C"/>
    <w:rsid w:val="00596250"/>
    <w:rsid w:val="00596AF2"/>
    <w:rsid w:val="005973BE"/>
    <w:rsid w:val="005A0E3B"/>
    <w:rsid w:val="005A3A46"/>
    <w:rsid w:val="005A408D"/>
    <w:rsid w:val="005A5A18"/>
    <w:rsid w:val="005A6751"/>
    <w:rsid w:val="005A6DE0"/>
    <w:rsid w:val="005B0F6F"/>
    <w:rsid w:val="005B1281"/>
    <w:rsid w:val="005C195E"/>
    <w:rsid w:val="005C46A1"/>
    <w:rsid w:val="005D11BF"/>
    <w:rsid w:val="005E1133"/>
    <w:rsid w:val="005E5E8D"/>
    <w:rsid w:val="00615282"/>
    <w:rsid w:val="006213E9"/>
    <w:rsid w:val="006456C6"/>
    <w:rsid w:val="00677F5D"/>
    <w:rsid w:val="00684C95"/>
    <w:rsid w:val="006954F3"/>
    <w:rsid w:val="006A1C9E"/>
    <w:rsid w:val="006A32A9"/>
    <w:rsid w:val="006A441B"/>
    <w:rsid w:val="006B3A5B"/>
    <w:rsid w:val="006C6D8B"/>
    <w:rsid w:val="006D397C"/>
    <w:rsid w:val="006E1036"/>
    <w:rsid w:val="006E5308"/>
    <w:rsid w:val="006E5EAA"/>
    <w:rsid w:val="006F15E1"/>
    <w:rsid w:val="007001C7"/>
    <w:rsid w:val="007017BF"/>
    <w:rsid w:val="00702959"/>
    <w:rsid w:val="00707500"/>
    <w:rsid w:val="007136CA"/>
    <w:rsid w:val="00713EFC"/>
    <w:rsid w:val="00723F24"/>
    <w:rsid w:val="0072470C"/>
    <w:rsid w:val="00730F58"/>
    <w:rsid w:val="007342AA"/>
    <w:rsid w:val="0075757E"/>
    <w:rsid w:val="0076168D"/>
    <w:rsid w:val="00762512"/>
    <w:rsid w:val="00763DB3"/>
    <w:rsid w:val="00766420"/>
    <w:rsid w:val="00772B59"/>
    <w:rsid w:val="00776D76"/>
    <w:rsid w:val="00776EF6"/>
    <w:rsid w:val="00777A40"/>
    <w:rsid w:val="0078268A"/>
    <w:rsid w:val="00784E8D"/>
    <w:rsid w:val="007917E9"/>
    <w:rsid w:val="0079246E"/>
    <w:rsid w:val="007A6019"/>
    <w:rsid w:val="007C1D10"/>
    <w:rsid w:val="007C6038"/>
    <w:rsid w:val="007E3971"/>
    <w:rsid w:val="007E6549"/>
    <w:rsid w:val="007F0CAE"/>
    <w:rsid w:val="007F1461"/>
    <w:rsid w:val="007F4E67"/>
    <w:rsid w:val="008054B9"/>
    <w:rsid w:val="00805EFF"/>
    <w:rsid w:val="0081277A"/>
    <w:rsid w:val="00820E81"/>
    <w:rsid w:val="00822DBB"/>
    <w:rsid w:val="00825986"/>
    <w:rsid w:val="008359E9"/>
    <w:rsid w:val="008411C2"/>
    <w:rsid w:val="00852485"/>
    <w:rsid w:val="00852A9F"/>
    <w:rsid w:val="00874C32"/>
    <w:rsid w:val="008A74F6"/>
    <w:rsid w:val="008B37C7"/>
    <w:rsid w:val="008B56A6"/>
    <w:rsid w:val="008C1D7F"/>
    <w:rsid w:val="008C3AB2"/>
    <w:rsid w:val="008D0C43"/>
    <w:rsid w:val="008D4079"/>
    <w:rsid w:val="008D5BAE"/>
    <w:rsid w:val="008E0242"/>
    <w:rsid w:val="008F258D"/>
    <w:rsid w:val="008F5E1E"/>
    <w:rsid w:val="008F7471"/>
    <w:rsid w:val="008F79EE"/>
    <w:rsid w:val="00923849"/>
    <w:rsid w:val="009243DD"/>
    <w:rsid w:val="0092533A"/>
    <w:rsid w:val="009269FF"/>
    <w:rsid w:val="00936E7E"/>
    <w:rsid w:val="0094253F"/>
    <w:rsid w:val="00954DD9"/>
    <w:rsid w:val="0096064F"/>
    <w:rsid w:val="00960F5A"/>
    <w:rsid w:val="00967CD4"/>
    <w:rsid w:val="009733E1"/>
    <w:rsid w:val="00975F39"/>
    <w:rsid w:val="009824EB"/>
    <w:rsid w:val="0098684C"/>
    <w:rsid w:val="00990389"/>
    <w:rsid w:val="009A0E96"/>
    <w:rsid w:val="009B03DA"/>
    <w:rsid w:val="009B5BFC"/>
    <w:rsid w:val="009C628E"/>
    <w:rsid w:val="009D4067"/>
    <w:rsid w:val="009D76EC"/>
    <w:rsid w:val="009E32C1"/>
    <w:rsid w:val="009E3825"/>
    <w:rsid w:val="009E41ED"/>
    <w:rsid w:val="009F11EF"/>
    <w:rsid w:val="00A019F4"/>
    <w:rsid w:val="00A039E5"/>
    <w:rsid w:val="00A06D04"/>
    <w:rsid w:val="00A16859"/>
    <w:rsid w:val="00A16F9A"/>
    <w:rsid w:val="00A33339"/>
    <w:rsid w:val="00A400FD"/>
    <w:rsid w:val="00A41462"/>
    <w:rsid w:val="00A417C6"/>
    <w:rsid w:val="00A4565C"/>
    <w:rsid w:val="00A517B5"/>
    <w:rsid w:val="00A535D8"/>
    <w:rsid w:val="00A60A41"/>
    <w:rsid w:val="00A619C6"/>
    <w:rsid w:val="00A630FC"/>
    <w:rsid w:val="00A644AF"/>
    <w:rsid w:val="00A707AD"/>
    <w:rsid w:val="00A72DC4"/>
    <w:rsid w:val="00A7780A"/>
    <w:rsid w:val="00A839CE"/>
    <w:rsid w:val="00A901AA"/>
    <w:rsid w:val="00A923E6"/>
    <w:rsid w:val="00AA3EF8"/>
    <w:rsid w:val="00AC3849"/>
    <w:rsid w:val="00AC5E63"/>
    <w:rsid w:val="00AD0208"/>
    <w:rsid w:val="00AD139B"/>
    <w:rsid w:val="00AE2DB7"/>
    <w:rsid w:val="00AE4F22"/>
    <w:rsid w:val="00AF2B7A"/>
    <w:rsid w:val="00AF4559"/>
    <w:rsid w:val="00B01C0F"/>
    <w:rsid w:val="00B05A20"/>
    <w:rsid w:val="00B05FDD"/>
    <w:rsid w:val="00B23E9D"/>
    <w:rsid w:val="00B25B02"/>
    <w:rsid w:val="00B279ED"/>
    <w:rsid w:val="00B304C9"/>
    <w:rsid w:val="00B320C7"/>
    <w:rsid w:val="00B4149C"/>
    <w:rsid w:val="00B44311"/>
    <w:rsid w:val="00B45FBF"/>
    <w:rsid w:val="00B461BA"/>
    <w:rsid w:val="00B53408"/>
    <w:rsid w:val="00B619ED"/>
    <w:rsid w:val="00B7652E"/>
    <w:rsid w:val="00B906BA"/>
    <w:rsid w:val="00BA10A4"/>
    <w:rsid w:val="00BB1CB4"/>
    <w:rsid w:val="00BB25CB"/>
    <w:rsid w:val="00BB48F2"/>
    <w:rsid w:val="00BB7A4B"/>
    <w:rsid w:val="00BC2F13"/>
    <w:rsid w:val="00BC4A9F"/>
    <w:rsid w:val="00BD0DDF"/>
    <w:rsid w:val="00BD4E43"/>
    <w:rsid w:val="00BD7291"/>
    <w:rsid w:val="00BE7D58"/>
    <w:rsid w:val="00BF4E6B"/>
    <w:rsid w:val="00BF788D"/>
    <w:rsid w:val="00C02990"/>
    <w:rsid w:val="00C0492E"/>
    <w:rsid w:val="00C058D9"/>
    <w:rsid w:val="00C07ED1"/>
    <w:rsid w:val="00C154C1"/>
    <w:rsid w:val="00C275AC"/>
    <w:rsid w:val="00C31FC2"/>
    <w:rsid w:val="00C325F3"/>
    <w:rsid w:val="00C35EBA"/>
    <w:rsid w:val="00C37954"/>
    <w:rsid w:val="00C429AB"/>
    <w:rsid w:val="00C438B9"/>
    <w:rsid w:val="00C44AFE"/>
    <w:rsid w:val="00C462F3"/>
    <w:rsid w:val="00C500E6"/>
    <w:rsid w:val="00C643E9"/>
    <w:rsid w:val="00C67049"/>
    <w:rsid w:val="00C71120"/>
    <w:rsid w:val="00C80F6A"/>
    <w:rsid w:val="00C82393"/>
    <w:rsid w:val="00C84C04"/>
    <w:rsid w:val="00C961DE"/>
    <w:rsid w:val="00C97A31"/>
    <w:rsid w:val="00CA3196"/>
    <w:rsid w:val="00CB19C4"/>
    <w:rsid w:val="00CB39BA"/>
    <w:rsid w:val="00CE3EAC"/>
    <w:rsid w:val="00CF1000"/>
    <w:rsid w:val="00CF2191"/>
    <w:rsid w:val="00CF2A68"/>
    <w:rsid w:val="00CF62CF"/>
    <w:rsid w:val="00D02B8C"/>
    <w:rsid w:val="00D16713"/>
    <w:rsid w:val="00D17296"/>
    <w:rsid w:val="00D17C45"/>
    <w:rsid w:val="00D205F8"/>
    <w:rsid w:val="00D23241"/>
    <w:rsid w:val="00D24DE0"/>
    <w:rsid w:val="00D47439"/>
    <w:rsid w:val="00D538D5"/>
    <w:rsid w:val="00D55C60"/>
    <w:rsid w:val="00D5649A"/>
    <w:rsid w:val="00D7733D"/>
    <w:rsid w:val="00D92C8A"/>
    <w:rsid w:val="00D96475"/>
    <w:rsid w:val="00DA3E85"/>
    <w:rsid w:val="00DB614A"/>
    <w:rsid w:val="00DB6379"/>
    <w:rsid w:val="00DC0D33"/>
    <w:rsid w:val="00DD0AAF"/>
    <w:rsid w:val="00DE7D5A"/>
    <w:rsid w:val="00DF25C4"/>
    <w:rsid w:val="00DF2BEF"/>
    <w:rsid w:val="00DF327E"/>
    <w:rsid w:val="00DF41C4"/>
    <w:rsid w:val="00DF7E0D"/>
    <w:rsid w:val="00E0151B"/>
    <w:rsid w:val="00E27030"/>
    <w:rsid w:val="00E64FDB"/>
    <w:rsid w:val="00E67755"/>
    <w:rsid w:val="00E72F9F"/>
    <w:rsid w:val="00E7475A"/>
    <w:rsid w:val="00E87007"/>
    <w:rsid w:val="00E935C0"/>
    <w:rsid w:val="00E94DA8"/>
    <w:rsid w:val="00EA1FC8"/>
    <w:rsid w:val="00EA2248"/>
    <w:rsid w:val="00EA25D2"/>
    <w:rsid w:val="00EA372E"/>
    <w:rsid w:val="00EB25B6"/>
    <w:rsid w:val="00EB2E9C"/>
    <w:rsid w:val="00EB356C"/>
    <w:rsid w:val="00EB410E"/>
    <w:rsid w:val="00EB63EF"/>
    <w:rsid w:val="00EC3444"/>
    <w:rsid w:val="00EC4E79"/>
    <w:rsid w:val="00EC6126"/>
    <w:rsid w:val="00ED2822"/>
    <w:rsid w:val="00ED7D99"/>
    <w:rsid w:val="00EE0B35"/>
    <w:rsid w:val="00EE24A1"/>
    <w:rsid w:val="00EE4BA3"/>
    <w:rsid w:val="00F0320E"/>
    <w:rsid w:val="00F03C36"/>
    <w:rsid w:val="00F06840"/>
    <w:rsid w:val="00F17D5F"/>
    <w:rsid w:val="00F22044"/>
    <w:rsid w:val="00F26B4A"/>
    <w:rsid w:val="00F44988"/>
    <w:rsid w:val="00F45650"/>
    <w:rsid w:val="00F54A25"/>
    <w:rsid w:val="00F57D25"/>
    <w:rsid w:val="00F66690"/>
    <w:rsid w:val="00F67062"/>
    <w:rsid w:val="00F73A55"/>
    <w:rsid w:val="00F84281"/>
    <w:rsid w:val="00F84C92"/>
    <w:rsid w:val="00F936A9"/>
    <w:rsid w:val="00FB245B"/>
    <w:rsid w:val="00FC5F02"/>
    <w:rsid w:val="00FD0925"/>
    <w:rsid w:val="00FD1A19"/>
    <w:rsid w:val="00FD268B"/>
    <w:rsid w:val="00FE0ECF"/>
    <w:rsid w:val="00FE1B44"/>
    <w:rsid w:val="00FE4D83"/>
    <w:rsid w:val="00FF0D96"/>
    <w:rsid w:val="00FF57D9"/>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0FC"/>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305AEB"/>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305AEB"/>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305AEB"/>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paragraph" w:customStyle="1" w:styleId="Doc-text2">
    <w:name w:val="Doc-text2"/>
    <w:basedOn w:val="Normal"/>
    <w:link w:val="Doc-text2Char"/>
    <w:qFormat/>
    <w:rsid w:val="009824EB"/>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9824EB"/>
    <w:rPr>
      <w:rFonts w:ascii="Arial" w:eastAsia="MS Mincho" w:hAnsi="Arial"/>
      <w:szCs w:val="24"/>
      <w:lang w:val="en-GB" w:eastAsia="en-GB"/>
    </w:rPr>
  </w:style>
  <w:style w:type="paragraph" w:customStyle="1" w:styleId="PL">
    <w:name w:val="PL"/>
    <w:link w:val="PLChar"/>
    <w:qFormat/>
    <w:rsid w:val="00E64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64FDB"/>
    <w:rPr>
      <w:rFonts w:ascii="Courier New" w:eastAsia="Times New Roman" w:hAnsi="Courier New"/>
      <w:noProof/>
      <w:sz w:val="16"/>
      <w:shd w:val="clear" w:color="auto" w:fill="E6E6E6"/>
      <w:lang w:val="en-GB" w:eastAsia="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062432"/>
    <w:rPr>
      <w:rFonts w:ascii="Times New Roman" w:eastAsia="SimSun" w:hAnsi="Times New Roman"/>
    </w:rPr>
  </w:style>
  <w:style w:type="table" w:styleId="TableGrid">
    <w:name w:val="Table Grid"/>
    <w:basedOn w:val="TableNormal"/>
    <w:uiPriority w:val="39"/>
    <w:rsid w:val="00C3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16859"/>
    <w:rPr>
      <w:sz w:val="16"/>
      <w:szCs w:val="16"/>
    </w:rPr>
  </w:style>
  <w:style w:type="paragraph" w:styleId="CommentText">
    <w:name w:val="annotation text"/>
    <w:basedOn w:val="Normal"/>
    <w:link w:val="CommentTextChar"/>
    <w:uiPriority w:val="99"/>
    <w:unhideWhenUsed/>
    <w:rsid w:val="00A16859"/>
  </w:style>
  <w:style w:type="character" w:customStyle="1" w:styleId="CommentTextChar">
    <w:name w:val="Comment Text Char"/>
    <w:basedOn w:val="DefaultParagraphFont"/>
    <w:link w:val="CommentText"/>
    <w:uiPriority w:val="99"/>
    <w:rsid w:val="00A16859"/>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A16859"/>
    <w:rPr>
      <w:b/>
      <w:bCs/>
    </w:rPr>
  </w:style>
  <w:style w:type="character" w:customStyle="1" w:styleId="CommentSubjectChar">
    <w:name w:val="Comment Subject Char"/>
    <w:basedOn w:val="CommentTextChar"/>
    <w:link w:val="CommentSubject"/>
    <w:uiPriority w:val="99"/>
    <w:semiHidden/>
    <w:rsid w:val="00A16859"/>
    <w:rPr>
      <w:rFonts w:ascii="Times New Roman" w:eastAsia="SimSun" w:hAnsi="Times New Roman"/>
      <w:b/>
      <w:bCs/>
    </w:rPr>
  </w:style>
  <w:style w:type="paragraph" w:styleId="Caption">
    <w:name w:val="caption"/>
    <w:basedOn w:val="Normal"/>
    <w:next w:val="Normal"/>
    <w:uiPriority w:val="35"/>
    <w:unhideWhenUsed/>
    <w:qFormat/>
    <w:rsid w:val="00CA3196"/>
    <w:pPr>
      <w:spacing w:after="200"/>
    </w:pPr>
    <w:rPr>
      <w:i/>
      <w:iCs/>
      <w:color w:val="44546A" w:themeColor="text2"/>
      <w:sz w:val="18"/>
      <w:szCs w:val="18"/>
    </w:rPr>
  </w:style>
  <w:style w:type="paragraph" w:styleId="Revision">
    <w:name w:val="Revision"/>
    <w:hidden/>
    <w:uiPriority w:val="99"/>
    <w:semiHidden/>
    <w:rsid w:val="00207C55"/>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A57EF2-29B4-4EF6-BFAB-10CDF38E2670}">
  <ds:schemaRefs>
    <ds:schemaRef ds:uri="http://purl.org/dc/terms/"/>
    <ds:schemaRef ds:uri="http://schemas.microsoft.com/office/2006/documentManagement/types"/>
    <ds:schemaRef ds:uri="http://www.w3.org/XML/1998/namespace"/>
    <ds:schemaRef ds:uri="042397af-7977-45ef-9118-11c18c8623b6"/>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dcmitype/"/>
    <ds:schemaRef ds:uri="a7bc6c04-a6f3-4b85-abcc-278c78dc556b"/>
    <ds:schemaRef ds:uri="80530660-24fd-4391-a7a1-d653900fee43"/>
  </ds:schemaRefs>
</ds:datastoreItem>
</file>

<file path=customXml/itemProps2.xml><?xml version="1.0" encoding="utf-8"?>
<ds:datastoreItem xmlns:ds="http://schemas.openxmlformats.org/officeDocument/2006/customXml" ds:itemID="{64DC04D6-5006-4CE0-9548-B45A2EE10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FC08EB-935E-4251-A964-94EF14DD6E66}">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1374</TotalTime>
  <Pages>2</Pages>
  <Words>819</Words>
  <Characters>4670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(Marta)</cp:lastModifiedBy>
  <cp:revision>323</cp:revision>
  <dcterms:created xsi:type="dcterms:W3CDTF">2023-05-04T22:58:00Z</dcterms:created>
  <dcterms:modified xsi:type="dcterms:W3CDTF">2023-08-10T20:24:00Z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