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09C49573"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5B3FDE" w:rsidRPr="00E30475">
        <w:rPr>
          <w:b/>
          <w:sz w:val="24"/>
        </w:rPr>
        <w:t>3</w:t>
      </w:r>
      <w:r w:rsidRPr="00982A60">
        <w:rPr>
          <w:b/>
          <w:sz w:val="24"/>
        </w:rPr>
        <w:tab/>
      </w:r>
      <w:r w:rsidR="005B3FDE" w:rsidRPr="00982A60">
        <w:rPr>
          <w:b/>
          <w:sz w:val="24"/>
        </w:rPr>
        <w:t>R2-2</w:t>
      </w:r>
      <w:r w:rsidR="00D72C97">
        <w:rPr>
          <w:b/>
          <w:sz w:val="24"/>
        </w:rPr>
        <w:t>3</w:t>
      </w:r>
      <w:r w:rsidR="00016FBA" w:rsidRPr="00982A60">
        <w:rPr>
          <w:b/>
          <w:sz w:val="24"/>
        </w:rPr>
        <w:t>07612</w:t>
      </w:r>
    </w:p>
    <w:p w14:paraId="7BE55ADA" w14:textId="14200748" w:rsidR="00006A82" w:rsidRPr="00E30475" w:rsidRDefault="005B3FDE" w:rsidP="000A4B61">
      <w:pPr>
        <w:pStyle w:val="CRCoverPage"/>
        <w:tabs>
          <w:tab w:val="right" w:pos="9639"/>
        </w:tabs>
        <w:spacing w:after="0"/>
        <w:rPr>
          <w:rFonts w:eastAsia="SimSun"/>
          <w:b/>
          <w:sz w:val="24"/>
        </w:rPr>
      </w:pPr>
      <w:r w:rsidRPr="00E30475">
        <w:rPr>
          <w:b/>
          <w:sz w:val="24"/>
        </w:rPr>
        <w:t xml:space="preserve">Toulouse, France, 21 </w:t>
      </w:r>
      <w:r w:rsidR="00016FBA">
        <w:rPr>
          <w:b/>
          <w:sz w:val="24"/>
        </w:rPr>
        <w:t>-</w:t>
      </w:r>
      <w:r w:rsidRPr="00E30475">
        <w:rPr>
          <w:b/>
          <w:sz w:val="24"/>
        </w:rPr>
        <w:t xml:space="preserve"> 25 August</w:t>
      </w:r>
      <w:r w:rsidR="00B93516" w:rsidRPr="00E30475">
        <w:rPr>
          <w:b/>
          <w:sz w:val="24"/>
        </w:rPr>
        <w:t xml:space="preserve"> 2023</w:t>
      </w:r>
    </w:p>
    <w:p w14:paraId="28DB4DAA" w14:textId="77777777" w:rsidR="00006A82" w:rsidRPr="00E30475" w:rsidRDefault="00006A82" w:rsidP="00955170">
      <w:pPr>
        <w:pStyle w:val="3GPPHeader"/>
        <w:rPr>
          <w:rFonts w:eastAsia="MS Mincho" w:cs="Arial"/>
          <w:szCs w:val="24"/>
          <w:lang w:eastAsia="en-US"/>
        </w:rPr>
      </w:pPr>
    </w:p>
    <w:p w14:paraId="003F3EF7" w14:textId="2BC40F2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w:t>
      </w:r>
      <w:bookmarkStart w:id="0" w:name="_GoBack"/>
      <w:bookmarkEnd w:id="0"/>
      <w:r w:rsidRPr="002328E6">
        <w:rPr>
          <w:rFonts w:ascii="Arial" w:eastAsia="MS Mincho" w:hAnsi="Arial" w:cs="Arial"/>
          <w:szCs w:val="24"/>
          <w:lang w:eastAsia="en-US"/>
        </w:rPr>
        <w:t>em:</w:t>
      </w:r>
      <w:r w:rsidRPr="002328E6">
        <w:rPr>
          <w:rFonts w:ascii="Arial" w:eastAsia="MS Mincho" w:hAnsi="Arial" w:cs="Arial"/>
          <w:szCs w:val="24"/>
          <w:lang w:eastAsia="en-US"/>
        </w:rPr>
        <w:tab/>
      </w:r>
      <w:r w:rsidR="00C45B41" w:rsidRPr="002328E6">
        <w:rPr>
          <w:rFonts w:ascii="Arial" w:eastAsia="MS Mincho" w:hAnsi="Arial" w:cs="Arial"/>
          <w:szCs w:val="24"/>
          <w:lang w:eastAsia="en-US"/>
        </w:rPr>
        <w:t>7</w:t>
      </w:r>
      <w:r w:rsidR="00C0459E" w:rsidRPr="002328E6">
        <w:rPr>
          <w:rFonts w:ascii="Arial" w:eastAsia="MS Mincho" w:hAnsi="Arial" w:cs="Arial"/>
          <w:szCs w:val="24"/>
          <w:lang w:eastAsia="en-US"/>
        </w:rPr>
        <w:t>.</w:t>
      </w:r>
      <w:r w:rsidR="00555F51" w:rsidRPr="002328E6">
        <w:rPr>
          <w:rFonts w:ascii="Arial" w:eastAsia="MS Mincho" w:hAnsi="Arial" w:cs="Arial"/>
          <w:szCs w:val="24"/>
          <w:lang w:eastAsia="en-US"/>
        </w:rPr>
        <w:t>4.2.1</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5061EDD7"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bookmarkStart w:id="1" w:name="_Hlk142581582"/>
      <w:r w:rsidR="00372D00" w:rsidRPr="002328E6">
        <w:rPr>
          <w:rFonts w:ascii="Arial" w:eastAsia="MS Mincho" w:hAnsi="Arial" w:cs="Arial"/>
          <w:szCs w:val="24"/>
          <w:lang w:eastAsia="en-US"/>
        </w:rPr>
        <w:t xml:space="preserve">RACH-less LTM </w:t>
      </w:r>
      <w:r w:rsidR="0060536A" w:rsidRPr="002328E6">
        <w:rPr>
          <w:rFonts w:ascii="Arial" w:eastAsia="MS Mincho" w:hAnsi="Arial" w:cs="Arial"/>
          <w:szCs w:val="24"/>
          <w:lang w:eastAsia="en-US"/>
        </w:rPr>
        <w:t>and early TA</w:t>
      </w:r>
      <w:r w:rsidR="0060536A" w:rsidRPr="002328E6" w:rsidDel="0060536A">
        <w:rPr>
          <w:rFonts w:ascii="Arial" w:eastAsia="MS Mincho" w:hAnsi="Arial" w:cs="Arial"/>
          <w:szCs w:val="24"/>
          <w:lang w:eastAsia="en-US"/>
        </w:rPr>
        <w:t xml:space="preserve"> </w:t>
      </w:r>
      <w:r w:rsidR="0060536A" w:rsidRPr="002328E6">
        <w:rPr>
          <w:rFonts w:ascii="Arial" w:eastAsia="MS Mincho" w:hAnsi="Arial" w:cs="Arial"/>
          <w:szCs w:val="24"/>
          <w:lang w:eastAsia="en-US"/>
        </w:rPr>
        <w:t>acquisition</w:t>
      </w:r>
      <w:bookmarkEnd w:id="1"/>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4F4178A7" w14:textId="77777777" w:rsidR="006011ED" w:rsidRPr="00E30475" w:rsidRDefault="000A4B61" w:rsidP="006011ED">
      <w:pPr>
        <w:pStyle w:val="Heading1"/>
      </w:pPr>
      <w:r w:rsidRPr="00E30475">
        <w:t>Introduction</w:t>
      </w:r>
    </w:p>
    <w:p w14:paraId="0AD64B9C" w14:textId="42974F4C" w:rsidR="00C96C52" w:rsidRPr="00E30475" w:rsidRDefault="00215BA5" w:rsidP="00A81B6B">
      <w:r w:rsidRPr="00E30475">
        <w:t>L1/L2-triggered mobility (LTM) aims at reducing the latency during cell switch. RACH-less cell switch is one essential technology that helps reduc</w:t>
      </w:r>
      <w:r w:rsidR="00E30475" w:rsidRPr="00E30475">
        <w:t>ing</w:t>
      </w:r>
      <w:r w:rsidRPr="00E30475">
        <w:t xml:space="preserve"> the handover latency. In this contribution, we analyse how to achieve RACH-less LTM cell switch.</w:t>
      </w:r>
    </w:p>
    <w:p w14:paraId="088961FA" w14:textId="61F0097B" w:rsidR="003C7F86" w:rsidRPr="00E30475" w:rsidRDefault="00914DC3" w:rsidP="005032D7">
      <w:pPr>
        <w:pStyle w:val="Heading1"/>
        <w:rPr>
          <w:rFonts w:eastAsiaTheme="minorEastAsia"/>
        </w:rPr>
      </w:pPr>
      <w:r w:rsidRPr="00E30475">
        <w:rPr>
          <w:rFonts w:eastAsiaTheme="minorEastAsia"/>
        </w:rPr>
        <w:t>Discussion</w:t>
      </w:r>
    </w:p>
    <w:p w14:paraId="595472A6" w14:textId="3F250DD1" w:rsidR="009A5027" w:rsidRPr="00E30475" w:rsidRDefault="009A5027" w:rsidP="00750995">
      <w:pPr>
        <w:pStyle w:val="Heading2"/>
      </w:pPr>
      <w:r w:rsidRPr="00E30475">
        <w:t>UL grant and beam alignment</w:t>
      </w:r>
      <w:r w:rsidR="00B24CF8">
        <w:t xml:space="preserve"> in RACH-less</w:t>
      </w:r>
    </w:p>
    <w:p w14:paraId="71589A7F" w14:textId="30BE4484" w:rsidR="0010706B" w:rsidRPr="00E30475" w:rsidRDefault="0010706B" w:rsidP="00AA7373">
      <w:r w:rsidRPr="00E30475">
        <w:t xml:space="preserve">In RACH-less </w:t>
      </w:r>
      <w:r w:rsidR="003769D3">
        <w:t>LTM</w:t>
      </w:r>
      <w:r w:rsidRPr="00E30475">
        <w:t>, the UE needs to send a</w:t>
      </w:r>
      <w:r w:rsidR="003769D3">
        <w:t>n</w:t>
      </w:r>
      <w:r w:rsidRPr="00E30475">
        <w:t xml:space="preserve"> UL message to let the target cell/DU know that this UE is coming </w:t>
      </w:r>
      <w:r w:rsidR="003769D3">
        <w:t>s</w:t>
      </w:r>
      <w:r w:rsidRPr="00E30475">
        <w:t>o a</w:t>
      </w:r>
      <w:r w:rsidR="003769D3">
        <w:t>n</w:t>
      </w:r>
      <w:r w:rsidRPr="00E30475">
        <w:t xml:space="preserve"> UL grant should be provided to the UE, either as a configured grant</w:t>
      </w:r>
      <w:r w:rsidR="00424A0A" w:rsidRPr="00E30475">
        <w:t xml:space="preserve"> (CG)</w:t>
      </w:r>
      <w:r w:rsidRPr="00E30475">
        <w:t xml:space="preserve"> or </w:t>
      </w:r>
      <w:r w:rsidR="003769D3">
        <w:t xml:space="preserve">as </w:t>
      </w:r>
      <w:r w:rsidRPr="00E30475">
        <w:t>a dynamic grant</w:t>
      </w:r>
      <w:r w:rsidR="00424A0A" w:rsidRPr="00E30475">
        <w:t xml:space="preserve"> (DG)</w:t>
      </w:r>
      <w:r w:rsidRPr="00E30475">
        <w:t xml:space="preserve">. In addition, beam alignment between the UE and the target cell/DU should be completed </w:t>
      </w:r>
      <w:r w:rsidR="003769D3">
        <w:t>in order to</w:t>
      </w:r>
      <w:r w:rsidRPr="00E30475">
        <w:t xml:space="preserve"> </w:t>
      </w:r>
      <w:r w:rsidR="00530F87">
        <w:t xml:space="preserve">allow successful transmission of </w:t>
      </w:r>
      <w:r w:rsidRPr="00E30475">
        <w:t xml:space="preserve">UL </w:t>
      </w:r>
      <w:r w:rsidR="00530F87">
        <w:t xml:space="preserve">and DL </w:t>
      </w:r>
      <w:r w:rsidRPr="00E30475">
        <w:t>message</w:t>
      </w:r>
      <w:r w:rsidR="00530F87">
        <w:t>s</w:t>
      </w:r>
      <w:r w:rsidRPr="00E30475">
        <w:t>.</w:t>
      </w:r>
      <w:r w:rsidR="00424A0A" w:rsidRPr="00E30475">
        <w:t xml:space="preserve"> RAN2 had the following agreement in RAN2 #122</w:t>
      </w:r>
      <w:r w:rsidR="003769D3">
        <w:t>:</w:t>
      </w:r>
    </w:p>
    <w:tbl>
      <w:tblPr>
        <w:tblStyle w:val="TableGrid"/>
        <w:tblW w:w="0" w:type="auto"/>
        <w:tblLook w:val="04A0" w:firstRow="1" w:lastRow="0" w:firstColumn="1" w:lastColumn="0" w:noHBand="0" w:noVBand="1"/>
      </w:tblPr>
      <w:tblGrid>
        <w:gridCol w:w="9629"/>
      </w:tblGrid>
      <w:tr w:rsidR="00CF5FE3" w:rsidRPr="00E30475" w14:paraId="739C4134" w14:textId="77777777" w:rsidTr="00CF5FE3">
        <w:tc>
          <w:tcPr>
            <w:tcW w:w="9629" w:type="dxa"/>
          </w:tcPr>
          <w:p w14:paraId="295D6512" w14:textId="188034D7" w:rsidR="00CF5FE3" w:rsidRPr="00E30475" w:rsidRDefault="00CF5FE3" w:rsidP="00CF5FE3">
            <w:pPr>
              <w:pStyle w:val="Agreement"/>
              <w:numPr>
                <w:ilvl w:val="0"/>
                <w:numId w:val="0"/>
              </w:numPr>
              <w:ind w:leftChars="6" w:left="372" w:hanging="360"/>
              <w:rPr>
                <w:rFonts w:eastAsiaTheme="minorEastAsia"/>
                <w:b w:val="0"/>
                <w:i/>
                <w:u w:val="single"/>
                <w:lang w:eastAsia="zh-CN"/>
              </w:rPr>
            </w:pPr>
            <w:r w:rsidRPr="00E30475">
              <w:rPr>
                <w:rFonts w:eastAsiaTheme="minorEastAsia"/>
                <w:b w:val="0"/>
                <w:i/>
                <w:u w:val="single"/>
                <w:lang w:eastAsia="zh-CN"/>
              </w:rPr>
              <w:t>RAN2 #122 meeting</w:t>
            </w:r>
          </w:p>
          <w:p w14:paraId="2B163109" w14:textId="77777777" w:rsidR="00CF5FE3" w:rsidRPr="00E30475" w:rsidRDefault="00CF5FE3" w:rsidP="00CF5FE3">
            <w:pPr>
              <w:widowControl w:val="0"/>
              <w:numPr>
                <w:ilvl w:val="0"/>
                <w:numId w:val="47"/>
              </w:numPr>
              <w:tabs>
                <w:tab w:val="clear" w:pos="2665"/>
                <w:tab w:val="num" w:pos="1619"/>
              </w:tabs>
              <w:overflowPunct/>
              <w:autoSpaceDE/>
              <w:autoSpaceDN/>
              <w:adjustRightInd/>
              <w:spacing w:before="60" w:after="0"/>
              <w:ind w:leftChars="6" w:left="372"/>
              <w:jc w:val="both"/>
              <w:textAlignment w:val="auto"/>
              <w:rPr>
                <w:rFonts w:eastAsia="MS Mincho"/>
                <w:b/>
                <w:szCs w:val="24"/>
              </w:rPr>
            </w:pPr>
            <w:r w:rsidRPr="00E30475">
              <w:rPr>
                <w:rFonts w:eastAsia="MS Mincho"/>
                <w:b/>
                <w:szCs w:val="24"/>
              </w:rPr>
              <w:t>Dynamic grant can be used for RACH-less LTM, for the first UL data transmission to the target cell:</w:t>
            </w:r>
          </w:p>
          <w:p w14:paraId="0D63E5F6" w14:textId="77777777" w:rsidR="00CF5FE3" w:rsidRPr="00E30475" w:rsidRDefault="00CF5FE3" w:rsidP="00CF5FE3">
            <w:pPr>
              <w:tabs>
                <w:tab w:val="left" w:pos="1619"/>
              </w:tabs>
              <w:overflowPunct/>
              <w:autoSpaceDE/>
              <w:autoSpaceDN/>
              <w:adjustRightInd/>
              <w:spacing w:before="60" w:after="0"/>
              <w:ind w:leftChars="186" w:left="372"/>
              <w:textAlignment w:val="auto"/>
              <w:rPr>
                <w:rFonts w:eastAsia="MS Mincho"/>
                <w:b/>
                <w:szCs w:val="24"/>
              </w:rPr>
            </w:pPr>
            <w:r w:rsidRPr="00E30475">
              <w:rPr>
                <w:rFonts w:eastAsia="MS Mincho"/>
                <w:b/>
                <w:szCs w:val="24"/>
              </w:rPr>
              <w:t xml:space="preserve">- the UE monitors PDCCH for dynamic scheduling from the target cell, upon LTM cell switch. </w:t>
            </w:r>
          </w:p>
          <w:p w14:paraId="4C79D0FA" w14:textId="77777777" w:rsidR="00CF5FE3" w:rsidRPr="00E30475" w:rsidRDefault="00CF5FE3" w:rsidP="00CF5FE3">
            <w:pPr>
              <w:tabs>
                <w:tab w:val="left" w:pos="1619"/>
              </w:tabs>
              <w:overflowPunct/>
              <w:autoSpaceDE/>
              <w:autoSpaceDN/>
              <w:adjustRightInd/>
              <w:spacing w:before="60" w:after="0"/>
              <w:ind w:leftChars="186" w:left="372"/>
              <w:textAlignment w:val="auto"/>
              <w:rPr>
                <w:rFonts w:eastAsia="MS Mincho"/>
                <w:b/>
                <w:szCs w:val="24"/>
              </w:rPr>
            </w:pPr>
            <w:r w:rsidRPr="00E30475">
              <w:rPr>
                <w:rFonts w:eastAsia="MS Mincho"/>
                <w:b/>
                <w:szCs w:val="24"/>
              </w:rPr>
              <w:t xml:space="preserve">- upon cell switch decision, R2 assumes that the source DU informs the target DU about the selected beam, so that the target DU can start scheduling dynamic UL grant. </w:t>
            </w:r>
          </w:p>
          <w:p w14:paraId="5CC102FB" w14:textId="0A94632D" w:rsidR="00CF5FE3" w:rsidRPr="00E30475" w:rsidRDefault="00CF5FE3" w:rsidP="00CF5FE3">
            <w:pPr>
              <w:widowControl w:val="0"/>
              <w:numPr>
                <w:ilvl w:val="0"/>
                <w:numId w:val="47"/>
              </w:numPr>
              <w:tabs>
                <w:tab w:val="clear" w:pos="2665"/>
                <w:tab w:val="num" w:pos="1619"/>
              </w:tabs>
              <w:overflowPunct/>
              <w:autoSpaceDE/>
              <w:autoSpaceDN/>
              <w:adjustRightInd/>
              <w:spacing w:before="60" w:after="0"/>
              <w:ind w:leftChars="6" w:left="372"/>
              <w:jc w:val="both"/>
              <w:textAlignment w:val="auto"/>
              <w:rPr>
                <w:u w:val="single"/>
              </w:rPr>
            </w:pPr>
            <w:r w:rsidRPr="00E30475">
              <w:rPr>
                <w:rFonts w:eastAsia="MS Mincho"/>
                <w:b/>
                <w:szCs w:val="24"/>
              </w:rPr>
              <w:t>Configured grant can be used for RACH-less LTM, for the first UL data transmission to the target cell, the UE selects the configured grant occasion, which is associated with the beam indicated in the LTM MAC CE (as set by source cell). FFS further optimization</w:t>
            </w:r>
          </w:p>
        </w:tc>
      </w:tr>
    </w:tbl>
    <w:p w14:paraId="6F2BE030" w14:textId="77777777" w:rsidR="0010706B" w:rsidRPr="00E30475" w:rsidRDefault="0010706B" w:rsidP="0056237F">
      <w:pPr>
        <w:spacing w:before="180"/>
        <w:rPr>
          <w:u w:val="single"/>
        </w:rPr>
      </w:pPr>
      <w:r w:rsidRPr="00E30475">
        <w:rPr>
          <w:u w:val="single"/>
        </w:rPr>
        <w:t>Configured grant &amp; beam alignment</w:t>
      </w:r>
    </w:p>
    <w:p w14:paraId="5B219A57" w14:textId="0271DFE9" w:rsidR="0056237F" w:rsidRPr="00E30475" w:rsidRDefault="0056237F" w:rsidP="00AA7373">
      <w:r w:rsidRPr="00E30475">
        <w:t>In t</w:t>
      </w:r>
      <w:r w:rsidR="0010706B" w:rsidRPr="00E30475">
        <w:t xml:space="preserve">he configured grant </w:t>
      </w:r>
      <w:r w:rsidRPr="00E30475">
        <w:t xml:space="preserve">solution, CG occasions are associated with beams, which is similar </w:t>
      </w:r>
      <w:r w:rsidR="00912821">
        <w:t>to</w:t>
      </w:r>
      <w:r w:rsidR="00912821" w:rsidRPr="00E30475">
        <w:t xml:space="preserve"> </w:t>
      </w:r>
      <w:r w:rsidRPr="00E30475">
        <w:t xml:space="preserve">Rel-17 CG-SDT. In CG SDT, the UE compares the SSB RSRP with a configured threshold. If the RSRP of the SSB associated with a particular CG occasion is lower than the threshold, the UE considers this CG occasion </w:t>
      </w:r>
      <w:r w:rsidR="00912821">
        <w:t>a</w:t>
      </w:r>
      <w:r w:rsidRPr="00E30475">
        <w:t xml:space="preserve">s invalid. The motivation of this comparison is to select a good beam. However, in LTM, the source DU has indicated a good beam in the LTM cell switch MAC CE. Therefore, the UE does not need to evaluate the RSRP of the indicated beam. </w:t>
      </w:r>
      <w:r w:rsidR="0095768C" w:rsidRPr="00E30475">
        <w:t xml:space="preserve">RAN2 needs to define the </w:t>
      </w:r>
      <w:r w:rsidR="00912821">
        <w:t xml:space="preserve">configuration of the </w:t>
      </w:r>
      <w:r w:rsidR="00BD1E40">
        <w:t>(</w:t>
      </w:r>
      <w:r w:rsidR="00912821">
        <w:t>beam</w:t>
      </w:r>
      <w:r w:rsidR="00BD1E40">
        <w:t>, CG)</w:t>
      </w:r>
      <w:r w:rsidR="00912821">
        <w:t xml:space="preserve"> </w:t>
      </w:r>
      <w:r w:rsidR="0095768C" w:rsidRPr="00E30475">
        <w:t xml:space="preserve">association and </w:t>
      </w:r>
      <w:r w:rsidR="00530F87">
        <w:t xml:space="preserve">that the UE shall use a </w:t>
      </w:r>
      <w:r w:rsidR="0095768C" w:rsidRPr="00E30475">
        <w:t xml:space="preserve">CG occasion </w:t>
      </w:r>
      <w:r w:rsidR="00530F87">
        <w:t xml:space="preserve">associated with </w:t>
      </w:r>
      <w:r w:rsidR="0095768C" w:rsidRPr="00E30475">
        <w:t>the indicated beam</w:t>
      </w:r>
      <w:r w:rsidR="008D4352">
        <w:t xml:space="preserve"> to</w:t>
      </w:r>
      <w:r w:rsidR="00544013">
        <w:t xml:space="preserve"> transmit the first UL message (</w:t>
      </w:r>
      <w:r w:rsidR="00544013" w:rsidRPr="00544013">
        <w:rPr>
          <w:i/>
        </w:rPr>
        <w:t>RRCReconfigurationComplete</w:t>
      </w:r>
      <w:r w:rsidR="00544013">
        <w:t>).</w:t>
      </w:r>
    </w:p>
    <w:p w14:paraId="5AC026FB" w14:textId="42448214" w:rsidR="0056237F" w:rsidRPr="00E30475" w:rsidRDefault="006C3A59" w:rsidP="00AA7373">
      <w:pPr>
        <w:rPr>
          <w:b/>
          <w:color w:val="000000"/>
        </w:rPr>
      </w:pPr>
      <w:r>
        <w:rPr>
          <w:rFonts w:eastAsiaTheme="minorEastAsia"/>
          <w:b/>
        </w:rPr>
        <w:t xml:space="preserve">Observation </w:t>
      </w:r>
      <w:r w:rsidR="00D72C97">
        <w:rPr>
          <w:rFonts w:eastAsiaTheme="minorEastAsia"/>
          <w:b/>
        </w:rPr>
        <w:t>1</w:t>
      </w:r>
      <w:r w:rsidR="0056237F" w:rsidRPr="00E30475">
        <w:rPr>
          <w:rFonts w:eastAsiaTheme="minorEastAsia"/>
          <w:b/>
        </w:rPr>
        <w:t xml:space="preserve">: </w:t>
      </w:r>
      <w:r w:rsidR="00C52367" w:rsidRPr="00E30475">
        <w:rPr>
          <w:rFonts w:eastAsiaTheme="minorEastAsia"/>
          <w:b/>
        </w:rPr>
        <w:t xml:space="preserve">In the CG based RACH-less </w:t>
      </w:r>
      <w:r w:rsidR="004041F6">
        <w:rPr>
          <w:rFonts w:eastAsiaTheme="minorEastAsia"/>
          <w:b/>
        </w:rPr>
        <w:t xml:space="preserve">LTM </w:t>
      </w:r>
      <w:r w:rsidR="00C52367" w:rsidRPr="00E30475">
        <w:rPr>
          <w:rFonts w:eastAsiaTheme="minorEastAsia"/>
          <w:b/>
        </w:rPr>
        <w:t>procedure, t</w:t>
      </w:r>
      <w:r w:rsidR="0056237F" w:rsidRPr="00E30475">
        <w:rPr>
          <w:rFonts w:eastAsiaTheme="minorEastAsia"/>
          <w:b/>
        </w:rPr>
        <w:t xml:space="preserve">he </w:t>
      </w:r>
      <w:r w:rsidR="0056237F" w:rsidRPr="00E30475">
        <w:rPr>
          <w:b/>
          <w:color w:val="000000"/>
        </w:rPr>
        <w:t>UE does not need to check the RSRP of the indicated beam in the LTM cell switch MAC CE before using the CG occasion</w:t>
      </w:r>
      <w:r w:rsidR="00C52367" w:rsidRPr="00E30475">
        <w:rPr>
          <w:b/>
          <w:color w:val="000000"/>
        </w:rPr>
        <w:t>.</w:t>
      </w:r>
    </w:p>
    <w:p w14:paraId="2DFE9AC3" w14:textId="65A42F45" w:rsidR="00A640DD" w:rsidRPr="00E30475" w:rsidRDefault="00EC291B" w:rsidP="00B86844">
      <w:pPr>
        <w:rPr>
          <w:rFonts w:eastAsiaTheme="minorEastAsia"/>
          <w:b/>
        </w:rPr>
      </w:pPr>
      <w:r w:rsidRPr="00E30475">
        <w:rPr>
          <w:rFonts w:eastAsiaTheme="minorEastAsia"/>
          <w:b/>
        </w:rPr>
        <w:t xml:space="preserve">Proposal </w:t>
      </w:r>
      <w:r w:rsidR="00D72C97">
        <w:rPr>
          <w:rFonts w:eastAsiaTheme="minorEastAsia"/>
          <w:b/>
        </w:rPr>
        <w:t>1</w:t>
      </w:r>
      <w:r w:rsidRPr="00E30475">
        <w:rPr>
          <w:rFonts w:eastAsiaTheme="minorEastAsia"/>
          <w:b/>
        </w:rPr>
        <w:t>: Define</w:t>
      </w:r>
      <w:r w:rsidRPr="00E30475">
        <w:rPr>
          <w:b/>
        </w:rPr>
        <w:t xml:space="preserve"> the association between CG occasion and beam in RRC and specify th</w:t>
      </w:r>
      <w:r w:rsidR="00530F87">
        <w:rPr>
          <w:b/>
        </w:rPr>
        <w:t>at the UE uses a</w:t>
      </w:r>
      <w:r w:rsidR="00530F87" w:rsidRPr="00E30475">
        <w:rPr>
          <w:b/>
        </w:rPr>
        <w:t xml:space="preserve"> </w:t>
      </w:r>
      <w:r w:rsidRPr="00E30475">
        <w:rPr>
          <w:b/>
        </w:rPr>
        <w:t xml:space="preserve">CG occasion </w:t>
      </w:r>
      <w:r w:rsidR="00530F87">
        <w:rPr>
          <w:b/>
        </w:rPr>
        <w:t xml:space="preserve">associated with </w:t>
      </w:r>
      <w:r w:rsidRPr="00E30475">
        <w:rPr>
          <w:b/>
        </w:rPr>
        <w:t>the indicated beam in MAC.</w:t>
      </w:r>
    </w:p>
    <w:p w14:paraId="28FD1D77" w14:textId="142EB855" w:rsidR="0095768C" w:rsidRPr="00E30475" w:rsidRDefault="00F2721F" w:rsidP="00B86844">
      <w:r>
        <w:t>A</w:t>
      </w:r>
      <w:r w:rsidR="008520CB">
        <w:t xml:space="preserve">fter UE successfully accesses the target cell, </w:t>
      </w:r>
      <w:r>
        <w:t xml:space="preserve">there is no need to use the association between CG occasions and beams. </w:t>
      </w:r>
      <w:r w:rsidR="008520CB">
        <w:t xml:space="preserve">Either the UE </w:t>
      </w:r>
      <w:r>
        <w:t xml:space="preserve">does not use the </w:t>
      </w:r>
      <w:r w:rsidR="008520CB">
        <w:t xml:space="preserve">CG resources for RACH-less after successful cell switch, or the CG </w:t>
      </w:r>
      <w:r>
        <w:t>resources can be used without the associated</w:t>
      </w:r>
      <w:r w:rsidR="008D4352">
        <w:t xml:space="preserve"> beams</w:t>
      </w:r>
      <w:r w:rsidR="008520CB">
        <w:t xml:space="preserve">. </w:t>
      </w:r>
      <w:r w:rsidR="00882544">
        <w:t xml:space="preserve">In LTE RACH-less, the UE releases the CG resources </w:t>
      </w:r>
      <w:r>
        <w:t>autonomously</w:t>
      </w:r>
      <w:r w:rsidR="00882544">
        <w:t xml:space="preserve">, without an </w:t>
      </w:r>
      <w:r w:rsidR="00882544">
        <w:lastRenderedPageBreak/>
        <w:t xml:space="preserve">explicit </w:t>
      </w:r>
      <w:r w:rsidR="00882544" w:rsidRPr="002202AE">
        <w:rPr>
          <w:i/>
        </w:rPr>
        <w:t>RRCReconfiguration</w:t>
      </w:r>
      <w:r w:rsidR="00882544">
        <w:t xml:space="preserve"> message for CG resources release</w:t>
      </w:r>
      <w:r w:rsidR="0095768C" w:rsidRPr="00E30475">
        <w:t>.</w:t>
      </w:r>
      <w:r w:rsidR="00882544">
        <w:t xml:space="preserve"> This UE autonomous release can be re-used</w:t>
      </w:r>
      <w:r>
        <w:t xml:space="preserve"> for LTM, as anyway, at subsequent LTM to the same cell, the resource will be applied again</w:t>
      </w:r>
      <w:r w:rsidR="00882544">
        <w:t>.</w:t>
      </w:r>
    </w:p>
    <w:p w14:paraId="2E6A7553" w14:textId="7B7A1461" w:rsidR="0095768C" w:rsidRPr="00E30475" w:rsidRDefault="0095768C" w:rsidP="00B86844">
      <w:pPr>
        <w:rPr>
          <w:b/>
        </w:rPr>
      </w:pPr>
      <w:r w:rsidRPr="00E30475">
        <w:rPr>
          <w:b/>
        </w:rPr>
        <w:t xml:space="preserve">Proposal </w:t>
      </w:r>
      <w:r w:rsidR="00D72C97">
        <w:rPr>
          <w:b/>
        </w:rPr>
        <w:t>2</w:t>
      </w:r>
      <w:r w:rsidRPr="00E30475">
        <w:rPr>
          <w:b/>
        </w:rPr>
        <w:t xml:space="preserve">: The UE releases </w:t>
      </w:r>
      <w:r w:rsidR="00F2721F">
        <w:rPr>
          <w:b/>
        </w:rPr>
        <w:t>by itself</w:t>
      </w:r>
      <w:r w:rsidR="00F2721F" w:rsidRPr="00E30475">
        <w:rPr>
          <w:b/>
        </w:rPr>
        <w:t xml:space="preserve"> </w:t>
      </w:r>
      <w:r w:rsidRPr="00E30475">
        <w:rPr>
          <w:b/>
        </w:rPr>
        <w:t>the CG resources</w:t>
      </w:r>
      <w:r w:rsidR="00882544">
        <w:rPr>
          <w:b/>
        </w:rPr>
        <w:t xml:space="preserve"> </w:t>
      </w:r>
      <w:r w:rsidRPr="00E30475">
        <w:rPr>
          <w:b/>
        </w:rPr>
        <w:t xml:space="preserve">for RACH-less </w:t>
      </w:r>
      <w:r w:rsidR="006C3A59">
        <w:rPr>
          <w:b/>
        </w:rPr>
        <w:t xml:space="preserve">LTM, </w:t>
      </w:r>
      <w:r w:rsidRPr="00E30475">
        <w:rPr>
          <w:b/>
        </w:rPr>
        <w:t xml:space="preserve">after </w:t>
      </w:r>
      <w:r w:rsidR="00B46EBB">
        <w:rPr>
          <w:b/>
        </w:rPr>
        <w:t xml:space="preserve">LTM </w:t>
      </w:r>
      <w:r w:rsidR="0063284B">
        <w:rPr>
          <w:b/>
        </w:rPr>
        <w:t>completion.</w:t>
      </w:r>
    </w:p>
    <w:p w14:paraId="7FA9359D" w14:textId="637C056F" w:rsidR="0010706B" w:rsidRPr="00E30475" w:rsidRDefault="0095768C" w:rsidP="00622ED3">
      <w:r w:rsidRPr="00E30475">
        <w:t xml:space="preserve">As described in the agreement and in the above analysis, CG occasions are associated with beams </w:t>
      </w:r>
      <w:r w:rsidRPr="00E30475">
        <w:rPr>
          <w:u w:val="single"/>
        </w:rPr>
        <w:t>(</w:t>
      </w:r>
      <w:r w:rsidR="00622ED3">
        <w:rPr>
          <w:u w:val="single"/>
        </w:rPr>
        <w:t>o</w:t>
      </w:r>
      <w:r w:rsidRPr="00E30475">
        <w:rPr>
          <w:u w:val="single"/>
        </w:rPr>
        <w:t>ption 1)</w:t>
      </w:r>
      <w:r w:rsidRPr="00E30475">
        <w:t xml:space="preserve">. </w:t>
      </w:r>
      <w:r w:rsidR="00031B12" w:rsidRPr="00E30475">
        <w:t>Another possible option of CG-based procedure is that there is no association between CG occasion and beam</w:t>
      </w:r>
      <w:r w:rsidR="00B86844" w:rsidRPr="00E30475">
        <w:t xml:space="preserve"> </w:t>
      </w:r>
      <w:r w:rsidR="00B86844" w:rsidRPr="00E30475">
        <w:rPr>
          <w:u w:val="single"/>
        </w:rPr>
        <w:t>(</w:t>
      </w:r>
      <w:r w:rsidR="00622ED3">
        <w:rPr>
          <w:u w:val="single"/>
        </w:rPr>
        <w:t>o</w:t>
      </w:r>
      <w:r w:rsidR="00B86844" w:rsidRPr="00E30475">
        <w:rPr>
          <w:u w:val="single"/>
        </w:rPr>
        <w:t>ption 2)</w:t>
      </w:r>
      <w:r w:rsidR="00031B12" w:rsidRPr="00E30475">
        <w:t xml:space="preserve">. In </w:t>
      </w:r>
      <w:r w:rsidR="00B86844" w:rsidRPr="00E30475">
        <w:t>Option 2</w:t>
      </w:r>
      <w:r w:rsidR="00031B12" w:rsidRPr="00E30475">
        <w:t xml:space="preserve">, the UE uses the closet CG occasion that can be used with the indicated beam in the LTM cell switch MAC CE. This requires the source DU to notify a beam direction to the target DU so </w:t>
      </w:r>
      <w:r w:rsidR="00622ED3">
        <w:t xml:space="preserve">that </w:t>
      </w:r>
      <w:r w:rsidR="00031B12" w:rsidRPr="00E30475">
        <w:t xml:space="preserve">the target DU knows from which beam it should try to receive uplink signals. </w:t>
      </w:r>
      <w:r w:rsidR="00B86844" w:rsidRPr="00E30475">
        <w:t>Option 2</w:t>
      </w:r>
      <w:r w:rsidR="00031B12" w:rsidRPr="00E30475">
        <w:t xml:space="preserve"> not only needs F1AP interaction but also need</w:t>
      </w:r>
      <w:r w:rsidR="00B86844" w:rsidRPr="00E30475">
        <w:t>s</w:t>
      </w:r>
      <w:r w:rsidR="00031B12" w:rsidRPr="00E30475">
        <w:t xml:space="preserve"> CG resource reservation. Since </w:t>
      </w:r>
      <w:r w:rsidR="00622ED3">
        <w:t>dynamic grant</w:t>
      </w:r>
      <w:r w:rsidR="00031B12" w:rsidRPr="00E30475">
        <w:t xml:space="preserve">-based RACH-less </w:t>
      </w:r>
      <w:r w:rsidR="00622ED3">
        <w:t>LTM</w:t>
      </w:r>
      <w:r w:rsidR="00622ED3" w:rsidRPr="00E30475">
        <w:t xml:space="preserve"> </w:t>
      </w:r>
      <w:r w:rsidR="00031B12" w:rsidRPr="00E30475">
        <w:t xml:space="preserve">only requires F1AP interaction and does not need CG resource reservation, </w:t>
      </w:r>
      <w:r w:rsidR="00622ED3">
        <w:t>o</w:t>
      </w:r>
      <w:r w:rsidR="00031B12" w:rsidRPr="00E30475">
        <w:t>ption</w:t>
      </w:r>
      <w:r w:rsidR="00B86844" w:rsidRPr="00E30475">
        <w:t xml:space="preserve"> 2</w:t>
      </w:r>
      <w:r w:rsidR="00031B12" w:rsidRPr="00E30475">
        <w:t xml:space="preserve"> </w:t>
      </w:r>
      <w:r w:rsidR="00622ED3">
        <w:t>looks worse</w:t>
      </w:r>
      <w:r w:rsidR="00031B12" w:rsidRPr="00E30475">
        <w:t xml:space="preserve"> than </w:t>
      </w:r>
      <w:r w:rsidR="00622ED3">
        <w:t>simply using dynamic grants</w:t>
      </w:r>
      <w:r w:rsidR="00031B12" w:rsidRPr="00E30475">
        <w:t>.</w:t>
      </w:r>
    </w:p>
    <w:p w14:paraId="675D46D1" w14:textId="77777777" w:rsidR="00B46EBB" w:rsidRPr="00E30475" w:rsidRDefault="00B46EBB" w:rsidP="00B46EBB">
      <w:pPr>
        <w:rPr>
          <w:u w:val="single"/>
        </w:rPr>
      </w:pPr>
      <w:r w:rsidRPr="00E30475">
        <w:rPr>
          <w:u w:val="single"/>
        </w:rPr>
        <w:t>Dynamic grant &amp; configured grant co-existence</w:t>
      </w:r>
    </w:p>
    <w:p w14:paraId="2E1DD228" w14:textId="77777777" w:rsidR="002430D6" w:rsidRDefault="00B46EBB" w:rsidP="00B46EBB">
      <w:r w:rsidRPr="00E30475">
        <w:t xml:space="preserve">In the configured grant procedure (above </w:t>
      </w:r>
      <w:r>
        <w:t>o</w:t>
      </w:r>
      <w:r w:rsidRPr="00E30475">
        <w:t xml:space="preserve">ption 1), there is no need to have </w:t>
      </w:r>
      <w:r>
        <w:t xml:space="preserve">a notification from </w:t>
      </w:r>
      <w:r w:rsidRPr="00E30475">
        <w:t xml:space="preserve">the source DU to </w:t>
      </w:r>
      <w:r>
        <w:t xml:space="preserve">the </w:t>
      </w:r>
      <w:r w:rsidRPr="00E30475">
        <w:t xml:space="preserve">target DU </w:t>
      </w:r>
      <w:r>
        <w:t xml:space="preserve">for LTM to be executed unlike </w:t>
      </w:r>
      <w:r w:rsidRPr="00E30475">
        <w:t xml:space="preserve">in the dynamic grant procedure. </w:t>
      </w:r>
      <w:r>
        <w:t xml:space="preserve">However, if we allow that the target DU uses dynamic grant for RACH-less even it has provided configured grant, the notification from the source DU to the target DU (via the CU) is still needed. After receiving the notification, the target DU can decide whether to just wait for the CG transmission from the UE or directly send a dynamic grant to the UE. Therefore, when </w:t>
      </w:r>
      <w:r w:rsidRPr="0063284B">
        <w:t>dynamic grant and configured grant procedure co-exists, the F1 notification from the source DU to the target DU (via) the CU is always needed.</w:t>
      </w:r>
    </w:p>
    <w:p w14:paraId="70CA1C29" w14:textId="680C6E30" w:rsidR="00B46EBB" w:rsidRPr="002430D6" w:rsidRDefault="002430D6" w:rsidP="00B46EBB">
      <w:r>
        <w:t xml:space="preserve">The motivation of allowing dynamic grant and configured grant </w:t>
      </w:r>
      <w:r w:rsidRPr="002430D6">
        <w:t xml:space="preserve">co-existence </w:t>
      </w:r>
      <w:r>
        <w:t xml:space="preserve">for a UE is to save </w:t>
      </w:r>
      <w:r w:rsidR="00363575">
        <w:t xml:space="preserve">handover </w:t>
      </w:r>
      <w:r>
        <w:t xml:space="preserve">latency in some cases. For instance, when the F1 interaction is very fast, the target DU can directly send dynamic grant to the UE and this dynamic grant will come earlier than an available configured grant occasion. Therefore, we can give the flexibility to the target DU </w:t>
      </w:r>
      <w:r w:rsidR="00363575">
        <w:t xml:space="preserve">to decide </w:t>
      </w:r>
      <w:r>
        <w:t xml:space="preserve">whether to send a dynamic grant even if configured grant </w:t>
      </w:r>
      <w:r w:rsidR="00363575">
        <w:t>has been</w:t>
      </w:r>
      <w:r>
        <w:t xml:space="preserve"> provided. </w:t>
      </w:r>
      <w:r w:rsidR="00387EFE">
        <w:t>T</w:t>
      </w:r>
      <w:r>
        <w:t xml:space="preserve">he UE </w:t>
      </w:r>
      <w:r w:rsidR="00387EFE">
        <w:t>starts</w:t>
      </w:r>
      <w:r>
        <w:t xml:space="preserve"> monitor</w:t>
      </w:r>
      <w:r w:rsidR="00387EFE">
        <w:t>ing</w:t>
      </w:r>
      <w:r>
        <w:t xml:space="preserve"> PDCCH after receiving the LTM cell switch MAC CE, even </w:t>
      </w:r>
      <w:r w:rsidR="00387EFE">
        <w:t xml:space="preserve">if </w:t>
      </w:r>
      <w:r>
        <w:t xml:space="preserve">it has </w:t>
      </w:r>
      <w:r w:rsidR="00387EFE">
        <w:t xml:space="preserve">a </w:t>
      </w:r>
      <w:r>
        <w:t>configured grant. T</w:t>
      </w:r>
      <w:r w:rsidRPr="002430D6">
        <w:t xml:space="preserve">he UE shall use the first available grant, which is either </w:t>
      </w:r>
      <w:r w:rsidR="00387EFE">
        <w:t>a configured grant</w:t>
      </w:r>
      <w:r w:rsidRPr="002430D6">
        <w:t xml:space="preserve"> or </w:t>
      </w:r>
      <w:r w:rsidR="00387EFE">
        <w:t>a dynamic grant</w:t>
      </w:r>
      <w:r>
        <w:t>.</w:t>
      </w:r>
    </w:p>
    <w:p w14:paraId="0072A203" w14:textId="5DE27C7A" w:rsidR="00B46EBB" w:rsidRPr="0063284B" w:rsidRDefault="00B46EBB" w:rsidP="00B46EBB">
      <w:pPr>
        <w:rPr>
          <w:b/>
          <w:sz w:val="21"/>
          <w:szCs w:val="21"/>
        </w:rPr>
      </w:pPr>
      <w:r w:rsidRPr="0063284B">
        <w:rPr>
          <w:b/>
        </w:rPr>
        <w:t xml:space="preserve">Proposal </w:t>
      </w:r>
      <w:r w:rsidR="00D72C97">
        <w:rPr>
          <w:b/>
        </w:rPr>
        <w:t>3</w:t>
      </w:r>
      <w:r w:rsidRPr="0063284B">
        <w:rPr>
          <w:b/>
        </w:rPr>
        <w:t xml:space="preserve">a: </w:t>
      </w:r>
      <w:r w:rsidR="00BC5F8E">
        <w:rPr>
          <w:b/>
        </w:rPr>
        <w:t>D</w:t>
      </w:r>
      <w:r w:rsidRPr="0063284B">
        <w:rPr>
          <w:b/>
        </w:rPr>
        <w:t xml:space="preserve">uring RACH-less LTM, </w:t>
      </w:r>
      <w:r w:rsidR="00BC5F8E">
        <w:rPr>
          <w:b/>
        </w:rPr>
        <w:t xml:space="preserve">the </w:t>
      </w:r>
      <w:r w:rsidRPr="0063284B">
        <w:rPr>
          <w:b/>
        </w:rPr>
        <w:t xml:space="preserve">UE </w:t>
      </w:r>
      <w:r w:rsidR="00BC5F8E">
        <w:rPr>
          <w:b/>
        </w:rPr>
        <w:t>shall use the first available grant, which is</w:t>
      </w:r>
      <w:r w:rsidRPr="0063284B">
        <w:rPr>
          <w:b/>
        </w:rPr>
        <w:t xml:space="preserve"> either </w:t>
      </w:r>
      <w:r w:rsidR="00387EFE">
        <w:rPr>
          <w:b/>
        </w:rPr>
        <w:t>a configured grant</w:t>
      </w:r>
      <w:r w:rsidRPr="0063284B">
        <w:rPr>
          <w:b/>
        </w:rPr>
        <w:t xml:space="preserve"> or </w:t>
      </w:r>
      <w:r w:rsidR="00387EFE">
        <w:rPr>
          <w:b/>
        </w:rPr>
        <w:t>a dynamic grant</w:t>
      </w:r>
      <w:r w:rsidRPr="0063284B">
        <w:rPr>
          <w:b/>
        </w:rPr>
        <w:t>.</w:t>
      </w:r>
    </w:p>
    <w:p w14:paraId="48BDF7A6" w14:textId="1FB3EF65" w:rsidR="00B46EBB" w:rsidRPr="00E30475" w:rsidRDefault="00B46EBB" w:rsidP="0063284B">
      <w:pPr>
        <w:rPr>
          <w:b/>
          <w:sz w:val="21"/>
          <w:szCs w:val="21"/>
        </w:rPr>
      </w:pPr>
      <w:r w:rsidRPr="00E30475">
        <w:rPr>
          <w:b/>
          <w:sz w:val="21"/>
          <w:szCs w:val="21"/>
        </w:rPr>
        <w:t xml:space="preserve">Proposal </w:t>
      </w:r>
      <w:r w:rsidR="00D72C97">
        <w:rPr>
          <w:b/>
          <w:sz w:val="21"/>
          <w:szCs w:val="21"/>
        </w:rPr>
        <w:t>3</w:t>
      </w:r>
      <w:r w:rsidR="0063284B">
        <w:rPr>
          <w:b/>
          <w:sz w:val="21"/>
          <w:szCs w:val="21"/>
        </w:rPr>
        <w:t>b</w:t>
      </w:r>
      <w:r w:rsidRPr="00E30475">
        <w:rPr>
          <w:b/>
          <w:sz w:val="21"/>
          <w:szCs w:val="21"/>
        </w:rPr>
        <w:t>:</w:t>
      </w:r>
      <w:r>
        <w:rPr>
          <w:b/>
          <w:sz w:val="21"/>
          <w:szCs w:val="21"/>
        </w:rPr>
        <w:t xml:space="preserve"> </w:t>
      </w:r>
      <w:r w:rsidR="00BC5F8E">
        <w:rPr>
          <w:b/>
          <w:sz w:val="21"/>
          <w:szCs w:val="21"/>
        </w:rPr>
        <w:t>For</w:t>
      </w:r>
      <w:r>
        <w:rPr>
          <w:b/>
          <w:sz w:val="21"/>
          <w:szCs w:val="21"/>
        </w:rPr>
        <w:t xml:space="preserve"> RACH-less LTM, RAN2 assume the source DU always informs target DU about the selected beam, to give </w:t>
      </w:r>
      <w:r w:rsidR="00387EFE">
        <w:rPr>
          <w:b/>
          <w:sz w:val="21"/>
          <w:szCs w:val="21"/>
        </w:rPr>
        <w:t xml:space="preserve">the </w:t>
      </w:r>
      <w:r>
        <w:rPr>
          <w:b/>
          <w:sz w:val="21"/>
          <w:szCs w:val="21"/>
        </w:rPr>
        <w:t xml:space="preserve">target DU </w:t>
      </w:r>
      <w:r w:rsidR="00387EFE">
        <w:rPr>
          <w:b/>
          <w:sz w:val="21"/>
          <w:szCs w:val="21"/>
        </w:rPr>
        <w:t>the possibility</w:t>
      </w:r>
      <w:r>
        <w:rPr>
          <w:b/>
          <w:sz w:val="21"/>
          <w:szCs w:val="21"/>
        </w:rPr>
        <w:t xml:space="preserve"> to use </w:t>
      </w:r>
      <w:r w:rsidR="00387EFE">
        <w:rPr>
          <w:b/>
          <w:sz w:val="21"/>
          <w:szCs w:val="21"/>
        </w:rPr>
        <w:t>a dynamic grant</w:t>
      </w:r>
      <w:r w:rsidR="00B47F40">
        <w:rPr>
          <w:b/>
          <w:sz w:val="21"/>
          <w:szCs w:val="21"/>
        </w:rPr>
        <w:t xml:space="preserve"> even</w:t>
      </w:r>
      <w:r>
        <w:rPr>
          <w:b/>
          <w:sz w:val="21"/>
          <w:szCs w:val="21"/>
        </w:rPr>
        <w:t xml:space="preserve"> if CG is configured. </w:t>
      </w:r>
    </w:p>
    <w:p w14:paraId="5B6BC533" w14:textId="1CB80E01" w:rsidR="00A11ABC" w:rsidRPr="00E30475" w:rsidRDefault="00A11ABC" w:rsidP="00A11ABC">
      <w:pPr>
        <w:pStyle w:val="Heading2"/>
      </w:pPr>
      <w:r w:rsidRPr="00E30475">
        <w:t>UE behaviour during RACH-less execution</w:t>
      </w:r>
    </w:p>
    <w:p w14:paraId="20D9B7C5" w14:textId="12BF21A6" w:rsidR="00A11ABC" w:rsidRPr="00E30475" w:rsidRDefault="00237730" w:rsidP="00E44216">
      <w:pPr>
        <w:rPr>
          <w:sz w:val="21"/>
          <w:szCs w:val="21"/>
        </w:rPr>
      </w:pPr>
      <w:r w:rsidRPr="00E30475">
        <w:rPr>
          <w:sz w:val="21"/>
          <w:szCs w:val="21"/>
        </w:rPr>
        <w:t>Normally if SR is triggered but</w:t>
      </w:r>
      <w:r w:rsidR="001B786C" w:rsidRPr="00E30475">
        <w:rPr>
          <w:sz w:val="21"/>
          <w:szCs w:val="21"/>
        </w:rPr>
        <w:t xml:space="preserve"> the UE has no valid PUCCH resource</w:t>
      </w:r>
      <w:r w:rsidRPr="00E30475">
        <w:rPr>
          <w:sz w:val="21"/>
          <w:szCs w:val="21"/>
        </w:rPr>
        <w:t xml:space="preserve"> for the SR</w:t>
      </w:r>
      <w:r w:rsidR="001B786C" w:rsidRPr="00E30475">
        <w:rPr>
          <w:sz w:val="21"/>
          <w:szCs w:val="21"/>
        </w:rPr>
        <w:t xml:space="preserve">, the UE triggers RACH. </w:t>
      </w:r>
      <w:r w:rsidRPr="00E30475">
        <w:rPr>
          <w:sz w:val="21"/>
          <w:szCs w:val="21"/>
        </w:rPr>
        <w:t>In LTE RACH-less, before T304 expires, the UE does not trigger RACH in the above case, because the UE can wait for a dynamic grant for target cell access. In LTM, we can re-use this rule to avoid unnecessary triggered RACH.</w:t>
      </w:r>
    </w:p>
    <w:p w14:paraId="497A8BAF" w14:textId="5E1E6611" w:rsidR="00237730" w:rsidRPr="00E30475" w:rsidRDefault="00237730" w:rsidP="00E44216">
      <w:pPr>
        <w:rPr>
          <w:b/>
          <w:sz w:val="21"/>
          <w:szCs w:val="21"/>
        </w:rPr>
      </w:pPr>
      <w:r w:rsidRPr="00E30475">
        <w:rPr>
          <w:b/>
          <w:sz w:val="21"/>
          <w:szCs w:val="21"/>
        </w:rPr>
        <w:t xml:space="preserve">Proposal </w:t>
      </w:r>
      <w:r w:rsidR="00D72C97">
        <w:rPr>
          <w:b/>
          <w:sz w:val="21"/>
          <w:szCs w:val="21"/>
        </w:rPr>
        <w:t>4</w:t>
      </w:r>
      <w:r w:rsidRPr="00E30475">
        <w:rPr>
          <w:b/>
          <w:sz w:val="21"/>
          <w:szCs w:val="21"/>
        </w:rPr>
        <w:t xml:space="preserve">: </w:t>
      </w:r>
      <w:r w:rsidR="003D37EC">
        <w:rPr>
          <w:b/>
          <w:sz w:val="21"/>
          <w:szCs w:val="21"/>
        </w:rPr>
        <w:t>Before RACH-less LTM procedure completion, t</w:t>
      </w:r>
      <w:r w:rsidRPr="00E30475">
        <w:rPr>
          <w:b/>
          <w:sz w:val="21"/>
          <w:szCs w:val="21"/>
        </w:rPr>
        <w:t xml:space="preserve">he UE shall not trigger RACH </w:t>
      </w:r>
      <w:r w:rsidR="003D37EC">
        <w:rPr>
          <w:b/>
          <w:sz w:val="21"/>
          <w:szCs w:val="21"/>
        </w:rPr>
        <w:t>(</w:t>
      </w:r>
      <w:r w:rsidRPr="00E30475">
        <w:rPr>
          <w:b/>
          <w:sz w:val="21"/>
          <w:szCs w:val="21"/>
        </w:rPr>
        <w:t>when the UE has no valid PUCCH resource for triggered SRs</w:t>
      </w:r>
      <w:r w:rsidR="003D37EC">
        <w:rPr>
          <w:b/>
          <w:sz w:val="21"/>
          <w:szCs w:val="21"/>
        </w:rPr>
        <w:t>)</w:t>
      </w:r>
      <w:r w:rsidRPr="00E30475">
        <w:rPr>
          <w:b/>
          <w:sz w:val="21"/>
          <w:szCs w:val="21"/>
        </w:rPr>
        <w:t>, as in LTE RACH-less.</w:t>
      </w:r>
    </w:p>
    <w:p w14:paraId="4D209B5B" w14:textId="497DFA00" w:rsidR="00011DD4" w:rsidRPr="00E30475" w:rsidRDefault="00087C56" w:rsidP="00011DD4">
      <w:r w:rsidRPr="00E30475">
        <w:t>When the UE is indicated to perform RACH-less pro</w:t>
      </w:r>
      <w:r w:rsidR="00703514">
        <w:t>cedure</w:t>
      </w:r>
      <w:r w:rsidRPr="00E30475">
        <w:t>, the UE starts a timer (e.g., T304) to monitor the procedure. When the timer expires, the UE can do fast recovery to a candidate cell (similar</w:t>
      </w:r>
      <w:r w:rsidR="00703514">
        <w:t>ly</w:t>
      </w:r>
      <w:r w:rsidRPr="00E30475">
        <w:t xml:space="preserve"> </w:t>
      </w:r>
      <w:r w:rsidR="00703514">
        <w:t>to</w:t>
      </w:r>
      <w:r w:rsidR="00703514" w:rsidRPr="00E30475">
        <w:t xml:space="preserve"> </w:t>
      </w:r>
      <w:r w:rsidRPr="00E30475">
        <w:t xml:space="preserve">CHO) by RACH. </w:t>
      </w:r>
      <w:proofErr w:type="gramStart"/>
      <w:r w:rsidRPr="00E30475">
        <w:t>So</w:t>
      </w:r>
      <w:proofErr w:type="gramEnd"/>
      <w:r w:rsidRPr="00E30475">
        <w:t xml:space="preserve"> there is no need to introduce RACH-less fallback to RACH procedure anymore.</w:t>
      </w:r>
    </w:p>
    <w:p w14:paraId="4522EA4A" w14:textId="29EA0FA5" w:rsidR="009B17F5" w:rsidRDefault="009B17F5" w:rsidP="00011DD4">
      <w:pPr>
        <w:rPr>
          <w:b/>
        </w:rPr>
      </w:pPr>
      <w:r>
        <w:rPr>
          <w:b/>
        </w:rPr>
        <w:t xml:space="preserve">Proposal </w:t>
      </w:r>
      <w:r w:rsidR="00D72C97">
        <w:rPr>
          <w:b/>
        </w:rPr>
        <w:t>5</w:t>
      </w:r>
      <w:r>
        <w:rPr>
          <w:b/>
        </w:rPr>
        <w:t xml:space="preserve">: If RACH-less LTM execution is not </w:t>
      </w:r>
      <w:r w:rsidR="0098296F">
        <w:rPr>
          <w:b/>
        </w:rPr>
        <w:t>successful</w:t>
      </w:r>
      <w:r>
        <w:rPr>
          <w:b/>
        </w:rPr>
        <w:t>:</w:t>
      </w:r>
    </w:p>
    <w:p w14:paraId="26754FE9" w14:textId="71391BA6" w:rsidR="009B17F5" w:rsidRPr="0098296F" w:rsidRDefault="009B17F5" w:rsidP="0098296F">
      <w:pPr>
        <w:pStyle w:val="B1"/>
        <w:rPr>
          <w:b/>
        </w:rPr>
      </w:pPr>
      <w:r w:rsidRPr="0098296F">
        <w:rPr>
          <w:b/>
        </w:rPr>
        <w:t>-</w:t>
      </w:r>
      <w:r w:rsidR="0098296F" w:rsidRPr="0098296F">
        <w:rPr>
          <w:b/>
        </w:rPr>
        <w:tab/>
      </w:r>
      <w:r w:rsidRPr="0098296F">
        <w:rPr>
          <w:b/>
        </w:rPr>
        <w:t>the UE performs cell selection</w:t>
      </w:r>
    </w:p>
    <w:p w14:paraId="5E27B951" w14:textId="4655F489" w:rsidR="009B17F5" w:rsidRPr="0098296F" w:rsidRDefault="009B17F5" w:rsidP="0098296F">
      <w:pPr>
        <w:pStyle w:val="B1"/>
        <w:rPr>
          <w:b/>
        </w:rPr>
      </w:pPr>
      <w:r w:rsidRPr="0098296F">
        <w:rPr>
          <w:b/>
        </w:rPr>
        <w:t>-</w:t>
      </w:r>
      <w:r w:rsidR="0098296F" w:rsidRPr="0098296F">
        <w:rPr>
          <w:b/>
        </w:rPr>
        <w:tab/>
      </w:r>
      <w:r w:rsidRPr="0098296F">
        <w:rPr>
          <w:b/>
        </w:rPr>
        <w:t>if the selected cell is an LTM candidate, the UE initiates RACH-based LTM to this candidate.</w:t>
      </w:r>
    </w:p>
    <w:p w14:paraId="783B2481" w14:textId="239EB69E" w:rsidR="009B17F5" w:rsidRPr="0098296F" w:rsidRDefault="009B17F5" w:rsidP="0098296F">
      <w:pPr>
        <w:pStyle w:val="B1"/>
        <w:rPr>
          <w:b/>
        </w:rPr>
      </w:pPr>
      <w:r w:rsidRPr="0098296F">
        <w:rPr>
          <w:b/>
        </w:rPr>
        <w:t>-</w:t>
      </w:r>
      <w:r w:rsidR="0098296F" w:rsidRPr="0098296F">
        <w:rPr>
          <w:b/>
        </w:rPr>
        <w:tab/>
      </w:r>
      <w:r w:rsidRPr="0098296F">
        <w:rPr>
          <w:b/>
        </w:rPr>
        <w:t>if the selected cell is not an LTM candidate, the UE performs RRC-reestablishment</w:t>
      </w:r>
    </w:p>
    <w:p w14:paraId="24A74F63" w14:textId="03169FEB" w:rsidR="009B17F5" w:rsidRDefault="009B17F5" w:rsidP="00011DD4">
      <w:pPr>
        <w:rPr>
          <w:b/>
        </w:rPr>
      </w:pPr>
      <w:r>
        <w:rPr>
          <w:b/>
        </w:rPr>
        <w:t xml:space="preserve">No other optimization is considered (e.g. no </w:t>
      </w:r>
      <w:r w:rsidR="0098296F">
        <w:rPr>
          <w:b/>
        </w:rPr>
        <w:t>fallback</w:t>
      </w:r>
      <w:r>
        <w:rPr>
          <w:b/>
        </w:rPr>
        <w:t xml:space="preserve"> from RACH-less to RACH-based for the same cell).</w:t>
      </w:r>
    </w:p>
    <w:p w14:paraId="590CD44A" w14:textId="77777777" w:rsidR="00D72C97" w:rsidRPr="00E30475" w:rsidRDefault="00D72C97" w:rsidP="00D72C97">
      <w:pPr>
        <w:pStyle w:val="Heading2"/>
      </w:pPr>
      <w:r>
        <w:lastRenderedPageBreak/>
        <w:t xml:space="preserve">Early </w:t>
      </w:r>
      <w:r w:rsidRPr="00E30475">
        <w:t>TA acquisition</w:t>
      </w:r>
    </w:p>
    <w:p w14:paraId="5C390A4D" w14:textId="77777777" w:rsidR="00D72C97" w:rsidRPr="00E30475" w:rsidRDefault="00D72C97" w:rsidP="00D72C97">
      <w:pPr>
        <w:spacing w:before="180"/>
        <w:rPr>
          <w:rFonts w:eastAsiaTheme="minorEastAsia"/>
        </w:rPr>
      </w:pPr>
      <w:r w:rsidRPr="00E30475">
        <w:t xml:space="preserve">In </w:t>
      </w:r>
      <w:r>
        <w:t xml:space="preserve">the </w:t>
      </w:r>
      <w:r w:rsidRPr="00E30475">
        <w:t xml:space="preserve">RACH-less procedure, the UE needs a valid TA to send the first UL message. </w:t>
      </w:r>
      <w:r w:rsidRPr="00E30475">
        <w:rPr>
          <w:rFonts w:eastAsiaTheme="minorEastAsia"/>
        </w:rPr>
        <w:t xml:space="preserve">RAN1 is discussing UE-based TA measurement as described in the LS </w:t>
      </w:r>
      <w:r w:rsidRPr="00E30475">
        <w:rPr>
          <w:rFonts w:eastAsiaTheme="minorEastAsia"/>
        </w:rPr>
        <w:fldChar w:fldCharType="begin"/>
      </w:r>
      <w:r w:rsidRPr="00E30475">
        <w:rPr>
          <w:rFonts w:eastAsiaTheme="minorEastAsia"/>
        </w:rPr>
        <w:instrText xml:space="preserve"> REF _Ref141897854 \r \h </w:instrText>
      </w:r>
      <w:r w:rsidRPr="00E30475">
        <w:rPr>
          <w:rFonts w:eastAsiaTheme="minorEastAsia"/>
        </w:rPr>
      </w:r>
      <w:r w:rsidRPr="00E30475">
        <w:rPr>
          <w:rFonts w:eastAsiaTheme="minorEastAsia"/>
        </w:rPr>
        <w:fldChar w:fldCharType="separate"/>
      </w:r>
      <w:r w:rsidRPr="00E30475">
        <w:rPr>
          <w:rFonts w:eastAsiaTheme="minorEastAsia"/>
        </w:rPr>
        <w:t>[1]</w:t>
      </w:r>
      <w:r w:rsidRPr="00E30475">
        <w:rPr>
          <w:rFonts w:eastAsiaTheme="minorEastAsia"/>
        </w:rPr>
        <w:fldChar w:fldCharType="end"/>
      </w:r>
      <w:r>
        <w:rPr>
          <w:rFonts w:eastAsiaTheme="minorEastAsia"/>
        </w:rPr>
        <w:t xml:space="preserve"> as shown below</w:t>
      </w:r>
      <w:r w:rsidRPr="00E30475">
        <w:rPr>
          <w:rFonts w:eastAsiaTheme="minorEastAsia"/>
        </w:rPr>
        <w:t xml:space="preserve">. </w:t>
      </w:r>
    </w:p>
    <w:tbl>
      <w:tblPr>
        <w:tblStyle w:val="TableGrid"/>
        <w:tblW w:w="0" w:type="auto"/>
        <w:tblLook w:val="04A0" w:firstRow="1" w:lastRow="0" w:firstColumn="1" w:lastColumn="0" w:noHBand="0" w:noVBand="1"/>
      </w:tblPr>
      <w:tblGrid>
        <w:gridCol w:w="9629"/>
      </w:tblGrid>
      <w:tr w:rsidR="00D72C97" w:rsidRPr="00E30475" w14:paraId="44C0425A" w14:textId="77777777" w:rsidTr="00E470E5">
        <w:tc>
          <w:tcPr>
            <w:tcW w:w="9629" w:type="dxa"/>
          </w:tcPr>
          <w:p w14:paraId="134D09A3" w14:textId="77777777" w:rsidR="00D72C97" w:rsidRPr="00E30475" w:rsidRDefault="00D72C97" w:rsidP="00E470E5">
            <w:pPr>
              <w:overflowPunct/>
              <w:autoSpaceDE/>
              <w:autoSpaceDN/>
              <w:adjustRightInd/>
              <w:spacing w:after="0"/>
              <w:textAlignment w:val="auto"/>
              <w:rPr>
                <w:rFonts w:eastAsia="Yu Mincho" w:cs="Arial"/>
                <w:bCs/>
                <w:i/>
                <w:u w:val="single"/>
              </w:rPr>
            </w:pPr>
            <w:r w:rsidRPr="00E30475">
              <w:rPr>
                <w:rFonts w:eastAsia="Yu Mincho" w:cs="Arial"/>
                <w:bCs/>
                <w:i/>
                <w:u w:val="single"/>
              </w:rPr>
              <w:t>R1-2306259</w:t>
            </w:r>
          </w:p>
          <w:p w14:paraId="0D7767A4" w14:textId="77777777" w:rsidR="00D72C97" w:rsidRPr="00E30475" w:rsidRDefault="00D72C97" w:rsidP="00E470E5">
            <w:pPr>
              <w:overflowPunct/>
              <w:autoSpaceDE/>
              <w:autoSpaceDN/>
              <w:adjustRightInd/>
              <w:spacing w:after="0"/>
              <w:textAlignment w:val="auto"/>
              <w:rPr>
                <w:rFonts w:eastAsia="Yu Mincho" w:cs="Arial"/>
                <w:bCs/>
              </w:rPr>
            </w:pPr>
            <w:r w:rsidRPr="00E30475">
              <w:rPr>
                <w:rFonts w:eastAsia="Yu Mincho" w:cs="Arial"/>
                <w:bCs/>
              </w:rPr>
              <w:t>RAN1 has confirmed the following working assumption, which was made in RAN1#112:</w:t>
            </w:r>
          </w:p>
          <w:p w14:paraId="38CFC59C" w14:textId="77777777" w:rsidR="00D72C97" w:rsidRPr="00E30475" w:rsidRDefault="00D72C97" w:rsidP="00E470E5">
            <w:pPr>
              <w:overflowPunct/>
              <w:autoSpaceDE/>
              <w:autoSpaceDN/>
              <w:adjustRightInd/>
              <w:spacing w:after="0"/>
              <w:textAlignment w:val="auto"/>
              <w:rPr>
                <w:rFonts w:eastAsia="Yu Mincho" w:cs="Arial"/>
                <w:bCs/>
                <w:highlight w:val="green"/>
              </w:rPr>
            </w:pPr>
          </w:p>
          <w:p w14:paraId="15DCD302" w14:textId="77777777" w:rsidR="00D72C97" w:rsidRPr="00E30475" w:rsidRDefault="00D72C97" w:rsidP="00E470E5">
            <w:pPr>
              <w:overflowPunct/>
              <w:autoSpaceDE/>
              <w:autoSpaceDN/>
              <w:adjustRightInd/>
              <w:spacing w:after="0"/>
              <w:textAlignment w:val="auto"/>
              <w:rPr>
                <w:rFonts w:eastAsia="Yu Mincho" w:cs="Arial"/>
                <w:b/>
                <w:bCs/>
                <w:highlight w:val="darkYellow"/>
              </w:rPr>
            </w:pPr>
            <w:r w:rsidRPr="00E30475">
              <w:rPr>
                <w:rFonts w:eastAsia="Yu Mincho" w:cs="Arial"/>
                <w:b/>
                <w:bCs/>
                <w:highlight w:val="darkYellow"/>
              </w:rPr>
              <w:t>Working Assumption</w:t>
            </w:r>
          </w:p>
          <w:p w14:paraId="5397A554" w14:textId="77777777" w:rsidR="00D72C97" w:rsidRPr="00E30475" w:rsidRDefault="00D72C97" w:rsidP="00E470E5">
            <w:pPr>
              <w:overflowPunct/>
              <w:autoSpaceDE/>
              <w:autoSpaceDN/>
              <w:adjustRightInd/>
              <w:spacing w:after="0"/>
              <w:textAlignment w:val="auto"/>
              <w:rPr>
                <w:rFonts w:eastAsia="Yu Mincho" w:cs="Arial"/>
                <w:bCs/>
              </w:rPr>
            </w:pPr>
            <w:r w:rsidRPr="00E30475">
              <w:rPr>
                <w:rFonts w:eastAsia="DengXian" w:cs="Arial"/>
              </w:rPr>
              <w:t xml:space="preserve">From RAN 1 perspective, </w:t>
            </w:r>
            <w:r w:rsidRPr="00E30475">
              <w:rPr>
                <w:rFonts w:eastAsia="Yu Mincho" w:cs="Arial"/>
                <w:bCs/>
              </w:rPr>
              <w:t xml:space="preserve">UE-based TA measurement (UE derives TA based on Rx timing difference between current serving cell and candidate cell as well as TA value for the current serving cell) is supported. </w:t>
            </w:r>
          </w:p>
          <w:p w14:paraId="7BAE6ACB" w14:textId="77777777" w:rsidR="00D72C97" w:rsidRPr="00E30475" w:rsidRDefault="00D72C97" w:rsidP="00E470E5">
            <w:pPr>
              <w:widowControl w:val="0"/>
              <w:numPr>
                <w:ilvl w:val="0"/>
                <w:numId w:val="49"/>
              </w:numPr>
              <w:overflowPunct/>
              <w:autoSpaceDE/>
              <w:autoSpaceDN/>
              <w:adjustRightInd/>
              <w:spacing w:after="0"/>
              <w:jc w:val="both"/>
              <w:textAlignment w:val="auto"/>
              <w:rPr>
                <w:rFonts w:eastAsia="Yu Mincho" w:cs="Arial"/>
                <w:bCs/>
              </w:rPr>
            </w:pPr>
            <w:r w:rsidRPr="00E30475">
              <w:rPr>
                <w:rFonts w:eastAsia="Yu Mincho" w:cs="Arial"/>
                <w:bCs/>
              </w:rPr>
              <w:t>Corresponding UE capability is to be introduced to support UE-based TA measurement</w:t>
            </w:r>
          </w:p>
          <w:p w14:paraId="6D43E16F" w14:textId="77777777" w:rsidR="00D72C97" w:rsidRPr="00E30475" w:rsidRDefault="00D72C97" w:rsidP="00E470E5">
            <w:pPr>
              <w:widowControl w:val="0"/>
              <w:numPr>
                <w:ilvl w:val="0"/>
                <w:numId w:val="49"/>
              </w:numPr>
              <w:overflowPunct/>
              <w:autoSpaceDE/>
              <w:autoSpaceDN/>
              <w:adjustRightInd/>
              <w:spacing w:after="0"/>
              <w:jc w:val="both"/>
              <w:textAlignment w:val="auto"/>
              <w:rPr>
                <w:rFonts w:eastAsia="Yu Mincho" w:cs="Arial"/>
                <w:bCs/>
              </w:rPr>
            </w:pPr>
            <w:r w:rsidRPr="00E30475">
              <w:rPr>
                <w:rFonts w:eastAsia="Yu Mincho" w:cs="Arial"/>
                <w:bCs/>
              </w:rPr>
              <w:t>For a UE reports support of this capability, configuration of UE-based TA measurement is supported</w:t>
            </w:r>
          </w:p>
          <w:p w14:paraId="602C4A8C" w14:textId="77777777" w:rsidR="00D72C97" w:rsidRPr="00E30475" w:rsidRDefault="00D72C97" w:rsidP="00E470E5">
            <w:pPr>
              <w:widowControl w:val="0"/>
              <w:numPr>
                <w:ilvl w:val="0"/>
                <w:numId w:val="49"/>
              </w:numPr>
              <w:overflowPunct/>
              <w:autoSpaceDE/>
              <w:autoSpaceDN/>
              <w:adjustRightInd/>
              <w:spacing w:after="0"/>
              <w:jc w:val="both"/>
              <w:textAlignment w:val="auto"/>
              <w:rPr>
                <w:rFonts w:eastAsia="Yu Mincho" w:cs="Arial"/>
                <w:bCs/>
              </w:rPr>
            </w:pPr>
            <w:r w:rsidRPr="00E30475">
              <w:rPr>
                <w:rFonts w:eastAsia="Yu Mincho" w:cs="Arial"/>
                <w:bCs/>
              </w:rPr>
              <w:t>FFS: other impacts on RAN1 spec</w:t>
            </w:r>
          </w:p>
          <w:p w14:paraId="1E34B401" w14:textId="77777777" w:rsidR="00D72C97" w:rsidRPr="00E30475" w:rsidRDefault="00D72C97" w:rsidP="00E470E5">
            <w:pPr>
              <w:overflowPunct/>
              <w:autoSpaceDE/>
              <w:autoSpaceDN/>
              <w:adjustRightInd/>
              <w:spacing w:after="0"/>
              <w:textAlignment w:val="auto"/>
              <w:rPr>
                <w:rFonts w:eastAsia="Yu Mincho" w:cs="Arial"/>
                <w:bCs/>
                <w:lang w:eastAsia="ja-JP"/>
              </w:rPr>
            </w:pPr>
          </w:p>
          <w:p w14:paraId="66EA475A" w14:textId="77777777" w:rsidR="00D72C97" w:rsidRPr="00E30475" w:rsidRDefault="00D72C97" w:rsidP="00E470E5">
            <w:pPr>
              <w:overflowPunct/>
              <w:autoSpaceDE/>
              <w:autoSpaceDN/>
              <w:adjustRightInd/>
              <w:spacing w:after="0"/>
              <w:textAlignment w:val="auto"/>
              <w:rPr>
                <w:rFonts w:eastAsia="Yu Mincho" w:cs="Arial"/>
                <w:bCs/>
                <w:lang w:eastAsia="ja-JP"/>
              </w:rPr>
            </w:pPr>
            <w:r w:rsidRPr="00E30475">
              <w:rPr>
                <w:rFonts w:eastAsia="Yu Mincho" w:cs="Arial"/>
                <w:bCs/>
                <w:lang w:eastAsia="ja-JP"/>
              </w:rPr>
              <w:t xml:space="preserve">RAN1 respectfully asks RAN4 to </w:t>
            </w:r>
            <w:proofErr w:type="spellStart"/>
            <w:r w:rsidRPr="00E30475">
              <w:rPr>
                <w:rFonts w:eastAsia="Yu Mincho" w:cs="Arial"/>
                <w:bCs/>
                <w:lang w:eastAsia="ja-JP"/>
              </w:rPr>
              <w:t>analyze</w:t>
            </w:r>
            <w:proofErr w:type="spellEnd"/>
            <w:r w:rsidRPr="00E30475">
              <w:rPr>
                <w:rFonts w:eastAsia="Yu Mincho" w:cs="Arial"/>
                <w:bCs/>
                <w:lang w:eastAsia="ja-JP"/>
              </w:rPr>
              <w:t xml:space="preserve"> </w:t>
            </w:r>
            <w:r w:rsidRPr="00E30475">
              <w:rPr>
                <w:rFonts w:eastAsia="Yu Mincho" w:cs="Arial"/>
                <w:bCs/>
              </w:rPr>
              <w:t>the feasibility of supporting this mechanism.</w:t>
            </w:r>
          </w:p>
        </w:tc>
      </w:tr>
    </w:tbl>
    <w:p w14:paraId="1EBE5DCD" w14:textId="77777777" w:rsidR="00D72C97" w:rsidRDefault="00D72C97" w:rsidP="00D72C97">
      <w:pPr>
        <w:spacing w:before="180"/>
        <w:rPr>
          <w:rFonts w:eastAsiaTheme="minorEastAsia"/>
        </w:rPr>
      </w:pPr>
      <w:r>
        <w:rPr>
          <w:rFonts w:eastAsiaTheme="minorEastAsia"/>
        </w:rPr>
        <w:t xml:space="preserve">However, there is no detail on what the conditions to apply this method are so it would be difficult to have any RAN2 work to configure and/or trigger the usage of this method. </w:t>
      </w:r>
      <w:r w:rsidRPr="00E30475">
        <w:rPr>
          <w:rFonts w:eastAsiaTheme="minorEastAsia"/>
        </w:rPr>
        <w:t>In addition, the feasibility will be further analysed by RAN4.</w:t>
      </w:r>
    </w:p>
    <w:p w14:paraId="0821328E" w14:textId="6F235EDD" w:rsidR="00D72C97" w:rsidRPr="00E30475" w:rsidRDefault="00D72C97" w:rsidP="00D72C97">
      <w:pPr>
        <w:spacing w:before="180"/>
        <w:jc w:val="both"/>
        <w:rPr>
          <w:b/>
        </w:rPr>
      </w:pPr>
      <w:r w:rsidRPr="00E30475">
        <w:rPr>
          <w:b/>
        </w:rPr>
        <w:t xml:space="preserve">Observation </w:t>
      </w:r>
      <w:r>
        <w:rPr>
          <w:b/>
        </w:rPr>
        <w:t>2</w:t>
      </w:r>
      <w:r w:rsidRPr="00E30475">
        <w:rPr>
          <w:b/>
        </w:rPr>
        <w:t>: RAN2 needs to wait for RAN1 on</w:t>
      </w:r>
      <w:r w:rsidRPr="00E30475">
        <w:rPr>
          <w:b/>
          <w:color w:val="FF0000"/>
        </w:rPr>
        <w:t xml:space="preserve"> </w:t>
      </w:r>
      <w:r w:rsidRPr="00E30475">
        <w:rPr>
          <w:b/>
        </w:rPr>
        <w:t>how to configure/trigger the UE to derive</w:t>
      </w:r>
      <w:r w:rsidRPr="00E30475">
        <w:rPr>
          <w:b/>
          <w:color w:val="FF0000"/>
        </w:rPr>
        <w:t xml:space="preserve"> </w:t>
      </w:r>
      <w:r w:rsidRPr="00E30475">
        <w:rPr>
          <w:b/>
        </w:rPr>
        <w:t>TA to candidate cell.</w:t>
      </w:r>
    </w:p>
    <w:p w14:paraId="7C9D2416" w14:textId="547F4128" w:rsidR="00D72C97" w:rsidRPr="00E30475" w:rsidRDefault="00D72C97" w:rsidP="00D72C97">
      <w:pPr>
        <w:rPr>
          <w:b/>
        </w:rPr>
      </w:pPr>
      <w:r w:rsidRPr="00E30475">
        <w:rPr>
          <w:b/>
        </w:rPr>
        <w:t xml:space="preserve">Proposal </w:t>
      </w:r>
      <w:r>
        <w:rPr>
          <w:b/>
        </w:rPr>
        <w:t>6</w:t>
      </w:r>
      <w:r w:rsidRPr="00E30475">
        <w:rPr>
          <w:b/>
        </w:rPr>
        <w:t xml:space="preserve">: </w:t>
      </w:r>
      <w:r>
        <w:rPr>
          <w:b/>
        </w:rPr>
        <w:t>P</w:t>
      </w:r>
      <w:r w:rsidRPr="00E30475">
        <w:rPr>
          <w:b/>
        </w:rPr>
        <w:t xml:space="preserve">ostpone </w:t>
      </w:r>
      <w:r>
        <w:rPr>
          <w:b/>
        </w:rPr>
        <w:t xml:space="preserve">work on </w:t>
      </w:r>
      <w:r w:rsidRPr="00E30475">
        <w:rPr>
          <w:b/>
        </w:rPr>
        <w:t>the UE-based TA measurement method until RAN4 confirms the feasibility.</w:t>
      </w:r>
    </w:p>
    <w:p w14:paraId="337E4A2B" w14:textId="77777777" w:rsidR="00D72C97" w:rsidRPr="00E30475" w:rsidRDefault="00D72C97" w:rsidP="00D72C97">
      <w:r w:rsidRPr="00E30475">
        <w:t>In the PDCCH ordered early RACH without RAR method, the network determine</w:t>
      </w:r>
      <w:r>
        <w:t>s</w:t>
      </w:r>
      <w:r w:rsidRPr="00E30475">
        <w:t xml:space="preserve"> the TA validity</w:t>
      </w:r>
      <w:r>
        <w:t xml:space="preserve"> and i</w:t>
      </w:r>
      <w:r w:rsidRPr="00E30475">
        <w:t xml:space="preserve">f the TA is still valid, the source DU </w:t>
      </w:r>
      <w:r>
        <w:t>includes</w:t>
      </w:r>
      <w:r w:rsidRPr="00E30475">
        <w:t xml:space="preserve"> th</w:t>
      </w:r>
      <w:r>
        <w:t>e</w:t>
      </w:r>
      <w:r w:rsidRPr="00E30475">
        <w:t xml:space="preserve"> TA value in the LTM cell switch MAC CE. The network may trigger PDCCH ordered early RACH towards more than one candidate cell</w:t>
      </w:r>
      <w:r>
        <w:t>,</w:t>
      </w:r>
      <w:r w:rsidRPr="00E30475">
        <w:t xml:space="preserve"> record those TA values towards different candidate cells and check the validity of those </w:t>
      </w:r>
      <w:proofErr w:type="spellStart"/>
      <w:r w:rsidRPr="00E30475">
        <w:t>TAs.</w:t>
      </w:r>
      <w:proofErr w:type="spellEnd"/>
    </w:p>
    <w:tbl>
      <w:tblPr>
        <w:tblStyle w:val="TableGrid"/>
        <w:tblW w:w="0" w:type="auto"/>
        <w:tblLook w:val="04A0" w:firstRow="1" w:lastRow="0" w:firstColumn="1" w:lastColumn="0" w:noHBand="0" w:noVBand="1"/>
      </w:tblPr>
      <w:tblGrid>
        <w:gridCol w:w="9629"/>
      </w:tblGrid>
      <w:tr w:rsidR="00D72C97" w:rsidRPr="00E30475" w14:paraId="4D2BBC2B" w14:textId="77777777" w:rsidTr="00E470E5">
        <w:tc>
          <w:tcPr>
            <w:tcW w:w="9629" w:type="dxa"/>
          </w:tcPr>
          <w:p w14:paraId="0EF015F0" w14:textId="77777777" w:rsidR="00D72C97" w:rsidRPr="00E30475" w:rsidRDefault="00D72C97" w:rsidP="00E470E5">
            <w:pPr>
              <w:pStyle w:val="Agreement"/>
              <w:numPr>
                <w:ilvl w:val="0"/>
                <w:numId w:val="0"/>
              </w:numPr>
              <w:ind w:leftChars="6" w:left="372" w:hanging="360"/>
              <w:rPr>
                <w:rFonts w:eastAsiaTheme="minorEastAsia"/>
                <w:b w:val="0"/>
                <w:i/>
                <w:u w:val="single"/>
                <w:lang w:eastAsia="zh-CN"/>
              </w:rPr>
            </w:pPr>
            <w:r w:rsidRPr="00E30475">
              <w:rPr>
                <w:rFonts w:eastAsiaTheme="minorEastAsia"/>
                <w:b w:val="0"/>
                <w:i/>
                <w:u w:val="single"/>
                <w:lang w:eastAsia="zh-CN"/>
              </w:rPr>
              <w:t>RAN2 #122 meeting</w:t>
            </w:r>
          </w:p>
          <w:p w14:paraId="2B864226" w14:textId="77777777" w:rsidR="00D72C97" w:rsidRPr="00E30475" w:rsidRDefault="00D72C97" w:rsidP="00E470E5">
            <w:pPr>
              <w:pStyle w:val="Agreement"/>
              <w:numPr>
                <w:ilvl w:val="0"/>
                <w:numId w:val="0"/>
              </w:numPr>
              <w:ind w:leftChars="6" w:left="372" w:hanging="360"/>
            </w:pPr>
            <w:r w:rsidRPr="00E30475">
              <w:t>For early TA acquisition for candidate Cells</w:t>
            </w:r>
          </w:p>
          <w:p w14:paraId="58A47ADA" w14:textId="77777777" w:rsidR="00D72C97" w:rsidRPr="00E30475" w:rsidRDefault="00D72C97" w:rsidP="00E470E5">
            <w:pPr>
              <w:pStyle w:val="Agreement"/>
              <w:numPr>
                <w:ilvl w:val="0"/>
                <w:numId w:val="47"/>
              </w:numPr>
              <w:tabs>
                <w:tab w:val="clear" w:pos="2665"/>
                <w:tab w:val="num" w:pos="1619"/>
              </w:tabs>
              <w:ind w:leftChars="6" w:left="372"/>
            </w:pPr>
            <w:r w:rsidRPr="00E30475">
              <w:t xml:space="preserve">For PDCCH ordered early TA acquisition without RAR, there is </w:t>
            </w:r>
            <w:r w:rsidRPr="00E30475">
              <w:rPr>
                <w:bCs/>
              </w:rPr>
              <w:t>no need</w:t>
            </w:r>
            <w:r w:rsidRPr="00E30475">
              <w:t xml:space="preserve"> for UE to maintain the TA timer for candidate cell (i.e. it is NW implementation to determine the TA validity), TA is given in the cell switch MAC CE (when available in the network). </w:t>
            </w:r>
          </w:p>
          <w:p w14:paraId="3909EF3D" w14:textId="77777777" w:rsidR="00D72C97" w:rsidRPr="00E30475" w:rsidRDefault="00D72C97" w:rsidP="00E470E5">
            <w:pPr>
              <w:pStyle w:val="Agreement"/>
              <w:numPr>
                <w:ilvl w:val="0"/>
                <w:numId w:val="47"/>
              </w:numPr>
              <w:tabs>
                <w:tab w:val="clear" w:pos="2665"/>
                <w:tab w:val="num" w:pos="1619"/>
              </w:tabs>
              <w:ind w:leftChars="6" w:left="372"/>
            </w:pPr>
            <w:r w:rsidRPr="00E30475">
              <w:t xml:space="preserve">RAN2 doesn’t see a need for a solution with RAR in for Rel-18. </w:t>
            </w:r>
          </w:p>
        </w:tc>
      </w:tr>
    </w:tbl>
    <w:p w14:paraId="21DEA2A0" w14:textId="77777777" w:rsidR="00D72C97" w:rsidRPr="00E30475" w:rsidRDefault="00D72C97" w:rsidP="00D72C97">
      <w:pPr>
        <w:spacing w:before="180"/>
      </w:pPr>
      <w:r w:rsidRPr="00E30475">
        <w:t xml:space="preserve">In subsequent LTM, </w:t>
      </w:r>
      <w:r>
        <w:t>in the</w:t>
      </w:r>
      <w:r w:rsidRPr="00E30475">
        <w:t xml:space="preserve"> intra-DU case, the DU has the TA value for a previous </w:t>
      </w:r>
      <w:r>
        <w:t xml:space="preserve">serving </w:t>
      </w:r>
      <w:r w:rsidRPr="00E30475">
        <w:t xml:space="preserve">cell and other candidate cells </w:t>
      </w:r>
      <w:r>
        <w:t>towards which</w:t>
      </w:r>
      <w:r w:rsidRPr="00E30475">
        <w:t xml:space="preserve"> early RACH was performed </w:t>
      </w:r>
      <w:r>
        <w:t>a</w:t>
      </w:r>
      <w:r w:rsidRPr="00E30475">
        <w:t xml:space="preserve">nd the DU knows whether those TAs are still valid or not, e.g. by maintaining a network side timer. </w:t>
      </w:r>
      <w:r>
        <w:t>If</w:t>
      </w:r>
      <w:r w:rsidRPr="00E30475">
        <w:t xml:space="preserve"> the UE switches back to a previous cell within a short period of time, the DU can indicate that TA to the UE and a RACH-less cell switch is performed. </w:t>
      </w:r>
      <w:r>
        <w:t>In the</w:t>
      </w:r>
      <w:r w:rsidRPr="00E30475">
        <w:t xml:space="preserve"> inter-DU case, another PDCCH order </w:t>
      </w:r>
      <w:r>
        <w:t>w</w:t>
      </w:r>
      <w:r w:rsidRPr="00E30475">
        <w:t xml:space="preserve">ould </w:t>
      </w:r>
      <w:r>
        <w:t xml:space="preserve">need to </w:t>
      </w:r>
      <w:r w:rsidRPr="00E30475">
        <w:t>be triggered for early TA acquisition</w:t>
      </w:r>
      <w:r>
        <w:t xml:space="preserve"> unless</w:t>
      </w:r>
      <w:r w:rsidRPr="00E30475">
        <w:t xml:space="preserve"> the source DU </w:t>
      </w:r>
      <w:r>
        <w:t>can provide</w:t>
      </w:r>
      <w:r w:rsidRPr="00E30475">
        <w:t xml:space="preserve"> the TA values to the target DU.</w:t>
      </w:r>
    </w:p>
    <w:p w14:paraId="7511A844" w14:textId="07E4A3F0" w:rsidR="00D72C97" w:rsidRPr="00E30475" w:rsidRDefault="00D72C97" w:rsidP="00D72C97">
      <w:pPr>
        <w:rPr>
          <w:b/>
          <w:color w:val="000000"/>
        </w:rPr>
      </w:pPr>
      <w:r w:rsidRPr="00E30475">
        <w:rPr>
          <w:b/>
          <w:color w:val="000000"/>
        </w:rPr>
        <w:t xml:space="preserve">Observation </w:t>
      </w:r>
      <w:r>
        <w:rPr>
          <w:b/>
          <w:color w:val="000000"/>
        </w:rPr>
        <w:t>3</w:t>
      </w:r>
      <w:r w:rsidRPr="00E30475">
        <w:rPr>
          <w:b/>
          <w:color w:val="000000"/>
        </w:rPr>
        <w:t xml:space="preserve">: There is no need for </w:t>
      </w:r>
      <w:r>
        <w:rPr>
          <w:b/>
          <w:color w:val="000000"/>
        </w:rPr>
        <w:t xml:space="preserve">the </w:t>
      </w:r>
      <w:r w:rsidRPr="00E30475">
        <w:rPr>
          <w:b/>
          <w:color w:val="000000"/>
        </w:rPr>
        <w:t>UE to maintain the TA value</w:t>
      </w:r>
      <w:r>
        <w:rPr>
          <w:b/>
          <w:color w:val="000000"/>
        </w:rPr>
        <w:t>s</w:t>
      </w:r>
      <w:r w:rsidRPr="00E30475">
        <w:rPr>
          <w:b/>
          <w:color w:val="000000"/>
        </w:rPr>
        <w:t xml:space="preserve"> for candidate cell</w:t>
      </w:r>
      <w:r>
        <w:rPr>
          <w:b/>
          <w:color w:val="000000"/>
        </w:rPr>
        <w:t>s</w:t>
      </w:r>
      <w:r w:rsidRPr="00E30475">
        <w:rPr>
          <w:b/>
          <w:color w:val="000000"/>
        </w:rPr>
        <w:t xml:space="preserve">, i.e. </w:t>
      </w:r>
      <w:r>
        <w:rPr>
          <w:b/>
          <w:color w:val="000000"/>
        </w:rPr>
        <w:t>the network</w:t>
      </w:r>
      <w:r w:rsidRPr="00E30475">
        <w:rPr>
          <w:b/>
          <w:color w:val="000000"/>
        </w:rPr>
        <w:t xml:space="preserve"> can maintain and evaluate whether the TA </w:t>
      </w:r>
      <w:r>
        <w:rPr>
          <w:b/>
          <w:color w:val="000000"/>
        </w:rPr>
        <w:t xml:space="preserve">values </w:t>
      </w:r>
      <w:r w:rsidRPr="00E30475">
        <w:rPr>
          <w:b/>
          <w:color w:val="000000"/>
        </w:rPr>
        <w:t xml:space="preserve">of previous </w:t>
      </w:r>
      <w:r>
        <w:rPr>
          <w:b/>
          <w:color w:val="000000"/>
        </w:rPr>
        <w:t xml:space="preserve">serving </w:t>
      </w:r>
      <w:r w:rsidRPr="00E30475">
        <w:rPr>
          <w:b/>
          <w:color w:val="000000"/>
        </w:rPr>
        <w:t>cell</w:t>
      </w:r>
      <w:r>
        <w:rPr>
          <w:b/>
          <w:color w:val="000000"/>
        </w:rPr>
        <w:t>s</w:t>
      </w:r>
      <w:r w:rsidRPr="00E30475">
        <w:rPr>
          <w:b/>
          <w:color w:val="000000"/>
        </w:rPr>
        <w:t xml:space="preserve"> </w:t>
      </w:r>
      <w:r>
        <w:rPr>
          <w:b/>
          <w:color w:val="000000"/>
        </w:rPr>
        <w:t>and candidate cells towards which the UE has performed early RACH are</w:t>
      </w:r>
      <w:r w:rsidRPr="00E30475">
        <w:rPr>
          <w:b/>
          <w:color w:val="000000"/>
        </w:rPr>
        <w:t xml:space="preserve"> still valid and</w:t>
      </w:r>
      <w:r>
        <w:rPr>
          <w:b/>
          <w:color w:val="000000"/>
        </w:rPr>
        <w:t>, if so,</w:t>
      </w:r>
      <w:r w:rsidRPr="00E30475">
        <w:rPr>
          <w:b/>
          <w:color w:val="000000"/>
        </w:rPr>
        <w:t xml:space="preserve"> indicate the TA value in the LTM MAC CE</w:t>
      </w:r>
      <w:r>
        <w:rPr>
          <w:b/>
          <w:color w:val="000000"/>
        </w:rPr>
        <w:t xml:space="preserve"> for subsequent LTM</w:t>
      </w:r>
      <w:r w:rsidRPr="00E30475">
        <w:rPr>
          <w:b/>
          <w:color w:val="000000"/>
        </w:rPr>
        <w:t xml:space="preserve">. </w:t>
      </w:r>
    </w:p>
    <w:p w14:paraId="1601AB14" w14:textId="0F598B5D" w:rsidR="00D72C97" w:rsidRDefault="00D72C97" w:rsidP="00011DD4">
      <w:pPr>
        <w:rPr>
          <w:b/>
        </w:rPr>
      </w:pPr>
      <w:r>
        <w:rPr>
          <w:b/>
          <w:color w:val="000000"/>
        </w:rPr>
        <w:t>Observation 4</w:t>
      </w:r>
      <w:r w:rsidRPr="00192C6A">
        <w:rPr>
          <w:b/>
          <w:color w:val="000000"/>
        </w:rPr>
        <w:t xml:space="preserve">: </w:t>
      </w:r>
      <w:r>
        <w:rPr>
          <w:b/>
          <w:color w:val="000000"/>
        </w:rPr>
        <w:t>T</w:t>
      </w:r>
      <w:r w:rsidRPr="00912821">
        <w:rPr>
          <w:b/>
        </w:rPr>
        <w:t xml:space="preserve">he source DU </w:t>
      </w:r>
      <w:r>
        <w:rPr>
          <w:b/>
        </w:rPr>
        <w:t>can provide</w:t>
      </w:r>
      <w:r w:rsidRPr="00912821">
        <w:rPr>
          <w:b/>
        </w:rPr>
        <w:t xml:space="preserve"> the TA value</w:t>
      </w:r>
      <w:r>
        <w:rPr>
          <w:b/>
        </w:rPr>
        <w:t>s</w:t>
      </w:r>
      <w:r w:rsidRPr="00912821">
        <w:rPr>
          <w:b/>
        </w:rPr>
        <w:t xml:space="preserve">/timer information of candidate cells to </w:t>
      </w:r>
      <w:r>
        <w:rPr>
          <w:b/>
        </w:rPr>
        <w:t>the target</w:t>
      </w:r>
      <w:r w:rsidRPr="00912821">
        <w:rPr>
          <w:b/>
        </w:rPr>
        <w:t xml:space="preserve"> DU.</w:t>
      </w:r>
    </w:p>
    <w:p w14:paraId="7ECBD1D3" w14:textId="77777777" w:rsidR="00955170" w:rsidRPr="00E30475" w:rsidRDefault="00955170" w:rsidP="00955170">
      <w:pPr>
        <w:pStyle w:val="Heading1"/>
      </w:pPr>
      <w:r w:rsidRPr="00E30475">
        <w:t>Conclusion</w:t>
      </w:r>
    </w:p>
    <w:p w14:paraId="5531C393" w14:textId="3A5D3A1A" w:rsidR="00C24CE1" w:rsidRDefault="00272CBD" w:rsidP="005E0FE6">
      <w:r w:rsidRPr="00E30475">
        <w:t>T</w:t>
      </w:r>
      <w:r w:rsidR="00C155D8" w:rsidRPr="00E30475">
        <w:t xml:space="preserve">his contribution makes </w:t>
      </w:r>
      <w:r w:rsidR="005E0FE6" w:rsidRPr="00E30475">
        <w:t xml:space="preserve">the following </w:t>
      </w:r>
      <w:r w:rsidR="00C155D8" w:rsidRPr="00E30475">
        <w:t>proposals:</w:t>
      </w:r>
    </w:p>
    <w:p w14:paraId="14A2B0C9" w14:textId="7FE8C7D0" w:rsidR="00EB1441" w:rsidRPr="00EB1441" w:rsidRDefault="00EB1441" w:rsidP="00686FB9">
      <w:pPr>
        <w:rPr>
          <w:rFonts w:eastAsiaTheme="minorEastAsia"/>
          <w:u w:val="single"/>
        </w:rPr>
      </w:pPr>
      <w:r w:rsidRPr="00EB1441">
        <w:rPr>
          <w:rFonts w:eastAsiaTheme="minorEastAsia"/>
          <w:u w:val="single"/>
        </w:rPr>
        <w:t xml:space="preserve">Handling of </w:t>
      </w:r>
      <w:r>
        <w:rPr>
          <w:rFonts w:eastAsiaTheme="minorEastAsia"/>
          <w:u w:val="single"/>
        </w:rPr>
        <w:t>configured grant</w:t>
      </w:r>
    </w:p>
    <w:p w14:paraId="67AB1E4D" w14:textId="54696DCE" w:rsidR="00686FB9" w:rsidRPr="00E30475" w:rsidRDefault="00686FB9" w:rsidP="00686FB9">
      <w:pPr>
        <w:rPr>
          <w:rFonts w:eastAsiaTheme="minorEastAsia"/>
          <w:b/>
        </w:rPr>
      </w:pPr>
      <w:r w:rsidRPr="00E30475">
        <w:rPr>
          <w:rFonts w:eastAsiaTheme="minorEastAsia"/>
          <w:b/>
        </w:rPr>
        <w:t xml:space="preserve">Proposal </w:t>
      </w:r>
      <w:r w:rsidR="00D72C97">
        <w:rPr>
          <w:rFonts w:eastAsiaTheme="minorEastAsia"/>
          <w:b/>
        </w:rPr>
        <w:t>1</w:t>
      </w:r>
      <w:r w:rsidRPr="00E30475">
        <w:rPr>
          <w:rFonts w:eastAsiaTheme="minorEastAsia"/>
          <w:b/>
        </w:rPr>
        <w:t>: Define</w:t>
      </w:r>
      <w:r w:rsidRPr="00E30475">
        <w:rPr>
          <w:b/>
        </w:rPr>
        <w:t xml:space="preserve"> the association between CG occasion and beam in RRC and specify th</w:t>
      </w:r>
      <w:r>
        <w:rPr>
          <w:b/>
        </w:rPr>
        <w:t>at the UE uses a</w:t>
      </w:r>
      <w:r w:rsidRPr="00E30475">
        <w:rPr>
          <w:b/>
        </w:rPr>
        <w:t xml:space="preserve"> CG occasion </w:t>
      </w:r>
      <w:r>
        <w:rPr>
          <w:b/>
        </w:rPr>
        <w:t xml:space="preserve">associated with </w:t>
      </w:r>
      <w:r w:rsidRPr="00E30475">
        <w:rPr>
          <w:b/>
        </w:rPr>
        <w:t>the indicated beam in MAC.</w:t>
      </w:r>
    </w:p>
    <w:p w14:paraId="066B702E" w14:textId="693BAD20" w:rsidR="00686FB9" w:rsidRPr="00E30475" w:rsidRDefault="00686FB9" w:rsidP="00686FB9">
      <w:pPr>
        <w:rPr>
          <w:b/>
        </w:rPr>
      </w:pPr>
      <w:r w:rsidRPr="00E30475">
        <w:rPr>
          <w:b/>
        </w:rPr>
        <w:t xml:space="preserve">Proposal </w:t>
      </w:r>
      <w:r w:rsidR="00D72C97">
        <w:rPr>
          <w:b/>
        </w:rPr>
        <w:t>2</w:t>
      </w:r>
      <w:r w:rsidRPr="00E30475">
        <w:rPr>
          <w:b/>
        </w:rPr>
        <w:t xml:space="preserve">: The UE releases </w:t>
      </w:r>
      <w:r>
        <w:rPr>
          <w:b/>
        </w:rPr>
        <w:t>by itself</w:t>
      </w:r>
      <w:r w:rsidRPr="00E30475">
        <w:rPr>
          <w:b/>
        </w:rPr>
        <w:t xml:space="preserve"> the CG resources</w:t>
      </w:r>
      <w:r>
        <w:rPr>
          <w:b/>
        </w:rPr>
        <w:t xml:space="preserve"> </w:t>
      </w:r>
      <w:r w:rsidRPr="00E30475">
        <w:rPr>
          <w:b/>
        </w:rPr>
        <w:t xml:space="preserve">for RACH-less </w:t>
      </w:r>
      <w:r>
        <w:rPr>
          <w:b/>
        </w:rPr>
        <w:t xml:space="preserve">LTM, </w:t>
      </w:r>
      <w:r w:rsidRPr="00E30475">
        <w:rPr>
          <w:b/>
        </w:rPr>
        <w:t xml:space="preserve">after </w:t>
      </w:r>
      <w:r>
        <w:rPr>
          <w:b/>
        </w:rPr>
        <w:t>LTM completion.</w:t>
      </w:r>
    </w:p>
    <w:p w14:paraId="4852E574" w14:textId="1A3241DA" w:rsidR="00EB1441" w:rsidRPr="00EB1441" w:rsidRDefault="00EB1441" w:rsidP="00EB1441">
      <w:pPr>
        <w:rPr>
          <w:rFonts w:eastAsiaTheme="minorEastAsia"/>
          <w:u w:val="single"/>
        </w:rPr>
      </w:pPr>
      <w:r>
        <w:rPr>
          <w:rFonts w:eastAsiaTheme="minorEastAsia"/>
          <w:u w:val="single"/>
        </w:rPr>
        <w:lastRenderedPageBreak/>
        <w:t>Selection of configured or dynamic grant</w:t>
      </w:r>
    </w:p>
    <w:p w14:paraId="0F468B45" w14:textId="54E37B80" w:rsidR="00387EFE" w:rsidRPr="0063284B" w:rsidRDefault="00387EFE" w:rsidP="00387EFE">
      <w:pPr>
        <w:rPr>
          <w:b/>
          <w:sz w:val="21"/>
          <w:szCs w:val="21"/>
        </w:rPr>
      </w:pPr>
      <w:r w:rsidRPr="0063284B">
        <w:rPr>
          <w:b/>
        </w:rPr>
        <w:t xml:space="preserve">Proposal </w:t>
      </w:r>
      <w:r w:rsidR="00D72C97">
        <w:rPr>
          <w:b/>
        </w:rPr>
        <w:t>3</w:t>
      </w:r>
      <w:r w:rsidRPr="0063284B">
        <w:rPr>
          <w:b/>
        </w:rPr>
        <w:t xml:space="preserve">a: </w:t>
      </w:r>
      <w:r>
        <w:rPr>
          <w:b/>
        </w:rPr>
        <w:t>D</w:t>
      </w:r>
      <w:r w:rsidRPr="0063284B">
        <w:rPr>
          <w:b/>
        </w:rPr>
        <w:t xml:space="preserve">uring RACH-less LTM, </w:t>
      </w:r>
      <w:r>
        <w:rPr>
          <w:b/>
        </w:rPr>
        <w:t xml:space="preserve">the </w:t>
      </w:r>
      <w:r w:rsidRPr="0063284B">
        <w:rPr>
          <w:b/>
        </w:rPr>
        <w:t xml:space="preserve">UE </w:t>
      </w:r>
      <w:r>
        <w:rPr>
          <w:b/>
        </w:rPr>
        <w:t>shall use the first available grant, which is</w:t>
      </w:r>
      <w:r w:rsidRPr="0063284B">
        <w:rPr>
          <w:b/>
        </w:rPr>
        <w:t xml:space="preserve"> either </w:t>
      </w:r>
      <w:r>
        <w:rPr>
          <w:b/>
        </w:rPr>
        <w:t>a configured grant</w:t>
      </w:r>
      <w:r w:rsidRPr="0063284B">
        <w:rPr>
          <w:b/>
        </w:rPr>
        <w:t xml:space="preserve"> or </w:t>
      </w:r>
      <w:r>
        <w:rPr>
          <w:b/>
        </w:rPr>
        <w:t>a dynamic grant</w:t>
      </w:r>
      <w:r w:rsidRPr="0063284B">
        <w:rPr>
          <w:b/>
        </w:rPr>
        <w:t>.</w:t>
      </w:r>
    </w:p>
    <w:p w14:paraId="205981AD" w14:textId="14125962" w:rsidR="00387EFE" w:rsidRPr="00E30475" w:rsidRDefault="00387EFE" w:rsidP="00387EFE">
      <w:pPr>
        <w:rPr>
          <w:b/>
          <w:sz w:val="21"/>
          <w:szCs w:val="21"/>
        </w:rPr>
      </w:pPr>
      <w:r w:rsidRPr="00E30475">
        <w:rPr>
          <w:b/>
          <w:sz w:val="21"/>
          <w:szCs w:val="21"/>
        </w:rPr>
        <w:t xml:space="preserve">Proposal </w:t>
      </w:r>
      <w:r w:rsidR="00D72C97">
        <w:rPr>
          <w:b/>
          <w:sz w:val="21"/>
          <w:szCs w:val="21"/>
        </w:rPr>
        <w:t>3</w:t>
      </w:r>
      <w:r>
        <w:rPr>
          <w:b/>
          <w:sz w:val="21"/>
          <w:szCs w:val="21"/>
        </w:rPr>
        <w:t>b</w:t>
      </w:r>
      <w:r w:rsidRPr="00E30475">
        <w:rPr>
          <w:b/>
          <w:sz w:val="21"/>
          <w:szCs w:val="21"/>
        </w:rPr>
        <w:t>:</w:t>
      </w:r>
      <w:r>
        <w:rPr>
          <w:b/>
          <w:sz w:val="21"/>
          <w:szCs w:val="21"/>
        </w:rPr>
        <w:t xml:space="preserve"> For RACH-less LTM, RAN2 assume the source DU always informs target DU about the selected beam, to give the target DU the possibility to use a dynamic grant even if CG is configured. </w:t>
      </w:r>
    </w:p>
    <w:p w14:paraId="1F3B788A" w14:textId="6E4841EC" w:rsidR="00686FB9" w:rsidRPr="00EB1441" w:rsidRDefault="00EB1441" w:rsidP="005E0FE6">
      <w:pPr>
        <w:rPr>
          <w:u w:val="single"/>
        </w:rPr>
      </w:pPr>
      <w:r w:rsidRPr="00EB1441">
        <w:rPr>
          <w:u w:val="single"/>
        </w:rPr>
        <w:t>UE behaviour at execution</w:t>
      </w:r>
    </w:p>
    <w:p w14:paraId="157F8F6D" w14:textId="3D13436F" w:rsidR="00EB1441" w:rsidRPr="00E30475" w:rsidRDefault="00EB1441" w:rsidP="00EB1441">
      <w:pPr>
        <w:rPr>
          <w:b/>
          <w:sz w:val="21"/>
          <w:szCs w:val="21"/>
        </w:rPr>
      </w:pPr>
      <w:r w:rsidRPr="00E30475">
        <w:rPr>
          <w:b/>
          <w:sz w:val="21"/>
          <w:szCs w:val="21"/>
        </w:rPr>
        <w:t xml:space="preserve">Proposal </w:t>
      </w:r>
      <w:r w:rsidR="00D72C97">
        <w:rPr>
          <w:b/>
          <w:sz w:val="21"/>
          <w:szCs w:val="21"/>
        </w:rPr>
        <w:t>4</w:t>
      </w:r>
      <w:r w:rsidRPr="00E30475">
        <w:rPr>
          <w:b/>
          <w:sz w:val="21"/>
          <w:szCs w:val="21"/>
        </w:rPr>
        <w:t xml:space="preserve">: </w:t>
      </w:r>
      <w:r>
        <w:rPr>
          <w:b/>
          <w:sz w:val="21"/>
          <w:szCs w:val="21"/>
        </w:rPr>
        <w:t>Before RACH-less LTM procedure completion, t</w:t>
      </w:r>
      <w:r w:rsidRPr="00E30475">
        <w:rPr>
          <w:b/>
          <w:sz w:val="21"/>
          <w:szCs w:val="21"/>
        </w:rPr>
        <w:t xml:space="preserve">he UE shall not trigger RACH </w:t>
      </w:r>
      <w:r>
        <w:rPr>
          <w:b/>
          <w:sz w:val="21"/>
          <w:szCs w:val="21"/>
        </w:rPr>
        <w:t>(</w:t>
      </w:r>
      <w:r w:rsidRPr="00E30475">
        <w:rPr>
          <w:b/>
          <w:sz w:val="21"/>
          <w:szCs w:val="21"/>
        </w:rPr>
        <w:t>when the UE has no valid PUCCH resource for triggered SRs</w:t>
      </w:r>
      <w:r>
        <w:rPr>
          <w:b/>
          <w:sz w:val="21"/>
          <w:szCs w:val="21"/>
        </w:rPr>
        <w:t>)</w:t>
      </w:r>
      <w:r w:rsidRPr="00E30475">
        <w:rPr>
          <w:b/>
          <w:sz w:val="21"/>
          <w:szCs w:val="21"/>
        </w:rPr>
        <w:t>, as in LTE RACH-less.</w:t>
      </w:r>
    </w:p>
    <w:p w14:paraId="0D445929" w14:textId="7DD64ECA" w:rsidR="00EB1441" w:rsidRDefault="00EB1441" w:rsidP="00EB1441">
      <w:pPr>
        <w:rPr>
          <w:b/>
        </w:rPr>
      </w:pPr>
      <w:r>
        <w:rPr>
          <w:b/>
        </w:rPr>
        <w:t xml:space="preserve">Proposal </w:t>
      </w:r>
      <w:r w:rsidR="00D72C97">
        <w:rPr>
          <w:b/>
        </w:rPr>
        <w:t>5</w:t>
      </w:r>
      <w:r>
        <w:rPr>
          <w:b/>
        </w:rPr>
        <w:t>: If RACH-less LTM execution is not successful:</w:t>
      </w:r>
    </w:p>
    <w:p w14:paraId="121D3F82" w14:textId="77777777" w:rsidR="00EB1441" w:rsidRPr="0098296F" w:rsidRDefault="00EB1441" w:rsidP="00EB1441">
      <w:pPr>
        <w:pStyle w:val="B1"/>
        <w:rPr>
          <w:b/>
        </w:rPr>
      </w:pPr>
      <w:r w:rsidRPr="0098296F">
        <w:rPr>
          <w:b/>
        </w:rPr>
        <w:t>-</w:t>
      </w:r>
      <w:r w:rsidRPr="0098296F">
        <w:rPr>
          <w:b/>
        </w:rPr>
        <w:tab/>
        <w:t>the UE performs cell selection</w:t>
      </w:r>
    </w:p>
    <w:p w14:paraId="071A07E4" w14:textId="77777777" w:rsidR="00EB1441" w:rsidRPr="0098296F" w:rsidRDefault="00EB1441" w:rsidP="00EB1441">
      <w:pPr>
        <w:pStyle w:val="B1"/>
        <w:rPr>
          <w:b/>
        </w:rPr>
      </w:pPr>
      <w:r w:rsidRPr="0098296F">
        <w:rPr>
          <w:b/>
        </w:rPr>
        <w:t>-</w:t>
      </w:r>
      <w:r w:rsidRPr="0098296F">
        <w:rPr>
          <w:b/>
        </w:rPr>
        <w:tab/>
        <w:t>if the selected cell is an LTM candidate, the UE initiates RACH-based LTM to this candidate.</w:t>
      </w:r>
    </w:p>
    <w:p w14:paraId="0CAD6902" w14:textId="77777777" w:rsidR="00EB1441" w:rsidRPr="0098296F" w:rsidRDefault="00EB1441" w:rsidP="00EB1441">
      <w:pPr>
        <w:pStyle w:val="B1"/>
        <w:rPr>
          <w:b/>
        </w:rPr>
      </w:pPr>
      <w:r w:rsidRPr="0098296F">
        <w:rPr>
          <w:b/>
        </w:rPr>
        <w:t>-</w:t>
      </w:r>
      <w:r w:rsidRPr="0098296F">
        <w:rPr>
          <w:b/>
        </w:rPr>
        <w:tab/>
        <w:t>if the selected cell is not an LTM candidate, the UE performs RRC-reestablishment</w:t>
      </w:r>
    </w:p>
    <w:p w14:paraId="6515EF05" w14:textId="67F4E382" w:rsidR="00EB1441" w:rsidRDefault="00EB1441" w:rsidP="005E0FE6">
      <w:pPr>
        <w:rPr>
          <w:b/>
        </w:rPr>
      </w:pPr>
      <w:r>
        <w:rPr>
          <w:b/>
        </w:rPr>
        <w:t>No other optimization is considered (e.g. no fallback from RACH-less to RACH-based for the same cell).</w:t>
      </w:r>
    </w:p>
    <w:p w14:paraId="0BB6896D" w14:textId="77777777" w:rsidR="00D72C97" w:rsidRPr="00387EFE" w:rsidRDefault="00D72C97" w:rsidP="00D72C97">
      <w:pPr>
        <w:rPr>
          <w:u w:val="single"/>
        </w:rPr>
      </w:pPr>
      <w:r w:rsidRPr="00387EFE">
        <w:rPr>
          <w:u w:val="single"/>
        </w:rPr>
        <w:t>UE-based TA measurement</w:t>
      </w:r>
    </w:p>
    <w:p w14:paraId="38C8D595" w14:textId="1D03DA77" w:rsidR="00D72C97" w:rsidRPr="00EB1441" w:rsidRDefault="00D72C97" w:rsidP="005E0FE6">
      <w:pPr>
        <w:rPr>
          <w:b/>
        </w:rPr>
      </w:pPr>
      <w:r w:rsidRPr="00E30475">
        <w:rPr>
          <w:b/>
        </w:rPr>
        <w:t xml:space="preserve">Proposal </w:t>
      </w:r>
      <w:r>
        <w:rPr>
          <w:b/>
        </w:rPr>
        <w:t>6</w:t>
      </w:r>
      <w:r w:rsidRPr="00E30475">
        <w:rPr>
          <w:b/>
        </w:rPr>
        <w:t xml:space="preserve">: </w:t>
      </w:r>
      <w:r>
        <w:rPr>
          <w:b/>
        </w:rPr>
        <w:t>P</w:t>
      </w:r>
      <w:r w:rsidRPr="00E30475">
        <w:rPr>
          <w:b/>
        </w:rPr>
        <w:t xml:space="preserve">ostpone </w:t>
      </w:r>
      <w:r>
        <w:rPr>
          <w:b/>
        </w:rPr>
        <w:t xml:space="preserve">work on </w:t>
      </w:r>
      <w:r w:rsidRPr="00E30475">
        <w:rPr>
          <w:b/>
        </w:rPr>
        <w:t>the UE-based TA measurement method until RAN4 confirms the feasibility.</w:t>
      </w:r>
    </w:p>
    <w:p w14:paraId="5DB5A716" w14:textId="77777777" w:rsidR="00EB7DB9" w:rsidRPr="00E30475" w:rsidRDefault="00EB7DB9" w:rsidP="00EB7DB9">
      <w:pPr>
        <w:pStyle w:val="Heading1"/>
      </w:pPr>
      <w:r w:rsidRPr="00E30475">
        <w:t>Reference</w:t>
      </w:r>
    </w:p>
    <w:p w14:paraId="3E304332" w14:textId="1D46764A" w:rsidR="0020688A" w:rsidRPr="00E30475" w:rsidRDefault="00DB505D" w:rsidP="00DB505D">
      <w:pPr>
        <w:pStyle w:val="ListParagraph"/>
        <w:numPr>
          <w:ilvl w:val="0"/>
          <w:numId w:val="35"/>
        </w:numPr>
        <w:spacing w:after="180"/>
        <w:rPr>
          <w:rFonts w:ascii="Times New Roman" w:hAnsi="Times New Roman"/>
          <w:szCs w:val="20"/>
          <w:lang w:val="en-GB"/>
        </w:rPr>
      </w:pPr>
      <w:r w:rsidRPr="00E30475">
        <w:rPr>
          <w:rFonts w:ascii="Times New Roman" w:hAnsi="Times New Roman"/>
          <w:sz w:val="20"/>
          <w:szCs w:val="20"/>
          <w:lang w:val="en-GB"/>
        </w:rPr>
        <w:t>R1-2306259, LS on beam application time, contents of cell switch command, TCI state activation and UE based TA measurement for LTM.</w:t>
      </w:r>
    </w:p>
    <w:sectPr w:rsidR="0020688A" w:rsidRPr="00E30475"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2C657" w14:textId="77777777" w:rsidR="00B60E65" w:rsidRDefault="00B60E65" w:rsidP="00796430">
      <w:r>
        <w:separator/>
      </w:r>
    </w:p>
  </w:endnote>
  <w:endnote w:type="continuationSeparator" w:id="0">
    <w:p w14:paraId="0C4920C3" w14:textId="77777777" w:rsidR="00B60E65" w:rsidRDefault="00B60E6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Yu Mincho">
    <w:altName w:val="Yu Gothic"/>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37728" w14:textId="77777777" w:rsidR="00B60E65" w:rsidRDefault="00B60E65" w:rsidP="00796430">
      <w:r>
        <w:separator/>
      </w:r>
    </w:p>
  </w:footnote>
  <w:footnote w:type="continuationSeparator" w:id="0">
    <w:p w14:paraId="5A7FCF1C" w14:textId="77777777" w:rsidR="00B60E65" w:rsidRDefault="00B60E65"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FFF7C"/>
    <w:multiLevelType w:val="singleLevel"/>
    <w:tmpl w:val="9BB62F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EBE5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6F4AF6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70DE82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B9630F"/>
    <w:multiLevelType w:val="hybridMultilevel"/>
    <w:tmpl w:val="2912EFD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E6244DE"/>
    <w:multiLevelType w:val="hybridMultilevel"/>
    <w:tmpl w:val="840653AA"/>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0" w15:restartNumberingAfterBreak="0">
    <w:nsid w:val="1EC77A8F"/>
    <w:multiLevelType w:val="hybridMultilevel"/>
    <w:tmpl w:val="2F32E6B8"/>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CD5547"/>
    <w:multiLevelType w:val="hybridMultilevel"/>
    <w:tmpl w:val="AB44D458"/>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8A34A7"/>
    <w:multiLevelType w:val="hybridMultilevel"/>
    <w:tmpl w:val="61CA1946"/>
    <w:lvl w:ilvl="0" w:tplc="9D263AE2">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CFA2CA8"/>
    <w:multiLevelType w:val="hybridMultilevel"/>
    <w:tmpl w:val="A6A482AE"/>
    <w:lvl w:ilvl="0" w:tplc="97A4E758">
      <w:start w:val="3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4" w15:restartNumberingAfterBreak="0">
    <w:nsid w:val="48B0453A"/>
    <w:multiLevelType w:val="multilevel"/>
    <w:tmpl w:val="281E86BE"/>
    <w:numStyleLink w:val="Recommendation"/>
  </w:abstractNum>
  <w:abstractNum w:abstractNumId="2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4F996B7C"/>
    <w:multiLevelType w:val="hybridMultilevel"/>
    <w:tmpl w:val="74E84BFE"/>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F55B83"/>
    <w:multiLevelType w:val="hybridMultilevel"/>
    <w:tmpl w:val="D43EC67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B44905"/>
    <w:multiLevelType w:val="multilevel"/>
    <w:tmpl w:val="21CE5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8878A6"/>
    <w:multiLevelType w:val="hybridMultilevel"/>
    <w:tmpl w:val="87B23594"/>
    <w:lvl w:ilvl="0" w:tplc="409A9E3A">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36" w15:restartNumberingAfterBreak="0">
    <w:nsid w:val="7337541A"/>
    <w:multiLevelType w:val="hybridMultilevel"/>
    <w:tmpl w:val="4080E590"/>
    <w:lvl w:ilvl="0" w:tplc="6BF88C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510482"/>
    <w:multiLevelType w:val="hybridMultilevel"/>
    <w:tmpl w:val="34E244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5"/>
  </w:num>
  <w:num w:numId="3">
    <w:abstractNumId w:val="22"/>
  </w:num>
  <w:num w:numId="4">
    <w:abstractNumId w:val="19"/>
  </w:num>
  <w:num w:numId="5">
    <w:abstractNumId w:val="31"/>
  </w:num>
  <w:num w:numId="6">
    <w:abstractNumId w:val="20"/>
  </w:num>
  <w:num w:numId="7">
    <w:abstractNumId w:val="8"/>
  </w:num>
  <w:num w:numId="8">
    <w:abstractNumId w:val="27"/>
  </w:num>
  <w:num w:numId="9">
    <w:abstractNumId w:val="29"/>
    <w:lvlOverride w:ilvl="0">
      <w:startOverride w:val="1"/>
    </w:lvlOverride>
  </w:num>
  <w:num w:numId="10">
    <w:abstractNumId w:val="6"/>
  </w:num>
  <w:num w:numId="11">
    <w:abstractNumId w:val="24"/>
  </w:num>
  <w:num w:numId="12">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3"/>
  </w:num>
  <w:num w:numId="15">
    <w:abstractNumId w:val="21"/>
  </w:num>
  <w:num w:numId="16">
    <w:abstractNumId w:val="32"/>
  </w:num>
  <w:num w:numId="17">
    <w:abstractNumId w:val="37"/>
  </w:num>
  <w:num w:numId="18">
    <w:abstractNumId w:val="18"/>
  </w:num>
  <w:num w:numId="19">
    <w:abstractNumId w:val="15"/>
  </w:num>
  <w:num w:numId="20">
    <w:abstractNumId w:val="23"/>
  </w:num>
  <w:num w:numId="21">
    <w:abstractNumId w:val="33"/>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num>
  <w:num w:numId="25">
    <w:abstractNumId w:val="3"/>
  </w:num>
  <w:num w:numId="26">
    <w:abstractNumId w:val="2"/>
  </w:num>
  <w:num w:numId="27">
    <w:abstractNumId w:val="1"/>
  </w:num>
  <w:num w:numId="28">
    <w:abstractNumId w:val="30"/>
  </w:num>
  <w:num w:numId="29">
    <w:abstractNumId w:val="34"/>
  </w:num>
  <w:num w:numId="30">
    <w:abstractNumId w:val="38"/>
  </w:num>
  <w:num w:numId="31">
    <w:abstractNumId w:val="4"/>
  </w:num>
  <w:num w:numId="32">
    <w:abstractNumId w:val="4"/>
  </w:num>
  <w:num w:numId="33">
    <w:abstractNumId w:val="10"/>
  </w:num>
  <w:num w:numId="34">
    <w:abstractNumId w:val="9"/>
  </w:num>
  <w:num w:numId="35">
    <w:abstractNumId w:val="5"/>
  </w:num>
  <w:num w:numId="36">
    <w:abstractNumId w:val="26"/>
  </w:num>
  <w:num w:numId="37">
    <w:abstractNumId w:val="11"/>
  </w:num>
  <w:num w:numId="38">
    <w:abstractNumId w:val="7"/>
  </w:num>
  <w:num w:numId="39">
    <w:abstractNumId w:val="14"/>
  </w:num>
  <w:num w:numId="40">
    <w:abstractNumId w:val="4"/>
  </w:num>
  <w:num w:numId="41">
    <w:abstractNumId w:val="4"/>
  </w:num>
  <w:num w:numId="42">
    <w:abstractNumId w:val="4"/>
  </w:num>
  <w:num w:numId="43">
    <w:abstractNumId w:val="4"/>
  </w:num>
  <w:num w:numId="44">
    <w:abstractNumId w:val="36"/>
  </w:num>
  <w:num w:numId="45">
    <w:abstractNumId w:val="17"/>
  </w:num>
  <w:num w:numId="46">
    <w:abstractNumId w:val="12"/>
  </w:num>
  <w:num w:numId="47">
    <w:abstractNumId w:val="35"/>
  </w:num>
  <w:num w:numId="48">
    <w:abstractNumId w:val="0"/>
  </w:num>
  <w:num w:numId="4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34E"/>
    <w:rsid w:val="006774A6"/>
    <w:rsid w:val="006779A3"/>
    <w:rsid w:val="00677C48"/>
    <w:rsid w:val="00677D2D"/>
    <w:rsid w:val="00677D78"/>
    <w:rsid w:val="00677E10"/>
    <w:rsid w:val="00680339"/>
    <w:rsid w:val="00680853"/>
    <w:rsid w:val="00680C92"/>
    <w:rsid w:val="00681AD4"/>
    <w:rsid w:val="00681C42"/>
    <w:rsid w:val="00681CCF"/>
    <w:rsid w:val="0068229F"/>
    <w:rsid w:val="006823CA"/>
    <w:rsid w:val="006825CC"/>
    <w:rsid w:val="006828A3"/>
    <w:rsid w:val="00682C82"/>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1D2"/>
    <w:rsid w:val="00BE7268"/>
    <w:rsid w:val="00BE774E"/>
    <w:rsid w:val="00BE7852"/>
    <w:rsid w:val="00BE7986"/>
    <w:rsid w:val="00BE7A6A"/>
    <w:rsid w:val="00BF0037"/>
    <w:rsid w:val="00BF00EC"/>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E41"/>
    <w:rsid w:val="00BF5738"/>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8C2"/>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41"/>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296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uiPriority w:val="99"/>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8"/>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610DA-92CC-4EC7-BF65-7AA4BE205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1735</Words>
  <Characters>9892</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 (David)</cp:lastModifiedBy>
  <cp:revision>4</cp:revision>
  <cp:lastPrinted>2016-09-19T04:11:00Z</cp:lastPrinted>
  <dcterms:created xsi:type="dcterms:W3CDTF">2023-08-11T07:31:00Z</dcterms:created>
  <dcterms:modified xsi:type="dcterms:W3CDTF">2023-08-11T07:38:00Z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(3)VdE/VGUFc4dca1glRQk/O7GY88DPKoJPZ2kC926XdAJZDfynJc2zE2MLdKa7dVtKNtdcOKEH
lK3HcsV/ot8XDmkymk1FTFJRk1dli6vdeKI7t+Kz+Z3oGZle2/EXv6mUNkOuo6czpCvDY7wS
zvx1/bwkQ+1Imjcqj9DA0g7VQ7FX3ZFW4uOtIfWx6CmfIaF1egY49JC8B9Rbw/HtIND3g2ci
QOIEoKsTiCVmRBMV/k</vt:lpwstr>
  </property>
  <property fmtid="{D5CDD505-2E9C-101B-9397-08002B2CF9AE}" pid="25" name="_2015_ms_pID_725343_00">
    <vt:lpwstr>_2015_ms_pID_725343</vt:lpwstr>
  </property>
  <property fmtid="{D5CDD505-2E9C-101B-9397-08002B2CF9AE}" pid="26" name="_2015_ms_pID_7253431">
    <vt:lpwstr>6viG1QtF3KYi0JAZhLILywk9n6avT0403hI3bBqh1n4EFuMEVxprLw
xYe/TxtdHA3fkQOokotCkcFztK/B6FQLZlDC+vj4TJQ+EgyCgsJUlej48k4eqwrNLukV94Ou
8A9UOs/geXGqx+3/hyem7kk1cz7lYeaJdqQ7T5e8AK27gq9j8ser1Cy5F80nLr3TLffRXr/u
bYx5dnW1lSLJKv+cqZiKF+K1o3kZX81LfFR4</vt:lpwstr>
  </property>
  <property fmtid="{D5CDD505-2E9C-101B-9397-08002B2CF9AE}" pid="27" name="_2015_ms_pID_7253431_00">
    <vt:lpwstr>_2015_ms_pID_7253431</vt:lpwstr>
  </property>
  <property fmtid="{D5CDD505-2E9C-101B-9397-08002B2CF9AE}" pid="28" name="_2015_ms_pID_7253432">
    <vt:lpwstr>eg==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1691576501</vt:lpwstr>
  </property>
</Properties>
</file>