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1A7D" w14:textId="0A0281AD" w:rsidR="00465098"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1A2934" w:rsidRPr="001A2934">
        <w:rPr>
          <w:rFonts w:eastAsia="SimSun" w:cs="Arial"/>
          <w:b/>
          <w:kern w:val="0"/>
          <w:sz w:val="28"/>
          <w:szCs w:val="28"/>
          <w:lang w:val="en-US" w:eastAsia="en-US"/>
        </w:rPr>
        <w:t>R2-2305018</w:t>
      </w:r>
    </w:p>
    <w:p w14:paraId="4196E6E1" w14:textId="77777777" w:rsidR="00465098"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Incheon, May 22-26,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55242BCA" w14:textId="77777777" w:rsidR="0046509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7B0CD5B" w14:textId="77777777" w:rsidR="0046509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BSR enhancements for XR </w:t>
      </w:r>
    </w:p>
    <w:p w14:paraId="04C30842" w14:textId="77777777" w:rsidR="0046509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7.5.4.1</w:t>
      </w:r>
    </w:p>
    <w:p w14:paraId="49208A8B" w14:textId="77777777" w:rsidR="0046509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06FC3AD"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5AB27AC5"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At RAN2#121-bis, it was agreed to investigate new BSR table formats at least considering the linear distribution for the code points. It was left for further discussion whether to use a static BSR table or to use a dynamic (i.e. RRC configured) BSR table. Further, some analysis is needed on the residual quantization errors with the new BSR tables and in this contribution, we discuss these options and propose a way forward.    </w:t>
      </w:r>
    </w:p>
    <w:p w14:paraId="0C1CB6E1"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BSR reporting for XR</w:t>
      </w:r>
    </w:p>
    <w:p w14:paraId="44A0967A" w14:textId="77777777" w:rsidR="00465098" w:rsidRDefault="00000000">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BSR format and inclusion of the </w:t>
      </w:r>
      <w:r>
        <w:rPr>
          <w:rFonts w:cs="Arial"/>
          <w:b w:val="0"/>
          <w:bCs w:val="0"/>
          <w:i/>
          <w:iCs/>
          <w:kern w:val="0"/>
          <w:sz w:val="32"/>
          <w:szCs w:val="36"/>
        </w:rPr>
        <w:t>remaining time</w:t>
      </w:r>
    </w:p>
    <w:p w14:paraId="5FB99DC3" w14:textId="77777777" w:rsidR="00465098" w:rsidRDefault="00000000">
      <w:r>
        <w:t xml:space="preserve">In addition to the buffer size, it was agreed to also report the “remaining-time” in UL for the buffered data. Since the buffer size is reported per LCG, it is also proposed to report the remaining-time also per LCG. The arguments for reporting remaining-time per LCG are similar to the arguments for reporting buffer size also per LCG (i.e. the grouping is done by the network based on QoS requirements). </w:t>
      </w:r>
    </w:p>
    <w:p w14:paraId="6EE61AB4" w14:textId="77777777" w:rsidR="00465098" w:rsidRDefault="00000000">
      <w:pPr>
        <w:rPr>
          <w:b/>
          <w:bCs/>
        </w:rPr>
      </w:pPr>
      <w:r>
        <w:rPr>
          <w:b/>
          <w:bCs/>
        </w:rPr>
        <w:t>Proposal 1: The remaining-time for buffered data in UL is reported per LCG by the UE</w:t>
      </w:r>
    </w:p>
    <w:p w14:paraId="0C9B5591" w14:textId="77777777" w:rsidR="00465098" w:rsidRDefault="00000000">
      <w:r>
        <w:t xml:space="preserve">When more than one LC is mapped to an LCG, the remaining-time reported by the UE corresponds to the LC that has the shortest remaining-time left for the buffered data. </w:t>
      </w:r>
    </w:p>
    <w:p w14:paraId="3E2E5DFD" w14:textId="77777777" w:rsidR="00465098" w:rsidRDefault="00000000">
      <w:pPr>
        <w:rPr>
          <w:b/>
          <w:bCs/>
        </w:rPr>
      </w:pPr>
      <w:r>
        <w:rPr>
          <w:b/>
          <w:bCs/>
        </w:rPr>
        <w:t>Proposal 2: When more than one LC is mapped to an LCG, then the remaining-time reported by the UE corresponds to the data from the LC that has the shortest remaining-time left for the buffered data in UL</w:t>
      </w:r>
    </w:p>
    <w:p w14:paraId="59164782"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Hlk134539258"/>
      <w:r>
        <w:rPr>
          <w:rFonts w:cs="Arial"/>
          <w:b w:val="0"/>
          <w:bCs w:val="0"/>
          <w:kern w:val="0"/>
          <w:sz w:val="32"/>
          <w:szCs w:val="36"/>
        </w:rPr>
        <w:t xml:space="preserve">BSR table design </w:t>
      </w:r>
    </w:p>
    <w:bookmarkEnd w:id="6"/>
    <w:p w14:paraId="46C231C0" w14:textId="28BBE1B0" w:rsidR="00465098" w:rsidRDefault="001A2934">
      <w:pPr>
        <w:pStyle w:val="NormalWeb"/>
        <w:spacing w:before="75" w:beforeAutospacing="0" w:after="75" w:afterAutospacing="0" w:line="315" w:lineRule="atLeast"/>
        <w:rPr>
          <w:rFonts w:cs="Arial"/>
          <w:color w:val="000000"/>
          <w:sz w:val="21"/>
        </w:rPr>
      </w:pPr>
      <w:r>
        <w:rPr>
          <w:rFonts w:cs="Arial"/>
          <w:color w:val="000000"/>
          <w:sz w:val="21"/>
        </w:rPr>
        <w:t xml:space="preserve">In order to design the new BSR table, we need to have an understanding of the range of the BSR code points to target for the new BSR table. Currently BSR reporting uses either short BSR table or the long BSR table. The BSR values reported are quantized and the UE will have to report the code point representing the value just above the amount of buffered data in the UE buffer. Unfortunately, this results </w:t>
      </w:r>
      <w:r>
        <w:rPr>
          <w:rFonts w:cs="Arial"/>
          <w:color w:val="000000"/>
          <w:sz w:val="21"/>
        </w:rPr>
        <w:lastRenderedPageBreak/>
        <w:t xml:space="preserve">in over reporting of buffer status values (referred to as the quantization error below) and the issue is more critical at higher BSR values as shown below. This is mainly because the BSR code points at the higher BSR values are sparser. </w:t>
      </w:r>
    </w:p>
    <w:tbl>
      <w:tblPr>
        <w:tblStyle w:val="TableGrid"/>
        <w:tblW w:w="0" w:type="auto"/>
        <w:tblLook w:val="04A0" w:firstRow="1" w:lastRow="0" w:firstColumn="1" w:lastColumn="0" w:noHBand="0" w:noVBand="1"/>
      </w:tblPr>
      <w:tblGrid>
        <w:gridCol w:w="4871"/>
        <w:gridCol w:w="4900"/>
      </w:tblGrid>
      <w:tr w:rsidR="00465098" w14:paraId="256213C9" w14:textId="77777777">
        <w:tc>
          <w:tcPr>
            <w:tcW w:w="4885" w:type="dxa"/>
          </w:tcPr>
          <w:p w14:paraId="22FB5F54" w14:textId="77777777" w:rsidR="00465098" w:rsidRDefault="00000000">
            <w:pPr>
              <w:pStyle w:val="NormalWeb"/>
              <w:keepNext/>
              <w:spacing w:before="75" w:beforeAutospacing="0" w:after="75" w:afterAutospacing="0" w:line="315" w:lineRule="atLeast"/>
            </w:pPr>
            <w:r>
              <w:rPr>
                <w:noProof/>
              </w:rPr>
              <w:drawing>
                <wp:inline distT="0" distB="0" distL="0" distR="0" wp14:anchorId="47489F34" wp14:editId="48107883">
                  <wp:extent cx="2955925" cy="2004060"/>
                  <wp:effectExtent l="0" t="0" r="0" b="0"/>
                  <wp:docPr id="441815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15020" name="Picture 1"/>
                          <pic:cNvPicPr>
                            <a:picLocks noChangeAspect="1"/>
                          </pic:cNvPicPr>
                        </pic:nvPicPr>
                        <pic:blipFill>
                          <a:blip r:embed="rId8"/>
                          <a:stretch>
                            <a:fillRect/>
                          </a:stretch>
                        </pic:blipFill>
                        <pic:spPr>
                          <a:xfrm>
                            <a:off x="0" y="0"/>
                            <a:ext cx="2995602" cy="2030841"/>
                          </a:xfrm>
                          <a:prstGeom prst="rect">
                            <a:avLst/>
                          </a:prstGeom>
                        </pic:spPr>
                      </pic:pic>
                    </a:graphicData>
                  </a:graphic>
                </wp:inline>
              </w:drawing>
            </w:r>
          </w:p>
        </w:tc>
        <w:tc>
          <w:tcPr>
            <w:tcW w:w="4886" w:type="dxa"/>
          </w:tcPr>
          <w:p w14:paraId="2084E56C" w14:textId="77777777" w:rsidR="00465098" w:rsidRDefault="00000000">
            <w:pPr>
              <w:pStyle w:val="NormalWeb"/>
              <w:spacing w:before="75" w:beforeAutospacing="0" w:after="75" w:afterAutospacing="0" w:line="315" w:lineRule="atLeast"/>
              <w:rPr>
                <w:rFonts w:cs="Arial"/>
                <w:color w:val="000000"/>
                <w:sz w:val="21"/>
              </w:rPr>
            </w:pPr>
            <w:r>
              <w:rPr>
                <w:noProof/>
              </w:rPr>
              <w:drawing>
                <wp:inline distT="0" distB="0" distL="0" distR="0" wp14:anchorId="3AEC25A3" wp14:editId="106CB536">
                  <wp:extent cx="2974340" cy="2005965"/>
                  <wp:effectExtent l="0" t="0" r="0" b="0"/>
                  <wp:docPr id="707628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28569" name="Picture 1"/>
                          <pic:cNvPicPr>
                            <a:picLocks noChangeAspect="1"/>
                          </pic:cNvPicPr>
                        </pic:nvPicPr>
                        <pic:blipFill>
                          <a:blip r:embed="rId9"/>
                          <a:stretch>
                            <a:fillRect/>
                          </a:stretch>
                        </pic:blipFill>
                        <pic:spPr>
                          <a:xfrm>
                            <a:off x="0" y="0"/>
                            <a:ext cx="3008831" cy="2029416"/>
                          </a:xfrm>
                          <a:prstGeom prst="rect">
                            <a:avLst/>
                          </a:prstGeom>
                        </pic:spPr>
                      </pic:pic>
                    </a:graphicData>
                  </a:graphic>
                </wp:inline>
              </w:drawing>
            </w:r>
          </w:p>
        </w:tc>
      </w:tr>
      <w:tr w:rsidR="00465098" w14:paraId="4973CEAA" w14:textId="77777777">
        <w:tc>
          <w:tcPr>
            <w:tcW w:w="9771" w:type="dxa"/>
            <w:gridSpan w:val="2"/>
          </w:tcPr>
          <w:p w14:paraId="3E9DDEA9" w14:textId="77777777" w:rsidR="00465098" w:rsidRDefault="00000000">
            <w:pPr>
              <w:pStyle w:val="Caption"/>
              <w:jc w:val="center"/>
            </w:pPr>
            <w:r>
              <w:t xml:space="preserve">Figure </w:t>
            </w:r>
            <w:fldSimple w:instr=" SEQ Figure \* ARABIC ">
              <w:r>
                <w:t>1</w:t>
              </w:r>
            </w:fldSimple>
            <w:r>
              <w:t>: Max Quantization error Values (i.e., amount of over reported buffer data) with existing BSR tables</w:t>
            </w:r>
          </w:p>
        </w:tc>
      </w:tr>
    </w:tbl>
    <w:p w14:paraId="03B577A8" w14:textId="3C42F638"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Based on the above, we can conclude that the enhancement schemes should mainly target the higher BSR indices (e.g., the buffer status values that are above BSR Index 150 or so in case of Long BSR). </w:t>
      </w:r>
    </w:p>
    <w:p w14:paraId="43FFC35B" w14:textId="1E574CE9" w:rsidR="00184CFD" w:rsidRDefault="001A2934">
      <w:pPr>
        <w:pStyle w:val="NormalWeb"/>
        <w:spacing w:before="75" w:beforeAutospacing="0" w:after="75" w:afterAutospacing="0" w:line="315" w:lineRule="atLeast"/>
        <w:rPr>
          <w:rFonts w:cs="Arial"/>
          <w:color w:val="000000"/>
          <w:sz w:val="21"/>
        </w:rPr>
      </w:pPr>
      <w:r>
        <w:rPr>
          <w:rFonts w:cs="Arial"/>
          <w:color w:val="000000"/>
          <w:sz w:val="21"/>
        </w:rPr>
        <w:t>Thus, f</w:t>
      </w:r>
      <w:r w:rsidR="00C54A49">
        <w:rPr>
          <w:rFonts w:cs="Arial"/>
          <w:color w:val="000000"/>
          <w:sz w:val="21"/>
        </w:rPr>
        <w:t>or the minimum value, we can assume the code point corresponding to the existing long BSR code point 150 (beyond which the quantization error seems to increase steeply). Then</w:t>
      </w:r>
      <w:r w:rsidR="00184CFD">
        <w:rPr>
          <w:rFonts w:cs="Arial"/>
          <w:color w:val="000000"/>
          <w:sz w:val="21"/>
        </w:rPr>
        <w:t>, the SA4 LS</w:t>
      </w:r>
      <w:r w:rsidR="00C54A49">
        <w:rPr>
          <w:rFonts w:cs="Arial"/>
          <w:color w:val="000000"/>
          <w:sz w:val="21"/>
        </w:rPr>
        <w:t xml:space="preserve"> (</w:t>
      </w:r>
      <w:r w:rsidR="00EC411E" w:rsidRPr="00EC411E">
        <w:rPr>
          <w:rFonts w:cs="Arial"/>
          <w:color w:val="000000"/>
          <w:sz w:val="21"/>
        </w:rPr>
        <w:t>R2-2304659</w:t>
      </w:r>
      <w:r w:rsidR="00C54A49">
        <w:rPr>
          <w:rFonts w:cs="Arial"/>
          <w:color w:val="000000"/>
          <w:sz w:val="21"/>
        </w:rPr>
        <w:t>)</w:t>
      </w:r>
      <w:r w:rsidR="00184CFD">
        <w:rPr>
          <w:rFonts w:cs="Arial"/>
          <w:color w:val="000000"/>
          <w:sz w:val="21"/>
        </w:rPr>
        <w:t xml:space="preserve"> indicates that the maximum PDU Set size is encoded using a 24 bit value. This translates to a maximum value of 16777216 bytes. If we assume that all the PDUs belonging to a PDU Set arrive at the same time, the buffer size will likely be around this value (as a maximum). </w:t>
      </w:r>
      <w:r>
        <w:rPr>
          <w:rFonts w:cs="Arial"/>
          <w:color w:val="000000"/>
          <w:sz w:val="21"/>
        </w:rPr>
        <w:t xml:space="preserve">Assuming that the PDU set is the cleared before arrival of the next PDU Set, </w:t>
      </w:r>
      <w:r w:rsidR="00184CFD">
        <w:rPr>
          <w:rFonts w:cs="Arial"/>
          <w:color w:val="000000"/>
          <w:sz w:val="21"/>
        </w:rPr>
        <w:t xml:space="preserve">the proposal then is to focus between the following code points: </w:t>
      </w:r>
    </w:p>
    <w:p w14:paraId="7CBAB4E8" w14:textId="77777777" w:rsidR="00EC411E" w:rsidRDefault="00EC411E">
      <w:pPr>
        <w:pStyle w:val="NormalWeb"/>
        <w:spacing w:before="75" w:beforeAutospacing="0" w:after="75" w:afterAutospacing="0" w:line="315" w:lineRule="atLeast"/>
        <w:rPr>
          <w:rFonts w:cs="Arial"/>
          <w:color w:val="000000"/>
          <w:sz w:val="21"/>
        </w:rPr>
      </w:pPr>
    </w:p>
    <w:p w14:paraId="42708D0D" w14:textId="51C7E576" w:rsidR="00184CFD" w:rsidRDefault="00184CFD">
      <w:pPr>
        <w:pStyle w:val="NormalWeb"/>
        <w:spacing w:before="75" w:beforeAutospacing="0" w:after="75" w:afterAutospacing="0" w:line="315" w:lineRule="atLeast"/>
        <w:rPr>
          <w:rFonts w:cs="Arial"/>
          <w:color w:val="000000"/>
          <w:sz w:val="21"/>
        </w:rPr>
      </w:pPr>
      <w:r>
        <w:rPr>
          <w:rFonts w:cs="Arial"/>
          <w:color w:val="000000"/>
          <w:sz w:val="21"/>
        </w:rPr>
        <w:t>Minimum Buffer size value: 117409 bytes</w:t>
      </w:r>
    </w:p>
    <w:p w14:paraId="18AFD923" w14:textId="28A602A8" w:rsidR="00184CFD" w:rsidRDefault="00184CFD">
      <w:pPr>
        <w:pStyle w:val="NormalWeb"/>
        <w:spacing w:before="75" w:beforeAutospacing="0" w:after="75" w:afterAutospacing="0" w:line="315" w:lineRule="atLeast"/>
        <w:rPr>
          <w:rFonts w:cs="Arial"/>
          <w:color w:val="000000"/>
          <w:sz w:val="21"/>
        </w:rPr>
      </w:pPr>
      <w:r>
        <w:rPr>
          <w:rFonts w:cs="Arial"/>
          <w:color w:val="000000"/>
          <w:sz w:val="21"/>
        </w:rPr>
        <w:t>Maximum Buffer size value: 16777216 bytes</w:t>
      </w:r>
    </w:p>
    <w:p w14:paraId="63BC1F67" w14:textId="60EBE2DE"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 </w:t>
      </w:r>
    </w:p>
    <w:p w14:paraId="430D952C" w14:textId="6F501F06"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406613">
        <w:rPr>
          <w:rFonts w:cs="Arial"/>
          <w:b/>
          <w:bCs/>
          <w:color w:val="000000"/>
          <w:sz w:val="21"/>
        </w:rPr>
        <w:t>3</w:t>
      </w:r>
      <w:r>
        <w:rPr>
          <w:rFonts w:cs="Arial"/>
          <w:b/>
          <w:bCs/>
          <w:color w:val="000000"/>
          <w:sz w:val="21"/>
        </w:rPr>
        <w:t xml:space="preserve">: The new BSR table design should target the BSR code points </w:t>
      </w:r>
      <w:r w:rsidR="00184CFD">
        <w:rPr>
          <w:rFonts w:cs="Arial"/>
          <w:b/>
          <w:bCs/>
          <w:color w:val="000000"/>
          <w:sz w:val="21"/>
        </w:rPr>
        <w:t>between 117409 bytes (around this code point the quantization error starts to ramp-up sharply) and 16777216 bytes</w:t>
      </w:r>
      <w:r>
        <w:rPr>
          <w:rFonts w:cs="Arial"/>
          <w:b/>
          <w:bCs/>
          <w:color w:val="000000"/>
          <w:sz w:val="21"/>
        </w:rPr>
        <w:t xml:space="preserve"> </w:t>
      </w:r>
      <w:r w:rsidR="00184CFD">
        <w:rPr>
          <w:rFonts w:cs="Arial"/>
          <w:b/>
          <w:bCs/>
          <w:color w:val="000000"/>
          <w:sz w:val="21"/>
        </w:rPr>
        <w:t>(maximum PDU Set size)</w:t>
      </w:r>
    </w:p>
    <w:p w14:paraId="03729557" w14:textId="053F1B80" w:rsidR="00EC411E" w:rsidRDefault="00EC411E">
      <w:pPr>
        <w:pStyle w:val="NormalWeb"/>
        <w:spacing w:before="75" w:beforeAutospacing="0" w:after="75" w:afterAutospacing="0" w:line="315" w:lineRule="atLeast"/>
        <w:rPr>
          <w:rFonts w:cs="Arial"/>
          <w:color w:val="000000"/>
          <w:sz w:val="21"/>
        </w:rPr>
      </w:pPr>
      <w:r>
        <w:rPr>
          <w:rFonts w:cs="Arial"/>
          <w:color w:val="000000"/>
          <w:sz w:val="21"/>
        </w:rPr>
        <w:t xml:space="preserve">Once we have the above values, we can compare the linear and exponential distributions. Whilst the linear distribution will provide a uniform residual error, the exponential distribution is biased towards lower buffer size values. Given the target to optimise the quantization error, especially towards the higher buffer size values, we propose to use a linear distribution for the new table. </w:t>
      </w:r>
    </w:p>
    <w:p w14:paraId="03D54A5C" w14:textId="2CA46B86" w:rsidR="00EC411E" w:rsidRPr="001A2934" w:rsidRDefault="00EC411E">
      <w:pPr>
        <w:pStyle w:val="NormalWeb"/>
        <w:spacing w:before="75" w:beforeAutospacing="0" w:after="75" w:afterAutospacing="0" w:line="315" w:lineRule="atLeast"/>
        <w:rPr>
          <w:rFonts w:cs="Arial"/>
          <w:b/>
          <w:bCs/>
          <w:color w:val="000000"/>
          <w:sz w:val="21"/>
        </w:rPr>
      </w:pPr>
      <w:r w:rsidRPr="001A2934">
        <w:rPr>
          <w:rFonts w:cs="Arial"/>
          <w:b/>
          <w:bCs/>
          <w:color w:val="000000"/>
          <w:sz w:val="21"/>
        </w:rPr>
        <w:t xml:space="preserve">Proposal </w:t>
      </w:r>
      <w:r w:rsidR="00406613">
        <w:rPr>
          <w:rFonts w:cs="Arial"/>
          <w:b/>
          <w:bCs/>
          <w:color w:val="000000"/>
          <w:sz w:val="21"/>
        </w:rPr>
        <w:t>4</w:t>
      </w:r>
      <w:r w:rsidRPr="001A2934">
        <w:rPr>
          <w:rFonts w:cs="Arial"/>
          <w:b/>
          <w:bCs/>
          <w:color w:val="000000"/>
          <w:sz w:val="21"/>
        </w:rPr>
        <w:t xml:space="preserve">: </w:t>
      </w:r>
      <w:r w:rsidR="001A2934">
        <w:rPr>
          <w:rFonts w:cs="Arial"/>
          <w:b/>
          <w:bCs/>
          <w:color w:val="000000"/>
          <w:sz w:val="21"/>
        </w:rPr>
        <w:t>A</w:t>
      </w:r>
      <w:r w:rsidRPr="001A2934">
        <w:rPr>
          <w:rFonts w:cs="Arial"/>
          <w:b/>
          <w:bCs/>
          <w:color w:val="000000"/>
          <w:sz w:val="21"/>
        </w:rPr>
        <w:t xml:space="preserve"> linear distribution is used for BSR table generation. </w:t>
      </w:r>
    </w:p>
    <w:p w14:paraId="3FD67B7E"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Then, one question is whether a static table is sufficient or if a dynamic (RRC generated) table is needed. The idea of an RRC generated BSR table is that it can be tailored to a specific XR application generated data packet size. However, the buffer sizes reported are not just a function of the application data but they are also dependent on how much data has been scheduled so far by the </w:t>
      </w:r>
      <w:proofErr w:type="spellStart"/>
      <w:r>
        <w:rPr>
          <w:rFonts w:cs="Arial"/>
          <w:color w:val="000000"/>
          <w:sz w:val="21"/>
        </w:rPr>
        <w:t>gNB</w:t>
      </w:r>
      <w:proofErr w:type="spellEnd"/>
      <w:r>
        <w:rPr>
          <w:rFonts w:cs="Arial"/>
          <w:color w:val="000000"/>
          <w:sz w:val="21"/>
        </w:rPr>
        <w:t xml:space="preserve">. This dependency on the UL scheduling, basically decouples the buffer size values from the application generated data and </w:t>
      </w:r>
      <w:r>
        <w:rPr>
          <w:rFonts w:cs="Arial"/>
          <w:color w:val="000000"/>
          <w:sz w:val="21"/>
        </w:rPr>
        <w:lastRenderedPageBreak/>
        <w:t xml:space="preserve">hence the general goal should be to minimise the quantization errors by increasing the number of code points rather than targeting any specific application as such. Hence, we think a table specifically targeting the BSR code point range with the largest quantization errors is sufficient and hence can be configured statically in the MAC spec. Further, a static table is much simpler (and is aligned with the existing principle we have in MAC). Once such table is compiled, we can study the residual quantization errors combining all the existing BSR tables and a low quantization error (e.g. in the range of a kB or less) should be targeted for the new BSR reporting mechanism for XR. Once multiple BSR tables are defined, the UE shall pick the BSR index from a given table to minimise the quantization error and indicate the BSR index along with the table to the </w:t>
      </w:r>
      <w:proofErr w:type="spellStart"/>
      <w:r>
        <w:rPr>
          <w:rFonts w:cs="Arial"/>
          <w:color w:val="000000"/>
          <w:sz w:val="21"/>
        </w:rPr>
        <w:t>gNB</w:t>
      </w:r>
      <w:proofErr w:type="spellEnd"/>
      <w:r>
        <w:rPr>
          <w:rFonts w:cs="Arial"/>
          <w:color w:val="000000"/>
          <w:sz w:val="21"/>
        </w:rPr>
        <w:t xml:space="preserve">. </w:t>
      </w:r>
    </w:p>
    <w:p w14:paraId="224C6020"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So, we propose the following: </w:t>
      </w:r>
    </w:p>
    <w:p w14:paraId="67106CD0" w14:textId="2ABFCE95"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406613">
        <w:rPr>
          <w:rFonts w:cs="Arial"/>
          <w:b/>
          <w:bCs/>
          <w:color w:val="000000"/>
          <w:sz w:val="21"/>
        </w:rPr>
        <w:t>5</w:t>
      </w:r>
      <w:r>
        <w:rPr>
          <w:rFonts w:cs="Arial"/>
          <w:b/>
          <w:bCs/>
          <w:color w:val="000000"/>
          <w:sz w:val="21"/>
        </w:rPr>
        <w:t>: A static BSR table targeting the buffer size values where the quantization errors are the largest is defined for XR</w:t>
      </w:r>
    </w:p>
    <w:p w14:paraId="7C2B4272" w14:textId="0AC0654F"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406613">
        <w:rPr>
          <w:rFonts w:cs="Arial"/>
          <w:b/>
          <w:bCs/>
          <w:color w:val="000000"/>
          <w:sz w:val="21"/>
        </w:rPr>
        <w:t>6</w:t>
      </w:r>
      <w:r>
        <w:rPr>
          <w:rFonts w:cs="Arial"/>
          <w:b/>
          <w:bCs/>
          <w:color w:val="000000"/>
          <w:sz w:val="21"/>
        </w:rPr>
        <w:t xml:space="preserve">: UE shall pick the BSR index that minimises the quantization error from the BSR tables configured for a given LCG </w:t>
      </w:r>
    </w:p>
    <w:p w14:paraId="22A11C48" w14:textId="6F61B046" w:rsidR="00465098" w:rsidRDefault="00000000">
      <w:pPr>
        <w:pStyle w:val="NormalWeb"/>
        <w:spacing w:before="75" w:beforeAutospacing="0" w:after="75" w:afterAutospacing="0" w:line="315" w:lineRule="atLeast"/>
        <w:rPr>
          <w:b/>
          <w:bCs/>
        </w:rPr>
      </w:pPr>
      <w:r>
        <w:rPr>
          <w:rFonts w:cs="Arial"/>
          <w:b/>
          <w:bCs/>
          <w:color w:val="000000"/>
          <w:sz w:val="21"/>
        </w:rPr>
        <w:t xml:space="preserve">Proposal </w:t>
      </w:r>
      <w:r w:rsidR="00406613">
        <w:rPr>
          <w:rFonts w:cs="Arial"/>
          <w:b/>
          <w:bCs/>
          <w:color w:val="000000"/>
          <w:sz w:val="21"/>
        </w:rPr>
        <w:t>7</w:t>
      </w:r>
      <w:r>
        <w:rPr>
          <w:rFonts w:cs="Arial"/>
          <w:b/>
          <w:bCs/>
          <w:color w:val="000000"/>
          <w:sz w:val="21"/>
        </w:rPr>
        <w:t>: Both the BSR index and BSR table from which the BSR index is picked should be reported in the BSR</w:t>
      </w:r>
    </w:p>
    <w:p w14:paraId="4C20EBF4"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608CE21" w14:textId="77777777" w:rsidR="00465098" w:rsidRDefault="00000000">
      <w:pPr>
        <w:pStyle w:val="NormalWeb"/>
        <w:spacing w:before="75" w:beforeAutospacing="0" w:after="75" w:afterAutospacing="0" w:line="315" w:lineRule="atLeast"/>
        <w:rPr>
          <w:rFonts w:cs="Arial"/>
          <w:color w:val="000000"/>
          <w:sz w:val="21"/>
          <w:u w:val="single"/>
        </w:rPr>
      </w:pPr>
      <w:bookmarkStart w:id="7" w:name="_Toc18404543"/>
      <w:bookmarkStart w:id="8" w:name="_Toc18403976"/>
      <w:bookmarkStart w:id="9" w:name="_Toc18413612"/>
      <w:r>
        <w:rPr>
          <w:rFonts w:cs="Arial"/>
          <w:color w:val="000000"/>
          <w:sz w:val="21"/>
          <w:u w:val="single"/>
        </w:rPr>
        <w:t>- BSR format and remaining-time reporting</w:t>
      </w:r>
    </w:p>
    <w:p w14:paraId="19EAC3B4" w14:textId="77777777" w:rsidR="00406613" w:rsidRDefault="00406613" w:rsidP="00406613">
      <w:pPr>
        <w:rPr>
          <w:b/>
          <w:bCs/>
        </w:rPr>
      </w:pPr>
      <w:r>
        <w:rPr>
          <w:b/>
          <w:bCs/>
        </w:rPr>
        <w:t>Proposal 1: The remaining-time for buffered data in UL is reported per LCG by the UE</w:t>
      </w:r>
    </w:p>
    <w:p w14:paraId="129DAF94" w14:textId="05949FE0" w:rsidR="00465098" w:rsidRDefault="00406613">
      <w:pPr>
        <w:rPr>
          <w:b/>
          <w:bCs/>
        </w:rPr>
      </w:pPr>
      <w:r>
        <w:rPr>
          <w:b/>
          <w:bCs/>
        </w:rPr>
        <w:t>Proposal 2: When more than one LC is mapped to an LCG, then the remaining-time reported by the UE corresponds to the data from the LC that has the shortest remaining-time left for the buffered data in UL</w:t>
      </w:r>
    </w:p>
    <w:p w14:paraId="466571FE" w14:textId="77777777" w:rsidR="00465098" w:rsidRDefault="00000000">
      <w:pPr>
        <w:pStyle w:val="NormalWeb"/>
        <w:spacing w:before="75" w:beforeAutospacing="0" w:after="75" w:afterAutospacing="0" w:line="315" w:lineRule="atLeast"/>
        <w:rPr>
          <w:rFonts w:cs="Arial"/>
          <w:color w:val="000000"/>
          <w:sz w:val="21"/>
          <w:u w:val="single"/>
        </w:rPr>
      </w:pPr>
      <w:r>
        <w:rPr>
          <w:rFonts w:cs="Arial"/>
          <w:color w:val="000000"/>
          <w:sz w:val="21"/>
          <w:u w:val="single"/>
        </w:rPr>
        <w:t>- BSR table design</w:t>
      </w:r>
    </w:p>
    <w:p w14:paraId="02E012A3" w14:textId="77777777" w:rsidR="00406613" w:rsidRDefault="00406613" w:rsidP="00406613">
      <w:pPr>
        <w:pStyle w:val="NormalWeb"/>
        <w:spacing w:before="75" w:beforeAutospacing="0" w:after="75" w:afterAutospacing="0" w:line="315" w:lineRule="atLeast"/>
        <w:rPr>
          <w:rFonts w:cs="Arial"/>
          <w:b/>
          <w:bCs/>
          <w:color w:val="000000"/>
          <w:sz w:val="21"/>
        </w:rPr>
      </w:pPr>
      <w:r>
        <w:rPr>
          <w:rFonts w:cs="Arial"/>
          <w:b/>
          <w:bCs/>
          <w:color w:val="000000"/>
          <w:sz w:val="21"/>
        </w:rPr>
        <w:t>Proposal 3: The new BSR table design should target the BSR code points between 117409 bytes (around this code point the quantization error starts to ramp-up sharply) and 16777216 bytes (maximum PDU Set size)</w:t>
      </w:r>
    </w:p>
    <w:p w14:paraId="6937976F" w14:textId="77777777" w:rsidR="00406613" w:rsidRPr="001A2934" w:rsidRDefault="00406613" w:rsidP="00406613">
      <w:pPr>
        <w:pStyle w:val="NormalWeb"/>
        <w:spacing w:before="75" w:beforeAutospacing="0" w:after="75" w:afterAutospacing="0" w:line="315" w:lineRule="atLeast"/>
        <w:rPr>
          <w:rFonts w:cs="Arial"/>
          <w:b/>
          <w:bCs/>
          <w:color w:val="000000"/>
          <w:sz w:val="21"/>
        </w:rPr>
      </w:pPr>
      <w:r w:rsidRPr="001A2934">
        <w:rPr>
          <w:rFonts w:cs="Arial"/>
          <w:b/>
          <w:bCs/>
          <w:color w:val="000000"/>
          <w:sz w:val="21"/>
        </w:rPr>
        <w:t xml:space="preserve">Proposal </w:t>
      </w:r>
      <w:r>
        <w:rPr>
          <w:rFonts w:cs="Arial"/>
          <w:b/>
          <w:bCs/>
          <w:color w:val="000000"/>
          <w:sz w:val="21"/>
        </w:rPr>
        <w:t>4</w:t>
      </w:r>
      <w:r w:rsidRPr="001A2934">
        <w:rPr>
          <w:rFonts w:cs="Arial"/>
          <w:b/>
          <w:bCs/>
          <w:color w:val="000000"/>
          <w:sz w:val="21"/>
        </w:rPr>
        <w:t xml:space="preserve">: </w:t>
      </w:r>
      <w:r>
        <w:rPr>
          <w:rFonts w:cs="Arial"/>
          <w:b/>
          <w:bCs/>
          <w:color w:val="000000"/>
          <w:sz w:val="21"/>
        </w:rPr>
        <w:t>A</w:t>
      </w:r>
      <w:r w:rsidRPr="001A2934">
        <w:rPr>
          <w:rFonts w:cs="Arial"/>
          <w:b/>
          <w:bCs/>
          <w:color w:val="000000"/>
          <w:sz w:val="21"/>
        </w:rPr>
        <w:t xml:space="preserve"> linear distribution is used for BSR table generation. </w:t>
      </w:r>
    </w:p>
    <w:p w14:paraId="14B95B37" w14:textId="77777777" w:rsidR="00406613" w:rsidRDefault="00406613" w:rsidP="00406613">
      <w:pPr>
        <w:pStyle w:val="NormalWeb"/>
        <w:spacing w:before="75" w:beforeAutospacing="0" w:after="75" w:afterAutospacing="0" w:line="315" w:lineRule="atLeast"/>
        <w:rPr>
          <w:rFonts w:cs="Arial"/>
          <w:b/>
          <w:bCs/>
          <w:color w:val="000000"/>
          <w:sz w:val="21"/>
        </w:rPr>
      </w:pPr>
      <w:r>
        <w:rPr>
          <w:rFonts w:cs="Arial"/>
          <w:b/>
          <w:bCs/>
          <w:color w:val="000000"/>
          <w:sz w:val="21"/>
        </w:rPr>
        <w:t>Proposal 5: A static BSR table targeting the buffer size values where the quantization errors are the largest is defined for XR</w:t>
      </w:r>
    </w:p>
    <w:p w14:paraId="25ED07F3" w14:textId="77777777" w:rsidR="00406613" w:rsidRDefault="00406613" w:rsidP="00406613">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6: UE shall pick the BSR index that minimises the quantization error from the BSR tables configured for a given LCG </w:t>
      </w:r>
    </w:p>
    <w:p w14:paraId="59F53DAA" w14:textId="1C76F6EC" w:rsidR="00465098" w:rsidRDefault="00406613">
      <w:pPr>
        <w:pStyle w:val="NormalWeb"/>
        <w:spacing w:before="75" w:beforeAutospacing="0" w:after="75" w:afterAutospacing="0" w:line="315" w:lineRule="atLeast"/>
        <w:rPr>
          <w:b/>
          <w:bCs/>
        </w:rPr>
      </w:pPr>
      <w:r>
        <w:rPr>
          <w:rFonts w:cs="Arial"/>
          <w:b/>
          <w:bCs/>
          <w:color w:val="000000"/>
          <w:sz w:val="21"/>
        </w:rPr>
        <w:t>Proposal 7: Both the BSR index and BSR table from which the BSR index is picked should be reported in the BSR</w:t>
      </w:r>
      <w:r w:rsidR="00000000">
        <w:rPr>
          <w:rFonts w:cs="Arial"/>
          <w:b/>
          <w:bCs/>
          <w:color w:val="000000"/>
          <w:sz w:val="21"/>
        </w:rPr>
        <w:t xml:space="preserve"> </w:t>
      </w:r>
    </w:p>
    <w:p w14:paraId="304B94CD" w14:textId="69A92DE3"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5E98417B"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1214F0B1" w14:textId="77777777" w:rsidR="00465098" w:rsidRDefault="00465098">
      <w:pPr>
        <w:pStyle w:val="NormalWeb"/>
        <w:spacing w:before="75" w:beforeAutospacing="0" w:after="75" w:afterAutospacing="0" w:line="315" w:lineRule="atLeast"/>
        <w:rPr>
          <w:rFonts w:cs="Arial"/>
          <w:color w:val="000000"/>
          <w:sz w:val="21"/>
        </w:rPr>
      </w:pPr>
    </w:p>
    <w:sectPr w:rsidR="00465098">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795A1" w14:textId="77777777" w:rsidR="0079518B" w:rsidRDefault="0079518B">
      <w:pPr>
        <w:spacing w:line="240" w:lineRule="auto"/>
      </w:pPr>
      <w:r>
        <w:separator/>
      </w:r>
    </w:p>
  </w:endnote>
  <w:endnote w:type="continuationSeparator" w:id="0">
    <w:p w14:paraId="65B7BBE6" w14:textId="77777777" w:rsidR="0079518B" w:rsidRDefault="00795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0DD9" w14:textId="77777777" w:rsidR="0046509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F70D55" w14:textId="77777777" w:rsidR="00465098" w:rsidRDefault="004650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892" w14:textId="77777777" w:rsidR="00465098" w:rsidRDefault="0046509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EED2" w14:textId="77777777" w:rsidR="00406613" w:rsidRDefault="00406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725B" w14:textId="77777777" w:rsidR="0079518B" w:rsidRDefault="0079518B">
      <w:pPr>
        <w:spacing w:after="0"/>
      </w:pPr>
      <w:r>
        <w:separator/>
      </w:r>
    </w:p>
  </w:footnote>
  <w:footnote w:type="continuationSeparator" w:id="0">
    <w:p w14:paraId="0FDF4E44" w14:textId="77777777" w:rsidR="0079518B" w:rsidRDefault="007951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43E3" w14:textId="77777777" w:rsidR="00406613" w:rsidRDefault="00406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C30C" w14:textId="77777777" w:rsidR="00465098" w:rsidRDefault="0046509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47AB" w14:textId="77777777" w:rsidR="00406613" w:rsidRDefault="00406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64559607">
    <w:abstractNumId w:val="0"/>
  </w:num>
  <w:num w:numId="2" w16cid:durableId="1241677717">
    <w:abstractNumId w:val="4"/>
  </w:num>
  <w:num w:numId="3" w16cid:durableId="640883734">
    <w:abstractNumId w:val="2"/>
  </w:num>
  <w:num w:numId="4" w16cid:durableId="1914850315">
    <w:abstractNumId w:val="3"/>
  </w:num>
  <w:num w:numId="5" w16cid:durableId="735979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61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18B"/>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58A460C"/>
    <w:rsid w:val="1A9B1F53"/>
    <w:rsid w:val="1B3D4012"/>
    <w:rsid w:val="1B481AFB"/>
    <w:rsid w:val="1D235F66"/>
    <w:rsid w:val="1D330706"/>
    <w:rsid w:val="1D665A9E"/>
    <w:rsid w:val="1D8D3AB3"/>
    <w:rsid w:val="1E21472F"/>
    <w:rsid w:val="1E64724C"/>
    <w:rsid w:val="1EB2633F"/>
    <w:rsid w:val="1ED8667A"/>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98A4F55"/>
    <w:rsid w:val="6D1112AB"/>
    <w:rsid w:val="6D735E56"/>
    <w:rsid w:val="6D935AB0"/>
    <w:rsid w:val="6DC14984"/>
    <w:rsid w:val="6E087119"/>
    <w:rsid w:val="70D03D2D"/>
    <w:rsid w:val="71173046"/>
    <w:rsid w:val="72E9489F"/>
    <w:rsid w:val="73E1565D"/>
    <w:rsid w:val="75544B2F"/>
    <w:rsid w:val="760A43BF"/>
    <w:rsid w:val="783E4597"/>
    <w:rsid w:val="7A2301D5"/>
    <w:rsid w:val="7A265E0F"/>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F512F"/>
  <w15:docId w15:val="{78D8DC08-239A-456D-B1D1-EF51BFDA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rPr>
      <w:rFonts w:ascii="Arial" w:eastAsiaTheme="minorEastAsia" w:hAnsi="Arial"/>
      <w:kern w:val="2"/>
      <w:sz w:val="21"/>
      <w:szCs w:val="21"/>
    </w:rPr>
  </w:style>
  <w:style w:type="paragraph" w:styleId="Revision">
    <w:name w:val="Revision"/>
    <w:hidden/>
    <w:uiPriority w:val="99"/>
    <w:semiHidden/>
    <w:rsid w:val="00184CFD"/>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48686">
      <w:bodyDiv w:val="1"/>
      <w:marLeft w:val="0"/>
      <w:marRight w:val="0"/>
      <w:marTop w:val="0"/>
      <w:marBottom w:val="0"/>
      <w:divBdr>
        <w:top w:val="none" w:sz="0" w:space="0" w:color="auto"/>
        <w:left w:val="none" w:sz="0" w:space="0" w:color="auto"/>
        <w:bottom w:val="none" w:sz="0" w:space="0" w:color="auto"/>
        <w:right w:val="none" w:sz="0" w:space="0" w:color="auto"/>
      </w:divBdr>
    </w:div>
    <w:div w:id="1380472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Rapp(Eswar)</cp:lastModifiedBy>
  <cp:revision>5</cp:revision>
  <cp:lastPrinted>2113-01-01T00:00:00Z</cp:lastPrinted>
  <dcterms:created xsi:type="dcterms:W3CDTF">2023-05-10T12:17:00Z</dcterms:created>
  <dcterms:modified xsi:type="dcterms:W3CDTF">2023-08-10T13:56:00Z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