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w:t>
      </w:r>
      <w:proofErr w:type="spellStart"/>
      <w:r>
        <w:rPr>
          <w:rFonts w:cs="Arial" w:hint="eastAsia"/>
          <w:sz w:val="21"/>
          <w:szCs w:val="21"/>
          <w:lang w:val="en-US"/>
        </w:rPr>
        <w:t>eMBS</w:t>
      </w:r>
      <w:proofErr w:type="spellEnd"/>
      <w:r>
        <w:rPr>
          <w:rFonts w:cs="Arial" w:hint="eastAsia"/>
          <w:sz w:val="21"/>
          <w:szCs w:val="21"/>
          <w:lang w:val="en-US"/>
        </w:rPr>
        <w:t>]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rsidRPr="001A2B2A"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1A2B2A" w:rsidRDefault="004869AB">
            <w:pPr>
              <w:pStyle w:val="TAC"/>
              <w:spacing w:before="20" w:after="20"/>
              <w:ind w:left="57" w:right="57"/>
              <w:jc w:val="left"/>
              <w:rPr>
                <w:rFonts w:ascii="Times New Roman" w:eastAsia="Malgun Gothic" w:hAnsi="Times New Roman"/>
                <w:lang w:val="fi-FI" w:eastAsia="ko-KR"/>
              </w:rPr>
            </w:pPr>
            <w:r w:rsidRPr="001A2B2A">
              <w:rPr>
                <w:rFonts w:ascii="Times New Roman" w:eastAsia="Malgun Gothic" w:hAnsi="Times New Roman" w:hint="eastAsia"/>
                <w:lang w:val="fi-FI" w:eastAsia="ko-KR"/>
              </w:rPr>
              <w:t>SangWon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002C7119" w:rsidR="00A7680C" w:rsidRDefault="001A2B2A" w:rsidP="00A7680C">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4C1C7583" w14:textId="338D8571" w:rsidR="00A7680C" w:rsidRPr="001A2B2A" w:rsidRDefault="001A2B2A" w:rsidP="00A7680C">
            <w:pPr>
              <w:pStyle w:val="TAC"/>
              <w:spacing w:before="20" w:after="20"/>
              <w:ind w:left="57" w:right="57"/>
              <w:jc w:val="left"/>
              <w:rPr>
                <w:rFonts w:ascii="Times New Roman" w:hAnsi="Times New Roman"/>
                <w:lang w:val="en-US"/>
              </w:rPr>
            </w:pPr>
            <w:r w:rsidRPr="001A2B2A">
              <w:rPr>
                <w:rFonts w:ascii="Times New Roman" w:hAnsi="Times New Roman"/>
                <w:lang w:val="en-US"/>
              </w:rPr>
              <w:t>Jarkko.t.koskela@nokia.c</w:t>
            </w:r>
            <w:r>
              <w:rPr>
                <w:rFonts w:ascii="Times New Roman" w:hAnsi="Times New Roman"/>
                <w:lang w:val="en-US"/>
              </w:rPr>
              <w:t>om</w:t>
            </w: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43A99E0A" w:rsidR="00A7680C" w:rsidRDefault="001B638D" w:rsidP="00A7680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21043C4D" w14:textId="637517FF" w:rsidR="00A7680C" w:rsidRPr="001A2B2A" w:rsidRDefault="001B638D" w:rsidP="00A7680C">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9F0DF3"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5317C40D" w:rsidR="009F0DF3" w:rsidRDefault="009F0DF3" w:rsidP="009F0DF3">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66264E2" w14:textId="51C8FBC4" w:rsidR="009F0DF3" w:rsidRPr="001A2B2A" w:rsidRDefault="009F0DF3" w:rsidP="009F0DF3">
            <w:pPr>
              <w:pStyle w:val="TAC"/>
              <w:spacing w:before="20" w:after="20"/>
              <w:ind w:left="57" w:right="57"/>
              <w:jc w:val="left"/>
              <w:rPr>
                <w:rFonts w:ascii="Times New Roman" w:hAnsi="Times New Roman"/>
                <w:lang w:val="en-US"/>
              </w:rPr>
            </w:pPr>
            <w:r>
              <w:rPr>
                <w:rFonts w:ascii="Times New Roman" w:hAnsi="Times New Roman"/>
                <w:lang w:val="en-US"/>
              </w:rPr>
              <w:t xml:space="preserve">Masato </w:t>
            </w:r>
            <w:proofErr w:type="spellStart"/>
            <w:r>
              <w:rPr>
                <w:rFonts w:ascii="Times New Roman" w:hAnsi="Times New Roman"/>
                <w:lang w:val="en-US"/>
              </w:rPr>
              <w:t>Fujishiro</w:t>
            </w:r>
            <w:proofErr w:type="spellEnd"/>
            <w:r>
              <w:rPr>
                <w:rFonts w:ascii="Times New Roman" w:hAnsi="Times New Roman"/>
                <w:lang w:val="en-US"/>
              </w:rPr>
              <w:t xml:space="preserve">, </w:t>
            </w:r>
            <w:r>
              <w:rPr>
                <w:rFonts w:ascii="Times New Roman" w:eastAsia="Yu Mincho" w:hAnsi="Times New Roman"/>
                <w:lang w:val="fi-FI" w:eastAsia="ja-JP"/>
              </w:rPr>
              <w:t>masato.fujishiro.fj@kyocera.jp</w:t>
            </w:r>
          </w:p>
        </w:tc>
      </w:tr>
      <w:tr w:rsidR="00EE0C9B" w14:paraId="6CC5D6B9" w14:textId="77777777" w:rsidTr="00D431EE">
        <w:trPr>
          <w:trHeight w:val="240"/>
        </w:trPr>
        <w:tc>
          <w:tcPr>
            <w:tcW w:w="1224" w:type="pct"/>
            <w:tcBorders>
              <w:top w:val="single" w:sz="4" w:space="0" w:color="auto"/>
              <w:left w:val="single" w:sz="4" w:space="0" w:color="auto"/>
              <w:bottom w:val="single" w:sz="4" w:space="0" w:color="auto"/>
              <w:right w:val="single" w:sz="4" w:space="0" w:color="auto"/>
            </w:tcBorders>
            <w:noWrap/>
          </w:tcPr>
          <w:p w14:paraId="00B6E0F1" w14:textId="77777777" w:rsidR="00EE0C9B" w:rsidRDefault="00EE0C9B" w:rsidP="00D431EE">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2E02A5D" w14:textId="77777777" w:rsidR="00EE0C9B" w:rsidRPr="001A2B2A" w:rsidRDefault="00EE0C9B" w:rsidP="00D431EE">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9F0DF3"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08CC6AF1" w:rsidR="009F0DF3" w:rsidRDefault="000D547A" w:rsidP="009F0DF3">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170BE174" w14:textId="33BACC0A" w:rsidR="009F0DF3" w:rsidRPr="001A2B2A" w:rsidRDefault="000D547A" w:rsidP="009F0DF3">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hyperlink r:id="rId10" w:history="1">
              <w:r w:rsidR="00626F15" w:rsidRPr="00C90E5A">
                <w:rPr>
                  <w:rStyle w:val="aff0"/>
                  <w:rFonts w:ascii="Times New Roman" w:hAnsi="Times New Roman"/>
                  <w:lang w:val="en-US"/>
                </w:rPr>
                <w:t>liuxiaof</w:t>
              </w:r>
              <w:r w:rsidR="00626F15" w:rsidRPr="00C90E5A">
                <w:rPr>
                  <w:rStyle w:val="aff0"/>
                  <w:rFonts w:ascii="Times New Roman" w:hAnsi="Times New Roman" w:hint="eastAsia"/>
                  <w:lang w:val="en-US"/>
                </w:rPr>
                <w:t>ei</w:t>
              </w:r>
              <w:r w:rsidR="00626F15" w:rsidRPr="00C90E5A">
                <w:rPr>
                  <w:rStyle w:val="aff0"/>
                  <w:rFonts w:ascii="Times New Roman" w:hAnsi="Times New Roman"/>
                  <w:lang w:val="en-US"/>
                </w:rPr>
                <w:t>@xiaomi.com</w:t>
              </w:r>
            </w:hyperlink>
          </w:p>
        </w:tc>
      </w:tr>
      <w:tr w:rsidR="00626F15" w14:paraId="399CBF5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B88512D" w14:textId="329C6E43" w:rsidR="00626F15" w:rsidRPr="00626F15" w:rsidRDefault="00626F15" w:rsidP="00626F15">
            <w:pPr>
              <w:pStyle w:val="TAC"/>
              <w:spacing w:before="20" w:after="20"/>
              <w:ind w:left="57" w:right="57"/>
              <w:jc w:val="left"/>
              <w:rPr>
                <w:rFonts w:ascii="Times New Roman" w:hAnsi="Times New Roman" w:hint="eastAsia"/>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479EFEAB" w14:textId="363EDE87" w:rsidR="00626F15" w:rsidRDefault="00626F15" w:rsidP="00626F15">
            <w:pPr>
              <w:pStyle w:val="TAC"/>
              <w:spacing w:before="20" w:after="20"/>
              <w:ind w:left="57" w:right="57"/>
              <w:jc w:val="left"/>
              <w:rPr>
                <w:rFonts w:ascii="Times New Roman" w:hAnsi="Times New Roman" w:hint="eastAsia"/>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bl>
    <w:p w14:paraId="27C652E7" w14:textId="77777777" w:rsidR="00226B70" w:rsidRPr="001A2B2A" w:rsidRDefault="00226B70">
      <w:pPr>
        <w:rPr>
          <w:lang w:val="en-US"/>
        </w:rPr>
      </w:pPr>
    </w:p>
    <w:p w14:paraId="7E67213C" w14:textId="77777777" w:rsidR="00226B70" w:rsidRDefault="008D5216">
      <w:pPr>
        <w:pStyle w:val="1"/>
        <w:rPr>
          <w:lang w:val="en-US" w:eastAsia="zh-CN"/>
        </w:rPr>
      </w:pPr>
      <w:r>
        <w:rPr>
          <w:rFonts w:hint="eastAsia"/>
          <w:lang w:val="en-US" w:eastAsia="zh-CN"/>
        </w:rPr>
        <w:lastRenderedPageBreak/>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1A2B2A" w14:paraId="15F9724B"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3A0CCC1" w14:textId="610B76BA"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7ADC07B7" w14:textId="767D8148"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22C7B8" w14:textId="77777777" w:rsidR="001A2B2A" w:rsidRDefault="001A2B2A" w:rsidP="001A2B2A">
            <w:pPr>
              <w:pStyle w:val="TAC"/>
              <w:keepNext w:val="0"/>
              <w:spacing w:before="20" w:after="20"/>
              <w:ind w:left="57" w:right="57"/>
              <w:jc w:val="left"/>
              <w:rPr>
                <w:rFonts w:ascii="Times New Roman" w:hAnsi="Times New Roman"/>
                <w:lang w:val="en-US"/>
              </w:rPr>
            </w:pPr>
            <w:r w:rsidRPr="008A4B30">
              <w:rPr>
                <w:rFonts w:ascii="Times New Roman" w:hAnsi="Times New Roman"/>
                <w:lang w:val="en-US"/>
              </w:rPr>
              <w:t>Ba</w:t>
            </w:r>
            <w:r>
              <w:rPr>
                <w:rFonts w:ascii="Times New Roman" w:hAnsi="Times New Roman"/>
                <w:lang w:val="en-US"/>
              </w:rPr>
              <w:t xml:space="preserve">sed on the current specs, the UEs can be released to RRC_INACTIVE in case the service is deactivated. </w:t>
            </w:r>
          </w:p>
          <w:p w14:paraId="0754AE19" w14:textId="77777777" w:rsidR="001A2B2A"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6620DE35" w14:textId="56A796CC" w:rsidR="001A2B2A" w:rsidRPr="00C13966"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52ED7" w14:paraId="5FD4718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0E3D512" w14:textId="12683641"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9" w:type="pct"/>
            <w:tcBorders>
              <w:top w:val="single" w:sz="4" w:space="0" w:color="auto"/>
              <w:left w:val="single" w:sz="4" w:space="0" w:color="auto"/>
              <w:bottom w:val="single" w:sz="4" w:space="0" w:color="auto"/>
              <w:right w:val="single" w:sz="4" w:space="0" w:color="auto"/>
            </w:tcBorders>
            <w:noWrap/>
          </w:tcPr>
          <w:p w14:paraId="5F71CAC2" w14:textId="257EC44F"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6B1F2942" w14:textId="77777777" w:rsidR="00B52ED7"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B7C6FA9" w14:textId="4A2F4E5C" w:rsidR="00147407" w:rsidRPr="008A4B30"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9E565F" w14:paraId="2EAE7D5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E02B1B0" w14:textId="1B5F99A3"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8677997" w14:textId="3D95B61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4B068B9" w14:textId="33767854"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0D610B" w14:paraId="117C80B4"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01CAD7EA" w14:textId="77777777" w:rsidR="000D610B" w:rsidRDefault="000D610B"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DC9D6F1" w14:textId="77777777" w:rsidR="000D610B" w:rsidRDefault="000D610B" w:rsidP="00D431EE">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2347B877" w14:textId="77777777" w:rsidR="000D610B" w:rsidRDefault="000D610B"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0D610B" w14:paraId="7DB41D0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7C45042" w14:textId="504AEC03" w:rsidR="000D610B" w:rsidRPr="00BF062E" w:rsidRDefault="00BF062E" w:rsidP="00BF062E">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9" w:type="pct"/>
            <w:tcBorders>
              <w:top w:val="single" w:sz="4" w:space="0" w:color="auto"/>
              <w:left w:val="single" w:sz="4" w:space="0" w:color="auto"/>
              <w:bottom w:val="single" w:sz="4" w:space="0" w:color="auto"/>
              <w:right w:val="single" w:sz="4" w:space="0" w:color="auto"/>
            </w:tcBorders>
            <w:noWrap/>
          </w:tcPr>
          <w:p w14:paraId="11479852" w14:textId="07E09DDA" w:rsidR="000D610B" w:rsidRPr="00BF062E" w:rsidRDefault="00BF062E" w:rsidP="009E565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8" w:type="pct"/>
            <w:tcBorders>
              <w:top w:val="single" w:sz="4" w:space="0" w:color="auto"/>
              <w:left w:val="single" w:sz="4" w:space="0" w:color="auto"/>
              <w:bottom w:val="single" w:sz="4" w:space="0" w:color="auto"/>
              <w:right w:val="single" w:sz="4" w:space="0" w:color="auto"/>
            </w:tcBorders>
            <w:noWrap/>
          </w:tcPr>
          <w:p w14:paraId="142D899F" w14:textId="77777777" w:rsidR="000D610B" w:rsidRDefault="0018184A" w:rsidP="007B2049">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sidR="007B2049">
              <w:rPr>
                <w:rFonts w:ascii="Times New Roman" w:hAnsi="Times New Roman" w:hint="eastAsia"/>
                <w:lang w:val="en-US"/>
              </w:rPr>
              <w:t>tion</w:t>
            </w:r>
            <w:r w:rsidR="007B2049">
              <w:rPr>
                <w:rFonts w:ascii="Times New Roman" w:hAnsi="Times New Roman"/>
                <w:lang w:val="en-US"/>
              </w:rPr>
              <w:t xml:space="preserve">. </w:t>
            </w:r>
          </w:p>
          <w:p w14:paraId="02AB38F1" w14:textId="46BEC865" w:rsidR="007B2049" w:rsidRPr="00BF062E" w:rsidRDefault="007B2049" w:rsidP="007B2049">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626F15" w14:paraId="3824341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EC27D27" w14:textId="0AA01C5F" w:rsidR="00626F15" w:rsidRPr="000D610B" w:rsidRDefault="00626F15" w:rsidP="00626F15">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9" w:type="pct"/>
            <w:tcBorders>
              <w:top w:val="single" w:sz="4" w:space="0" w:color="auto"/>
              <w:left w:val="single" w:sz="4" w:space="0" w:color="auto"/>
              <w:bottom w:val="single" w:sz="4" w:space="0" w:color="auto"/>
              <w:right w:val="single" w:sz="4" w:space="0" w:color="auto"/>
            </w:tcBorders>
            <w:noWrap/>
          </w:tcPr>
          <w:p w14:paraId="06483469" w14:textId="3B6D2C53" w:rsidR="00626F15" w:rsidRPr="000D610B" w:rsidRDefault="00626F15" w:rsidP="00626F15">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8" w:type="pct"/>
            <w:tcBorders>
              <w:top w:val="single" w:sz="4" w:space="0" w:color="auto"/>
              <w:left w:val="single" w:sz="4" w:space="0" w:color="auto"/>
              <w:bottom w:val="single" w:sz="4" w:space="0" w:color="auto"/>
              <w:right w:val="single" w:sz="4" w:space="0" w:color="auto"/>
            </w:tcBorders>
            <w:noWrap/>
          </w:tcPr>
          <w:p w14:paraId="1B0F61B6" w14:textId="664A2E63" w:rsidR="00626F15" w:rsidRDefault="00626F15" w:rsidP="00626F15">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sidRPr="001047DB">
              <w:rPr>
                <w:lang w:val="en-US"/>
              </w:rPr>
              <w:t xml:space="preserve"> </w:t>
            </w:r>
            <w:r w:rsidRPr="001047DB">
              <w:rPr>
                <w:rFonts w:ascii="Times New Roman" w:hAnsi="Times New Roman"/>
                <w:lang w:val="en-US"/>
              </w:rPr>
              <w:t>the gNB may move the UE to RRC_INACTIVE state</w:t>
            </w:r>
            <w:r>
              <w:rPr>
                <w:rFonts w:ascii="Times New Roman" w:hAnsi="Times New Roman"/>
                <w:lang w:val="en-US"/>
              </w:rPr>
              <w:t xml:space="preserve">, even it’s a “special UE”, but as QC mentions, the key issue is how gNB uses the assistant information </w:t>
            </w:r>
            <w:r w:rsidRPr="001047DB">
              <w:rPr>
                <w:rFonts w:ascii="Times New Roman" w:hAnsi="Times New Roman"/>
                <w:lang w:val="en-US"/>
              </w:rPr>
              <w:t>indicating a “special UE”</w:t>
            </w:r>
            <w:r>
              <w:rPr>
                <w:rFonts w:ascii="Times New Roman" w:hAnsi="Times New Roman"/>
                <w:lang w:val="en-US"/>
              </w:rPr>
              <w:t xml:space="preserve"> provided by CN.</w:t>
            </w: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w:t>
            </w:r>
            <w:proofErr w:type="spellStart"/>
            <w:r w:rsidR="00AF73C0">
              <w:rPr>
                <w:rFonts w:ascii="Times New Roman" w:eastAsia="Malgun Gothic" w:hAnsi="Times New Roman"/>
                <w:lang w:val="en-US" w:eastAsia="ko-KR"/>
              </w:rPr>
              <w:t>tmgi</w:t>
            </w:r>
            <w:proofErr w:type="spellEnd"/>
            <w:r w:rsidR="00AF73C0">
              <w:rPr>
                <w:rFonts w:ascii="Times New Roman" w:eastAsia="Malgun Gothic" w:hAnsi="Times New Roman"/>
                <w:lang w:val="en-US" w:eastAsia="ko-KR"/>
              </w:rPr>
              <w:t xml:space="preserve">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lastRenderedPageBreak/>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w:t>
            </w:r>
            <w:proofErr w:type="spellStart"/>
            <w:r w:rsidR="00483D03">
              <w:rPr>
                <w:rFonts w:ascii="Times New Roman" w:eastAsia="Malgun Gothic" w:hAnsi="Times New Roman"/>
                <w:lang w:val="en-US" w:eastAsia="ko-KR"/>
              </w:rPr>
              <w:t>tmgi</w:t>
            </w:r>
            <w:proofErr w:type="spellEnd"/>
            <w:r w:rsidR="00483D03">
              <w:rPr>
                <w:rFonts w:ascii="Times New Roman" w:eastAsia="Malgun Gothic" w:hAnsi="Times New Roman"/>
                <w:lang w:val="en-US" w:eastAsia="ko-KR"/>
              </w:rPr>
              <w:t xml:space="preserve">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r w:rsidR="001A2B2A" w:rsidRPr="0086087D" w14:paraId="513D536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4338F1A"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905C576"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D754B28" w14:textId="77777777" w:rsidR="001A2B2A" w:rsidRP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47D13125" w14:textId="77777777" w:rsidR="001A2B2A" w:rsidRPr="001A2B2A" w:rsidRDefault="001A2B2A" w:rsidP="001A2B2A">
            <w:pPr>
              <w:pStyle w:val="Agreement"/>
              <w:tabs>
                <w:tab w:val="num" w:pos="1619"/>
              </w:tabs>
              <w:spacing w:line="240" w:lineRule="auto"/>
              <w:jc w:val="left"/>
              <w:rPr>
                <w:rFonts w:ascii="Times New Roman" w:eastAsiaTheme="minorEastAsia" w:hAnsi="Times New Roman"/>
                <w:b w:val="0"/>
                <w:sz w:val="18"/>
                <w:szCs w:val="20"/>
                <w:lang w:val="en-US" w:eastAsia="zh-CN"/>
              </w:rPr>
            </w:pPr>
            <w:r w:rsidRPr="001A2B2A">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3F573CC5" w14:textId="77777777" w:rsidR="001A2B2A" w:rsidRPr="001A2B2A" w:rsidRDefault="001A2B2A" w:rsidP="001A2B2A">
            <w:pPr>
              <w:pStyle w:val="TAC"/>
              <w:spacing w:before="20" w:after="20"/>
              <w:ind w:left="57" w:right="57"/>
              <w:jc w:val="left"/>
              <w:rPr>
                <w:rFonts w:ascii="Times New Roman" w:hAnsi="Times New Roman"/>
                <w:lang w:val="en-US"/>
              </w:rPr>
            </w:pPr>
          </w:p>
          <w:p w14:paraId="10C333BA" w14:textId="77777777" w:rsidR="001A2B2A" w:rsidRPr="001A2B2A" w:rsidRDefault="001A2B2A" w:rsidP="001A2B2A">
            <w:pPr>
              <w:pStyle w:val="TAC"/>
              <w:spacing w:before="20" w:after="20"/>
              <w:ind w:left="57" w:right="57"/>
              <w:jc w:val="left"/>
              <w:rPr>
                <w:rFonts w:ascii="Times New Roman" w:hAnsi="Times New Roman"/>
                <w:lang w:val="en-US"/>
              </w:rPr>
            </w:pPr>
            <w:r w:rsidRPr="001A2B2A">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2BA41819" w14:textId="77777777" w:rsidR="001A2B2A" w:rsidRPr="001A2B2A" w:rsidRDefault="001A2B2A" w:rsidP="00D431EE">
            <w:pPr>
              <w:pStyle w:val="TAC"/>
              <w:keepNext w:val="0"/>
              <w:spacing w:before="20" w:after="20"/>
              <w:ind w:left="57" w:right="57"/>
              <w:jc w:val="left"/>
              <w:rPr>
                <w:rFonts w:ascii="Times New Roman" w:hAnsi="Times New Roman"/>
                <w:lang w:val="en-US"/>
              </w:rPr>
            </w:pPr>
          </w:p>
        </w:tc>
      </w:tr>
      <w:tr w:rsidR="00B6537C" w:rsidRPr="0086087D" w14:paraId="08E1B9B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DEE9427" w14:textId="2EBD48FB"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lang w:val="en-US"/>
              </w:rPr>
              <w:lastRenderedPageBreak/>
              <w:t>Lenovo</w:t>
            </w:r>
          </w:p>
        </w:tc>
        <w:tc>
          <w:tcPr>
            <w:tcW w:w="979" w:type="pct"/>
            <w:tcBorders>
              <w:top w:val="single" w:sz="4" w:space="0" w:color="auto"/>
              <w:left w:val="single" w:sz="4" w:space="0" w:color="auto"/>
              <w:bottom w:val="single" w:sz="4" w:space="0" w:color="auto"/>
              <w:right w:val="single" w:sz="4" w:space="0" w:color="auto"/>
            </w:tcBorders>
            <w:noWrap/>
          </w:tcPr>
          <w:p w14:paraId="44B69E18" w14:textId="10342529"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DBD75C" w14:textId="48A56142" w:rsidR="00B6537C" w:rsidRDefault="00247BD3" w:rsidP="00B6537C">
            <w:pPr>
              <w:pStyle w:val="TAC"/>
              <w:keepNext w:val="0"/>
              <w:spacing w:before="20" w:after="20"/>
              <w:ind w:right="57"/>
              <w:jc w:val="left"/>
              <w:rPr>
                <w:rFonts w:ascii="Times New Roman" w:hAnsi="Times New Roman"/>
                <w:lang w:val="en-US"/>
              </w:rPr>
            </w:pPr>
            <w:r>
              <w:rPr>
                <w:rFonts w:ascii="Times New Roman" w:hAnsi="Times New Roman"/>
                <w:lang w:val="en-US"/>
              </w:rPr>
              <w:t>T</w:t>
            </w:r>
            <w:r w:rsidR="00B6537C" w:rsidRPr="00B6537C">
              <w:rPr>
                <w:rFonts w:ascii="Times New Roman" w:hAnsi="Times New Roman"/>
                <w:lang w:val="en-US"/>
              </w:rPr>
              <w:t>he decision on whether a UE can receive the multicast session in RRC_INACTIVE should be a dynamic decision. For example, the gNB makes the decision according to the latest load status and the load status would be different time to time</w:t>
            </w:r>
            <w:r>
              <w:rPr>
                <w:rFonts w:ascii="Times New Roman" w:hAnsi="Times New Roman"/>
                <w:lang w:val="en-US"/>
              </w:rPr>
              <w:t xml:space="preserve">. The network </w:t>
            </w:r>
            <w:r w:rsidR="00BF2C01">
              <w:rPr>
                <w:rFonts w:ascii="Times New Roman" w:hAnsi="Times New Roman"/>
                <w:lang w:val="en-US"/>
              </w:rPr>
              <w:t>should have</w:t>
            </w:r>
            <w:r>
              <w:rPr>
                <w:rFonts w:ascii="Times New Roman" w:hAnsi="Times New Roman"/>
                <w:lang w:val="en-US"/>
              </w:rPr>
              <w:t xml:space="preserve"> the flexibility to indicate the</w:t>
            </w:r>
            <w:r w:rsidR="00BF2C01">
              <w:rPr>
                <w:rFonts w:ascii="Times New Roman" w:hAnsi="Times New Roman"/>
                <w:lang w:val="en-US"/>
              </w:rPr>
              <w:t xml:space="preserve"> UEs</w:t>
            </w:r>
            <w:r>
              <w:rPr>
                <w:rFonts w:ascii="Times New Roman" w:hAnsi="Times New Roman"/>
                <w:lang w:val="en-US"/>
              </w:rPr>
              <w:t xml:space="preserve"> whether </w:t>
            </w:r>
            <w:r w:rsidRPr="00247BD3">
              <w:rPr>
                <w:rFonts w:ascii="Times New Roman" w:hAnsi="Times New Roman" w:hint="eastAsia"/>
                <w:lang w:val="en-US"/>
              </w:rPr>
              <w:t>stay in RRC_INACTIVE</w:t>
            </w:r>
            <w:r w:rsidRPr="00247BD3">
              <w:rPr>
                <w:rFonts w:ascii="Times New Roman" w:hAnsi="Times New Roman"/>
                <w:lang w:val="en-US"/>
              </w:rPr>
              <w:t xml:space="preserve"> or enter RRC_CONNECTED state for reception of a multicast session</w:t>
            </w:r>
            <w:r w:rsidR="00BF2C01">
              <w:rPr>
                <w:rFonts w:ascii="Times New Roman" w:hAnsi="Times New Roman"/>
                <w:lang w:val="en-US"/>
              </w:rPr>
              <w:t xml:space="preserve"> </w:t>
            </w:r>
            <w:r>
              <w:rPr>
                <w:rFonts w:ascii="Times New Roman" w:hAnsi="Times New Roman"/>
                <w:lang w:val="en-US"/>
              </w:rPr>
              <w:t>.</w:t>
            </w:r>
          </w:p>
        </w:tc>
      </w:tr>
      <w:tr w:rsidR="009E565F" w:rsidRPr="0086087D" w14:paraId="6283E9D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2DB0405" w14:textId="2EA2F6E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735E1BF" w14:textId="3CE6050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F5AED73"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92B1B4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i.e., the compatibility issue, so we think some enhancements are certainly needed for Rel-18 group paging. </w:t>
            </w:r>
          </w:p>
          <w:p w14:paraId="213519EB"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6922437C" w14:textId="25C211E4" w:rsidR="009E565F" w:rsidRP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A27191" w:rsidRPr="0086087D" w14:paraId="09AEF38F"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7FEAF332" w14:textId="77777777" w:rsidR="00A27191" w:rsidRDefault="00A27191"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380B913" w14:textId="77777777" w:rsidR="00A27191" w:rsidRDefault="00A27191" w:rsidP="00D431E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C490E1B" w14:textId="77777777" w:rsidR="00A27191" w:rsidRDefault="00A27191" w:rsidP="00D431EE">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A27191" w:rsidRPr="0086087D" w14:paraId="13DAA14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9EC5DE0" w14:textId="38B4EADC" w:rsidR="00A27191" w:rsidRPr="00B6437C" w:rsidRDefault="00B6437C" w:rsidP="009E565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BDA265B" w14:textId="239F8CE2" w:rsidR="00A27191" w:rsidRPr="00B6437C" w:rsidRDefault="00B6437C" w:rsidP="009E565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FC847A" w14:textId="4ED0AA46" w:rsidR="00B6437C" w:rsidRDefault="00B654F2" w:rsidP="009E565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sidRPr="00B654F2">
              <w:rPr>
                <w:lang w:val="en-US"/>
              </w:rPr>
              <w:t xml:space="preserve"> </w:t>
            </w:r>
            <w:r w:rsidRPr="00B654F2">
              <w:rPr>
                <w:rFonts w:ascii="Times New Roman" w:hAnsi="Times New Roman"/>
                <w:lang w:val="en-US"/>
              </w:rPr>
              <w:t>enhanced</w:t>
            </w:r>
            <w:r>
              <w:rPr>
                <w:rFonts w:ascii="Times New Roman" w:hAnsi="Times New Roman"/>
                <w:lang w:val="en-US"/>
              </w:rPr>
              <w:t xml:space="preserve"> in such case. </w:t>
            </w:r>
          </w:p>
          <w:p w14:paraId="4AFE2B94" w14:textId="170DBE6A" w:rsidR="00B654F2" w:rsidRPr="00B654F2" w:rsidRDefault="00B654F2" w:rsidP="00B654F2">
            <w:pPr>
              <w:pStyle w:val="TAC"/>
              <w:keepNext w:val="0"/>
              <w:spacing w:before="20" w:after="20"/>
              <w:ind w:left="57" w:right="57"/>
              <w:jc w:val="left"/>
              <w:rPr>
                <w:rFonts w:ascii="Times New Roman" w:hAnsi="Times New Roman"/>
                <w:lang w:val="en-GB"/>
              </w:rPr>
            </w:pPr>
            <w:r w:rsidRPr="00B654F2">
              <w:rPr>
                <w:rFonts w:ascii="Times New Roman" w:hAnsi="Times New Roman"/>
                <w:lang w:val="en-GB"/>
              </w:rPr>
              <w:t xml:space="preserve">In R18, for UEs configured with PTM configuration for multicast reception in RRC_INACTIVE, they can stay in RRC_INACTIVE </w:t>
            </w:r>
            <w:r>
              <w:rPr>
                <w:rFonts w:ascii="Times New Roman" w:hAnsi="Times New Roman"/>
                <w:lang w:val="en-GB"/>
              </w:rPr>
              <w:t>to</w:t>
            </w:r>
            <w:r w:rsidRPr="00B654F2">
              <w:rPr>
                <w:rFonts w:ascii="Times New Roman" w:hAnsi="Times New Roman"/>
                <w:lang w:val="en-GB"/>
              </w:rPr>
              <w:t xml:space="preserve"> receive the </w:t>
            </w:r>
            <w:r>
              <w:rPr>
                <w:rFonts w:ascii="Times New Roman" w:hAnsi="Times New Roman"/>
                <w:lang w:val="en-GB"/>
              </w:rPr>
              <w:t xml:space="preserve">activated </w:t>
            </w:r>
            <w:r w:rsidRPr="00B654F2">
              <w:rPr>
                <w:rFonts w:ascii="Times New Roman" w:hAnsi="Times New Roman"/>
                <w:lang w:val="en-GB"/>
              </w:rPr>
              <w:t>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626F15" w:rsidRPr="0086087D" w14:paraId="7C08AE47"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A59D5ED" w14:textId="3143351C" w:rsidR="00626F15" w:rsidRPr="00BE1AA2" w:rsidRDefault="00626F15" w:rsidP="00626F15">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370C262" w14:textId="7A5932EF" w:rsidR="00626F15" w:rsidRPr="00BE1AA2" w:rsidRDefault="00626F15" w:rsidP="00626F15">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7DE08E9" w14:textId="4264B955" w:rsidR="00626F15" w:rsidRDefault="00626F15" w:rsidP="00626F15">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It’s gNB’s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t>
            </w:r>
            <w:r>
              <w:rPr>
                <w:rFonts w:ascii="Times New Roman" w:hAnsi="Times New Roman"/>
                <w:lang w:val="en-US"/>
              </w:rPr>
              <w:t>with enhanced</w:t>
            </w:r>
            <w:r>
              <w:rPr>
                <w:rFonts w:ascii="Times New Roman" w:hAnsi="Times New Roman"/>
                <w:lang w:val="en-US"/>
              </w:rPr>
              <w:t xml:space="preserve"> group paging.</w:t>
            </w:r>
          </w:p>
        </w:tc>
      </w:tr>
    </w:tbl>
    <w:p w14:paraId="73A7AF12" w14:textId="77777777" w:rsidR="00226B70" w:rsidRPr="001A2B2A" w:rsidRDefault="00226B70">
      <w:pPr>
        <w:rPr>
          <w:lang w:eastAsia="zh-CN"/>
        </w:rPr>
      </w:pPr>
    </w:p>
    <w:p w14:paraId="02F44A8A" w14:textId="77777777" w:rsidR="00226B70" w:rsidRDefault="008D5216">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宋体"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7DE0346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EE6942E"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3ECF7164" w14:textId="6C352B72"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73DEA83"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3339081A" w14:textId="51C11F8E" w:rsidR="001A2B2A" w:rsidRDefault="001A2B2A" w:rsidP="00D431EE">
            <w:pPr>
              <w:pStyle w:val="TAC"/>
              <w:keepNext w:val="0"/>
              <w:spacing w:before="20" w:after="20"/>
              <w:ind w:left="57" w:right="57"/>
              <w:jc w:val="left"/>
              <w:rPr>
                <w:rFonts w:ascii="Times New Roman" w:hAnsi="Times New Roman"/>
                <w:lang w:val="en-US"/>
              </w:rPr>
            </w:pPr>
          </w:p>
          <w:p w14:paraId="2CB3841E" w14:textId="76C986E2" w:rsidR="001A2B2A" w:rsidRDefault="0028337D" w:rsidP="0028337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t>
            </w:r>
            <w:r w:rsidRPr="0028337D">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sidRPr="0028337D">
              <w:rPr>
                <w:rFonts w:ascii="Times New Roman" w:hAnsi="Times New Roman"/>
                <w:lang w:val="en-US"/>
              </w:rPr>
              <w:t>deactive</w:t>
            </w:r>
            <w:proofErr w:type="spellEnd"/>
            <w:r w:rsidRPr="0028337D">
              <w:rPr>
                <w:rFonts w:ascii="Times New Roman" w:hAnsi="Times New Roman"/>
                <w:lang w:val="en-US"/>
              </w:rPr>
              <w:t>) in MCCH.</w:t>
            </w:r>
          </w:p>
        </w:tc>
      </w:tr>
      <w:tr w:rsidR="0093757E" w14:paraId="0784E173"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DD0E307" w14:textId="779CB527"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1A27C7A" w14:textId="185FEB0E"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418E349A" w14:textId="77777777" w:rsidR="0093757E" w:rsidRDefault="0093757E" w:rsidP="00D431EE">
            <w:pPr>
              <w:pStyle w:val="TAC"/>
              <w:keepNext w:val="0"/>
              <w:spacing w:before="20" w:after="20"/>
              <w:ind w:left="57" w:right="57"/>
              <w:jc w:val="left"/>
              <w:rPr>
                <w:rFonts w:ascii="Times New Roman" w:hAnsi="Times New Roman"/>
                <w:lang w:val="en-US"/>
              </w:rPr>
            </w:pPr>
          </w:p>
        </w:tc>
      </w:tr>
      <w:tr w:rsidR="009E565F" w14:paraId="361E8677"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3BD89F" w14:textId="33B75B87"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AF2101A" w14:textId="1C3F19B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36072BC" w14:textId="3BC9785D"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8A06FC" w14:paraId="0A18BB19"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39346856" w14:textId="77777777" w:rsidR="008A06FC" w:rsidRDefault="008A06FC"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A937E6A" w14:textId="77777777" w:rsidR="008A06FC" w:rsidRDefault="008A06FC" w:rsidP="00D431E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76573CF" w14:textId="77777777" w:rsidR="008A06FC" w:rsidRDefault="008A06FC" w:rsidP="00D431EE">
            <w:pPr>
              <w:pStyle w:val="TAC"/>
              <w:keepNext w:val="0"/>
              <w:spacing w:before="20" w:after="20"/>
              <w:ind w:left="57" w:right="57"/>
              <w:jc w:val="left"/>
              <w:rPr>
                <w:rFonts w:ascii="Times New Roman" w:hAnsi="Times New Roman"/>
                <w:lang w:val="en-US"/>
              </w:rPr>
            </w:pPr>
          </w:p>
        </w:tc>
      </w:tr>
      <w:tr w:rsidR="008A06FC" w14:paraId="0D13C938"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5DAB3C0" w14:textId="0649E655" w:rsidR="008A06FC" w:rsidRPr="00B6437C" w:rsidRDefault="00B6437C" w:rsidP="009E565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622EB0ED" w14:textId="7A17ADC4" w:rsidR="008A06FC" w:rsidRPr="00B6437C" w:rsidRDefault="00B6437C" w:rsidP="009E565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34466EC2" w14:textId="77777777" w:rsidR="008A06FC" w:rsidRDefault="008A06FC" w:rsidP="009E565F">
            <w:pPr>
              <w:pStyle w:val="TAC"/>
              <w:keepNext w:val="0"/>
              <w:spacing w:before="20" w:after="20"/>
              <w:ind w:left="57" w:right="57"/>
              <w:jc w:val="left"/>
              <w:rPr>
                <w:rFonts w:ascii="Times New Roman" w:eastAsia="Yu Mincho" w:hAnsi="Times New Roman"/>
                <w:lang w:val="en-US" w:eastAsia="ja-JP"/>
              </w:rPr>
            </w:pPr>
          </w:p>
        </w:tc>
      </w:tr>
      <w:tr w:rsidR="00B6437C" w14:paraId="3E9E7A20"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509FBC1" w14:textId="53EC534C" w:rsidR="00B6437C" w:rsidRPr="00626F15" w:rsidRDefault="00626F15" w:rsidP="009E565F">
            <w:pPr>
              <w:pStyle w:val="TAC"/>
              <w:keepNext w:val="0"/>
              <w:spacing w:before="20" w:after="20"/>
              <w:ind w:left="57" w:right="57"/>
              <w:rPr>
                <w:rFonts w:ascii="Times New Roman" w:hAnsi="Times New Roman" w:hint="eastAsia"/>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6B0BDF4C" w14:textId="63620672" w:rsidR="00B6437C" w:rsidRPr="00626F15" w:rsidRDefault="00626F15" w:rsidP="009E565F">
            <w:pPr>
              <w:pStyle w:val="TAC"/>
              <w:keepNext w:val="0"/>
              <w:spacing w:before="20" w:after="20"/>
              <w:ind w:left="57" w:right="57"/>
              <w:rPr>
                <w:rFonts w:ascii="Times New Roman" w:hAnsi="Times New Roman" w:hint="eastAsia"/>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1824BB0" w14:textId="77777777" w:rsidR="00B6437C" w:rsidRDefault="00B6437C" w:rsidP="009E565F">
            <w:pPr>
              <w:pStyle w:val="TAC"/>
              <w:keepNext w:val="0"/>
              <w:spacing w:before="20" w:after="20"/>
              <w:ind w:left="57" w:right="57"/>
              <w:jc w:val="left"/>
              <w:rPr>
                <w:rFonts w:ascii="Times New Roman" w:eastAsia="Yu Mincho" w:hAnsi="Times New Roman"/>
                <w:lang w:val="en-US" w:eastAsia="ja-JP"/>
              </w:rPr>
            </w:pPr>
          </w:p>
        </w:tc>
      </w:tr>
    </w:tbl>
    <w:p w14:paraId="1159E1BC" w14:textId="77777777" w:rsidR="00226B70" w:rsidRPr="001A2B2A" w:rsidRDefault="00226B70">
      <w:pPr>
        <w:rPr>
          <w:lang w:val="en-US" w:eastAsia="zh-CN"/>
        </w:rPr>
      </w:pPr>
    </w:p>
    <w:p w14:paraId="40359AFA" w14:textId="77777777"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sidR="00633D56">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54BFE8EC"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848D81E" w14:textId="7A11E912"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D97AF66" w14:textId="6A3808F4"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0F308DE3" w14:textId="3C643C17" w:rsidR="001A2B2A" w:rsidRDefault="001A2B2A"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r>
              <w:rPr>
                <w:rFonts w:ascii="Times New Roman" w:hAnsi="Times New Roman"/>
                <w:lang w:val="en-US"/>
              </w:rPr>
              <w:t>a</w:t>
            </w:r>
            <w:proofErr w:type="spellEnd"/>
            <w:r>
              <w:rPr>
                <w:rFonts w:ascii="Times New Roman" w:hAnsi="Times New Roman"/>
                <w:lang w:val="en-US"/>
              </w:rPr>
              <w:t xml:space="preserve"> indication as LG indicates (but it should be discussed in future)</w:t>
            </w:r>
          </w:p>
        </w:tc>
      </w:tr>
      <w:tr w:rsidR="0093757E" w14:paraId="70ACADE6"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592CF040" w14:textId="77263D62"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C09BBD7" w14:textId="2F0F641B"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0C77F2DD" w14:textId="77777777" w:rsidR="0093757E" w:rsidRDefault="0093757E" w:rsidP="00A7680C">
            <w:pPr>
              <w:pStyle w:val="TAC"/>
              <w:keepNext w:val="0"/>
              <w:spacing w:before="20" w:after="20"/>
              <w:ind w:left="57" w:right="57"/>
              <w:jc w:val="left"/>
              <w:rPr>
                <w:rFonts w:ascii="Times New Roman" w:hAnsi="Times New Roman"/>
                <w:lang w:val="en-US"/>
              </w:rPr>
            </w:pPr>
          </w:p>
        </w:tc>
      </w:tr>
      <w:tr w:rsidR="009E565F" w14:paraId="2AFE478F"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49215B35" w14:textId="26BE64E9" w:rsidR="009E565F" w:rsidRDefault="009E565F" w:rsidP="009E565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FB4D35A" w14:textId="7132133C" w:rsidR="009E565F" w:rsidRDefault="009E565F" w:rsidP="009E565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71CE807" w14:textId="2918E7C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5313EF" w14:paraId="56421057"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5A0D879F" w14:textId="77777777" w:rsidR="005313EF" w:rsidRDefault="005313EF" w:rsidP="00D431EE">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5418C1D1" w14:textId="77777777" w:rsidR="005313EF" w:rsidRPr="00920B6C" w:rsidRDefault="005313EF" w:rsidP="00D431EE">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54D04DB6" w14:textId="77777777" w:rsidR="005313EF" w:rsidRDefault="005313EF" w:rsidP="00D431EE">
            <w:pPr>
              <w:pStyle w:val="TAC"/>
              <w:keepNext w:val="0"/>
              <w:spacing w:before="20" w:after="20"/>
              <w:ind w:left="57" w:right="57"/>
              <w:jc w:val="left"/>
              <w:rPr>
                <w:rFonts w:ascii="Times New Roman" w:hAnsi="Times New Roman"/>
                <w:lang w:val="en-US"/>
              </w:rPr>
            </w:pPr>
          </w:p>
        </w:tc>
      </w:tr>
      <w:tr w:rsidR="005313EF" w14:paraId="44915E5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71C7E622" w14:textId="051A077F" w:rsidR="005313EF" w:rsidRPr="000D547A" w:rsidRDefault="000D547A" w:rsidP="009E565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CD4AA9A" w14:textId="05B0C7C1" w:rsidR="005313EF" w:rsidRPr="000D547A" w:rsidRDefault="000D547A" w:rsidP="009E565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25A1A05A" w14:textId="77777777" w:rsidR="005313EF" w:rsidRDefault="005313EF" w:rsidP="009E565F">
            <w:pPr>
              <w:pStyle w:val="TAC"/>
              <w:keepNext w:val="0"/>
              <w:spacing w:before="20" w:after="20"/>
              <w:ind w:left="57" w:right="57"/>
              <w:jc w:val="left"/>
              <w:rPr>
                <w:rFonts w:ascii="Times New Roman" w:eastAsia="Yu Mincho" w:hAnsi="Times New Roman"/>
                <w:lang w:val="en-US" w:eastAsia="ja-JP"/>
              </w:rPr>
            </w:pPr>
          </w:p>
        </w:tc>
      </w:tr>
      <w:tr w:rsidR="000D547A" w14:paraId="5FFD059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7F5BAE97" w14:textId="42D43CC4" w:rsidR="000D547A" w:rsidRDefault="00626F15" w:rsidP="009E565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7B45E5BE" w14:textId="7C8F38D7" w:rsidR="000D547A" w:rsidRDefault="00626F15" w:rsidP="009E565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38BA9C7" w14:textId="77777777" w:rsidR="000D547A" w:rsidRDefault="000D547A" w:rsidP="009E565F">
            <w:pPr>
              <w:pStyle w:val="TAC"/>
              <w:keepNext w:val="0"/>
              <w:spacing w:before="20" w:after="20"/>
              <w:ind w:left="57" w:right="57"/>
              <w:jc w:val="left"/>
              <w:rPr>
                <w:rFonts w:ascii="Times New Roman" w:eastAsia="Yu Mincho" w:hAnsi="Times New Roman"/>
                <w:lang w:val="en-US" w:eastAsia="ja-JP"/>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lastRenderedPageBreak/>
        <w:t>session state change is a part of PTM config change,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1A2B2A" w14:paraId="28453ECD"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F92F5E4"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3F03ACB" w14:textId="77777777" w:rsidR="001A2B2A" w:rsidRPr="009D3B70"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720C4719"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5C10839D"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00960FDB"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17EAF4AA" w14:textId="77777777" w:rsidR="001A2B2A" w:rsidRDefault="001A2B2A" w:rsidP="00D431EE">
            <w:pPr>
              <w:pStyle w:val="TAC"/>
              <w:keepNext w:val="0"/>
              <w:spacing w:before="20" w:after="20"/>
              <w:ind w:left="57" w:right="57"/>
              <w:jc w:val="left"/>
              <w:rPr>
                <w:rFonts w:ascii="Times New Roman" w:hAnsi="Times New Roman"/>
                <w:lang w:val="en-US"/>
              </w:rPr>
            </w:pPr>
          </w:p>
          <w:p w14:paraId="2BB8E8C4"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0021CAD9" w14:textId="77777777" w:rsidR="001A2B2A" w:rsidRDefault="001A2B2A"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7046B67B" w14:textId="77777777" w:rsidR="0028337D" w:rsidRDefault="0028337D" w:rsidP="00D431EE">
            <w:pPr>
              <w:pStyle w:val="TAC"/>
              <w:keepNext w:val="0"/>
              <w:spacing w:before="20" w:after="20"/>
              <w:ind w:left="57" w:right="57"/>
              <w:jc w:val="left"/>
              <w:rPr>
                <w:rFonts w:ascii="Times New Roman" w:hAnsi="Times New Roman"/>
                <w:lang w:val="en-US"/>
              </w:rPr>
            </w:pPr>
          </w:p>
          <w:p w14:paraId="6FC65F5C" w14:textId="137CC39B" w:rsidR="0028337D" w:rsidRDefault="0028337D"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D36979" w14:paraId="185BE03C"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D7CBEEF" w14:textId="163D7A24" w:rsidR="00D36979" w:rsidRPr="001A2B2A"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5B5BE73" w14:textId="00BCC3F0" w:rsidR="00D36979"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61263C1F" w14:textId="48D99C0F" w:rsidR="00C44378" w:rsidRPr="00E66F4D" w:rsidRDefault="00C44378" w:rsidP="00C44378">
            <w:pPr>
              <w:pStyle w:val="TAC"/>
              <w:spacing w:before="20" w:after="20"/>
              <w:ind w:left="57" w:right="57"/>
              <w:jc w:val="left"/>
              <w:rPr>
                <w:rFonts w:ascii="Times New Roman" w:hAnsi="Times New Roman"/>
                <w:b/>
                <w:bCs/>
                <w:lang w:val="en-US"/>
              </w:rPr>
            </w:pPr>
            <w:r w:rsidRPr="00E66F4D">
              <w:rPr>
                <w:rFonts w:ascii="Times New Roman" w:hAnsi="Times New Roman" w:hint="eastAsia"/>
                <w:b/>
                <w:bCs/>
                <w:lang w:val="en-US"/>
              </w:rPr>
              <w:t>G</w:t>
            </w:r>
            <w:r w:rsidRPr="00E66F4D">
              <w:rPr>
                <w:rFonts w:ascii="Times New Roman" w:hAnsi="Times New Roman"/>
                <w:b/>
                <w:bCs/>
                <w:lang w:val="en-US"/>
              </w:rPr>
              <w:t>roup paging based solution has backwards compatible impact on Rel-17 UEs:</w:t>
            </w:r>
          </w:p>
          <w:p w14:paraId="6BC1C005" w14:textId="77777777" w:rsidR="00D36979"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685823A2" w14:textId="1217D4EC" w:rsidR="00C44378"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 xml:space="preserve">Considering the MC session deactivation is triggered not frequently, </w:t>
            </w:r>
            <w:r>
              <w:rPr>
                <w:rFonts w:ascii="Times New Roman" w:hAnsi="Times New Roman"/>
                <w:lang w:val="en-US"/>
              </w:rPr>
              <w:t xml:space="preserve">MCCH based solution is </w:t>
            </w:r>
            <w:r w:rsidRPr="00C44378">
              <w:rPr>
                <w:rFonts w:ascii="Times New Roman" w:hAnsi="Times New Roman"/>
                <w:lang w:val="en-US"/>
              </w:rPr>
              <w:t>more acceptable than other two solutions, in which the additional MCCH change is not so frequently and thus the UE power consumption is acceptable.</w:t>
            </w:r>
          </w:p>
        </w:tc>
      </w:tr>
      <w:tr w:rsidR="009E565F" w14:paraId="0E05439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CCD311" w14:textId="06CFE044"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4C9F137" w14:textId="6FDB4CF1" w:rsidR="009E565F" w:rsidRDefault="009E565F" w:rsidP="009E565F">
            <w:pPr>
              <w:pStyle w:val="TAC"/>
              <w:keepNext w:val="0"/>
              <w:spacing w:before="20" w:after="20"/>
              <w:ind w:left="57" w:right="57"/>
              <w:rPr>
                <w:rFonts w:ascii="Times New Roman" w:hAnsi="Times New Roman"/>
                <w:lang w:val="en-US"/>
              </w:rPr>
            </w:pPr>
            <w:r w:rsidRPr="00BE1AA2">
              <w:rPr>
                <w:rFonts w:ascii="Times New Roman" w:eastAsia="Yu Mincho" w:hAnsi="Times New Roman" w:hint="eastAsia"/>
                <w:lang w:val="en-US" w:eastAsia="ja-JP"/>
              </w:rPr>
              <w:t>P</w:t>
            </w:r>
            <w:r w:rsidRPr="00BE1AA2">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4B23BB40"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34D3704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6237B41A" w14:textId="2E870818" w:rsidR="009E565F" w:rsidRPr="00E66F4D" w:rsidRDefault="009E565F" w:rsidP="009E565F">
            <w:pPr>
              <w:pStyle w:val="TAC"/>
              <w:spacing w:before="20" w:after="20"/>
              <w:ind w:left="57" w:right="57"/>
              <w:jc w:val="left"/>
              <w:rPr>
                <w:rFonts w:ascii="Times New Roman" w:hAnsi="Times New Roman"/>
                <w:b/>
                <w:bCs/>
                <w:lang w:val="en-US"/>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NB-IoT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taken into account. </w:t>
            </w:r>
          </w:p>
        </w:tc>
      </w:tr>
      <w:tr w:rsidR="00912377" w14:paraId="56EC891A"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10D1AC0C" w14:textId="77777777" w:rsidR="00912377" w:rsidRDefault="00912377"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6C20294" w14:textId="77777777" w:rsidR="00912377" w:rsidRDefault="00912377" w:rsidP="00D431EE">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BE9C6C6" w14:textId="77777777" w:rsidR="00912377" w:rsidRDefault="00912377" w:rsidP="00D431EE">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027B8010" w14:textId="77777777" w:rsidR="00912377" w:rsidRPr="00BA0ABD" w:rsidRDefault="00912377" w:rsidP="00D431EE">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for UE to periodically monitor and receive MCCH if there is no PTM configuration change. </w:t>
            </w:r>
          </w:p>
        </w:tc>
      </w:tr>
      <w:tr w:rsidR="00912377" w14:paraId="65CAE9BE"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0749B16" w14:textId="45F6981C" w:rsidR="00912377" w:rsidRPr="00BE1AA2" w:rsidRDefault="00BE1AA2" w:rsidP="009E565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46E6552" w14:textId="4DB5595C" w:rsidR="00912377" w:rsidRPr="00BE1AA2" w:rsidRDefault="00BE1AA2" w:rsidP="009E565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4D5F8950" w14:textId="50B97D04" w:rsidR="00B116AD" w:rsidRDefault="00BE1AA2" w:rsidP="00BE1AA2">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For option1, it </w:t>
            </w:r>
            <w:r w:rsidRPr="00BE1AA2">
              <w:rPr>
                <w:rFonts w:ascii="Times New Roman" w:eastAsia="Yu Mincho" w:hAnsi="Times New Roman"/>
                <w:lang w:val="en-US" w:eastAsia="ja-JP"/>
              </w:rPr>
              <w:t>requires for the mandatory of multicast MCCH scheduling.</w:t>
            </w:r>
            <w:r>
              <w:rPr>
                <w:rFonts w:ascii="Times New Roman" w:eastAsia="Yu Mincho" w:hAnsi="Times New Roman"/>
                <w:lang w:val="en-US" w:eastAsia="ja-JP"/>
              </w:rPr>
              <w:t xml:space="preserve"> </w:t>
            </w:r>
            <w:r w:rsidR="00B116AD">
              <w:rPr>
                <w:rFonts w:ascii="Times New Roman" w:eastAsia="Yu Mincho" w:hAnsi="Times New Roman"/>
                <w:lang w:val="en-US" w:eastAsia="ja-JP"/>
              </w:rPr>
              <w:t>However,</w:t>
            </w:r>
            <w:r>
              <w:rPr>
                <w:rFonts w:ascii="Times New Roman" w:eastAsia="Yu Mincho" w:hAnsi="Times New Roman"/>
                <w:lang w:val="en-US" w:eastAsia="ja-JP"/>
              </w:rPr>
              <w:t xml:space="preserve"> in some cases, the PTM configuration</w:t>
            </w:r>
            <w:r w:rsidR="00B116AD">
              <w:rPr>
                <w:rFonts w:ascii="Times New Roman" w:eastAsia="Yu Mincho" w:hAnsi="Times New Roman"/>
                <w:lang w:val="en-US" w:eastAsia="ja-JP"/>
              </w:rPr>
              <w:t xml:space="preserve"> may only be </w:t>
            </w:r>
            <w:r>
              <w:rPr>
                <w:rFonts w:ascii="Times New Roman" w:eastAsia="Yu Mincho" w:hAnsi="Times New Roman"/>
                <w:lang w:val="en-US" w:eastAsia="ja-JP"/>
              </w:rPr>
              <w:t xml:space="preserve">provided in dedicated signaling and there </w:t>
            </w:r>
            <w:r w:rsidR="00B116AD">
              <w:rPr>
                <w:rFonts w:ascii="Times New Roman" w:eastAsia="Yu Mincho" w:hAnsi="Times New Roman"/>
                <w:lang w:val="en-US" w:eastAsia="ja-JP"/>
              </w:rPr>
              <w:t>may be</w:t>
            </w:r>
            <w:r>
              <w:rPr>
                <w:rFonts w:ascii="Times New Roman" w:eastAsia="Yu Mincho" w:hAnsi="Times New Roman"/>
                <w:lang w:val="en-US" w:eastAsia="ja-JP"/>
              </w:rPr>
              <w:t xml:space="preserve"> </w:t>
            </w:r>
            <w:r w:rsidR="00B116AD">
              <w:rPr>
                <w:rFonts w:ascii="Times New Roman" w:eastAsia="Yu Mincho" w:hAnsi="Times New Roman"/>
                <w:lang w:val="en-US" w:eastAsia="ja-JP"/>
              </w:rPr>
              <w:t xml:space="preserve">no MCCH scheduling in the cell due to </w:t>
            </w:r>
            <w:r w:rsidR="00B116AD" w:rsidRPr="00BE1AA2">
              <w:rPr>
                <w:rFonts w:ascii="Times New Roman" w:eastAsia="Yu Mincho" w:hAnsi="Times New Roman"/>
                <w:lang w:val="en-US" w:eastAsia="ja-JP"/>
              </w:rPr>
              <w:t>security concerns</w:t>
            </w:r>
            <w:r w:rsidR="00B116AD">
              <w:rPr>
                <w:rFonts w:ascii="Times New Roman" w:eastAsia="Yu Mincho" w:hAnsi="Times New Roman"/>
                <w:lang w:val="en-US" w:eastAsia="ja-JP"/>
              </w:rPr>
              <w:t xml:space="preserve"> or other reasons.</w:t>
            </w:r>
          </w:p>
          <w:p w14:paraId="7A31DBD1" w14:textId="036FA92A" w:rsidR="00912377" w:rsidRPr="00B116AD" w:rsidRDefault="00B116AD" w:rsidP="000D547A">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To provide a </w:t>
            </w:r>
            <w:r w:rsidR="000D547A">
              <w:rPr>
                <w:rFonts w:ascii="Times New Roman" w:eastAsia="Yu Mincho" w:hAnsi="Times New Roman"/>
                <w:lang w:val="en-US" w:eastAsia="ja-JP"/>
              </w:rPr>
              <w:t>common</w:t>
            </w:r>
            <w:r>
              <w:rPr>
                <w:rFonts w:ascii="Times New Roman" w:eastAsia="Yu Mincho" w:hAnsi="Times New Roman"/>
                <w:lang w:val="en-US" w:eastAsia="ja-JP"/>
              </w:rPr>
              <w:t xml:space="preserve"> solution to cover all cases, we prefer to use the enhanced group paging for the notification of </w:t>
            </w:r>
            <w:r w:rsidRPr="00B116AD">
              <w:rPr>
                <w:rFonts w:ascii="Times New Roman" w:eastAsia="Yu Mincho" w:hAnsi="Times New Roman"/>
                <w:lang w:val="en-US" w:eastAsia="ja-JP"/>
              </w:rPr>
              <w:t>session deactivation/temporary no data</w:t>
            </w:r>
            <w:r>
              <w:rPr>
                <w:rFonts w:ascii="Times New Roman" w:hAnsi="Times New Roman"/>
                <w:lang w:val="en-US"/>
              </w:rPr>
              <w:t>.</w:t>
            </w:r>
          </w:p>
        </w:tc>
      </w:tr>
      <w:tr w:rsidR="00626F15" w14:paraId="69A3429F"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3F1027D" w14:textId="30A67B04" w:rsidR="00626F15" w:rsidRPr="00BE1AA2" w:rsidRDefault="00626F15" w:rsidP="00626F15">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FF951A5" w14:textId="7DCA14A7" w:rsidR="00626F15" w:rsidRPr="00BE1AA2" w:rsidRDefault="00626F15" w:rsidP="00626F15">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7ABE17C8" w14:textId="4C874074" w:rsidR="00626F15" w:rsidRDefault="00626F15" w:rsidP="00626F15">
            <w:pPr>
              <w:pStyle w:val="TAC"/>
              <w:keepNext w:val="0"/>
              <w:spacing w:before="20" w:after="20"/>
              <w:ind w:left="57" w:right="57"/>
              <w:jc w:val="left"/>
              <w:rPr>
                <w:rFonts w:ascii="Times New Roman" w:eastAsia="Yu Mincho" w:hAnsi="Times New Roman"/>
                <w:lang w:val="en-US" w:eastAsia="ja-JP"/>
              </w:rPr>
            </w:pPr>
            <w:r w:rsidRPr="00A26335">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r w:rsidR="0028337D" w14:paraId="610A8B2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3FC05A5" w14:textId="27BFA983"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717019" w14:textId="67D6FBA2"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8E62AF3" w14:textId="77777777" w:rsidR="0028337D" w:rsidRPr="00496375" w:rsidRDefault="0028337D" w:rsidP="005D39AA">
            <w:pPr>
              <w:pStyle w:val="TAC"/>
              <w:keepNext w:val="0"/>
              <w:spacing w:before="20" w:after="20"/>
              <w:ind w:left="57" w:right="57"/>
              <w:jc w:val="left"/>
              <w:rPr>
                <w:rFonts w:ascii="Times New Roman" w:hAnsi="Times New Roman"/>
                <w:lang w:val="en-US"/>
              </w:rPr>
            </w:pPr>
          </w:p>
        </w:tc>
      </w:tr>
      <w:tr w:rsidR="00E66F4D" w14:paraId="4A4D7DF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F0AC987" w14:textId="320C6861"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E21550" w14:textId="0C295EF7"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B586CAA" w14:textId="77777777" w:rsidR="00E66F4D" w:rsidRPr="00496375" w:rsidRDefault="00E66F4D" w:rsidP="005D39AA">
            <w:pPr>
              <w:pStyle w:val="TAC"/>
              <w:keepNext w:val="0"/>
              <w:spacing w:before="20" w:after="20"/>
              <w:ind w:left="57" w:right="57"/>
              <w:jc w:val="left"/>
              <w:rPr>
                <w:rFonts w:ascii="Times New Roman" w:hAnsi="Times New Roman"/>
                <w:lang w:val="en-US"/>
              </w:rPr>
            </w:pPr>
          </w:p>
        </w:tc>
      </w:tr>
      <w:tr w:rsidR="009E565F" w14:paraId="777B194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0197633" w14:textId="3A3704C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BD85937" w14:textId="6BBE26C5"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35E39941" w14:textId="77777777" w:rsidR="009E565F" w:rsidRPr="00496375" w:rsidRDefault="009E565F" w:rsidP="009E565F">
            <w:pPr>
              <w:pStyle w:val="TAC"/>
              <w:keepNext w:val="0"/>
              <w:spacing w:before="20" w:after="20"/>
              <w:ind w:left="57" w:right="57"/>
              <w:jc w:val="left"/>
              <w:rPr>
                <w:rFonts w:ascii="Times New Roman" w:hAnsi="Times New Roman"/>
                <w:lang w:val="en-US"/>
              </w:rPr>
            </w:pPr>
          </w:p>
        </w:tc>
      </w:tr>
      <w:tr w:rsidR="00FB3C9D" w14:paraId="5A68282F"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56E471FB" w14:textId="77777777" w:rsidR="00FB3C9D" w:rsidRDefault="00FB3C9D" w:rsidP="00D431E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4F5940F" w14:textId="77777777" w:rsidR="00FB3C9D" w:rsidRDefault="00FB3C9D" w:rsidP="00D431E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C3DD02D" w14:textId="77777777" w:rsidR="00FB3C9D" w:rsidRPr="00496375" w:rsidRDefault="00FB3C9D" w:rsidP="00D431EE">
            <w:pPr>
              <w:pStyle w:val="TAC"/>
              <w:keepNext w:val="0"/>
              <w:spacing w:before="20" w:after="20"/>
              <w:ind w:left="57" w:right="57"/>
              <w:jc w:val="left"/>
              <w:rPr>
                <w:rFonts w:ascii="Times New Roman" w:hAnsi="Times New Roman"/>
                <w:lang w:val="en-US"/>
              </w:rPr>
            </w:pPr>
          </w:p>
        </w:tc>
      </w:tr>
      <w:tr w:rsidR="00FB3C9D" w14:paraId="4F0873D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39AA30A" w14:textId="243F2A5B" w:rsidR="00FB3C9D" w:rsidRPr="00BE1AA2" w:rsidRDefault="00BE1AA2" w:rsidP="009E565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1E6D80BD" w14:textId="6C463433" w:rsidR="00FB3C9D" w:rsidRPr="00BE1AA2" w:rsidRDefault="00BE1AA2" w:rsidP="009E565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9F09EC9" w14:textId="77777777" w:rsidR="00FB3C9D" w:rsidRPr="00496375" w:rsidRDefault="00FB3C9D" w:rsidP="009E565F">
            <w:pPr>
              <w:pStyle w:val="TAC"/>
              <w:keepNext w:val="0"/>
              <w:spacing w:before="20" w:after="20"/>
              <w:ind w:left="57" w:right="57"/>
              <w:jc w:val="left"/>
              <w:rPr>
                <w:rFonts w:ascii="Times New Roman" w:hAnsi="Times New Roman"/>
                <w:lang w:val="en-US"/>
              </w:rPr>
            </w:pPr>
          </w:p>
        </w:tc>
      </w:tr>
      <w:tr w:rsidR="00BE1AA2" w14:paraId="04C7F819"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8AA6C94" w14:textId="23F8F736" w:rsidR="00BE1AA2" w:rsidRDefault="00626F15" w:rsidP="009E565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5045" w14:textId="5362ED20" w:rsidR="00BE1AA2" w:rsidRDefault="00626F15" w:rsidP="009E565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582D20" w14:textId="77777777" w:rsidR="00BE1AA2" w:rsidRPr="00496375" w:rsidRDefault="00BE1AA2" w:rsidP="009E565F">
            <w:pPr>
              <w:pStyle w:val="TAC"/>
              <w:keepNext w:val="0"/>
              <w:spacing w:before="20" w:after="20"/>
              <w:ind w:left="57" w:right="57"/>
              <w:jc w:val="left"/>
              <w:rPr>
                <w:rFonts w:ascii="Times New Roman" w:hAnsi="Times New Roman"/>
                <w:lang w:val="en-US"/>
              </w:rPr>
            </w:pPr>
          </w:p>
        </w:tc>
      </w:tr>
      <w:tr w:rsidR="00BE1AA2" w14:paraId="542D3B9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DF56C7B" w14:textId="77777777" w:rsidR="00BE1AA2" w:rsidRDefault="00BE1AA2" w:rsidP="009E565F">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4B4FB620" w14:textId="77777777" w:rsidR="00BE1AA2" w:rsidRDefault="00BE1AA2" w:rsidP="009E565F">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C0AC4D0" w14:textId="77777777" w:rsidR="00BE1AA2" w:rsidRPr="00496375" w:rsidRDefault="00BE1AA2" w:rsidP="009E565F">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 xml:space="preserve">First the legacy group paging cannot disambiguate between cases a and b. Case b is legacy Rel-17 </w:t>
            </w:r>
            <w:proofErr w:type="spellStart"/>
            <w:r>
              <w:t>behavior</w:t>
            </w:r>
            <w:proofErr w:type="spellEnd"/>
            <w:r>
              <w:t>.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lastRenderedPageBreak/>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 xml:space="preserve">UE-specific paging (i.e. </w:t>
            </w:r>
            <w:proofErr w:type="spellStart"/>
            <w:r w:rsidRPr="00873FD4">
              <w:rPr>
                <w:rFonts w:ascii="Times New Roman" w:hAnsi="Times New Roman"/>
                <w:b/>
                <w:bCs/>
                <w:lang w:val="en-US"/>
              </w:rPr>
              <w:t>PagingRecordList</w:t>
            </w:r>
            <w:proofErr w:type="spellEnd"/>
            <w:r w:rsidRPr="00873FD4">
              <w:rPr>
                <w:rFonts w:ascii="Times New Roman" w:hAnsi="Times New Roman"/>
                <w:b/>
                <w:bCs/>
                <w:lang w:val="en-US"/>
              </w:rPr>
              <w: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gNB only wants to address a subset of all the </w:t>
            </w:r>
            <w:proofErr w:type="spellStart"/>
            <w:r w:rsidRPr="00FC237A">
              <w:rPr>
                <w:rFonts w:ascii="Times New Roman" w:hAnsi="Times New Roman"/>
                <w:lang w:val="en-US"/>
              </w:rPr>
              <w:t>Ues,it</w:t>
            </w:r>
            <w:proofErr w:type="spellEnd"/>
            <w:r w:rsidRPr="00FC237A">
              <w:rPr>
                <w:rFonts w:ascii="Times New Roman" w:hAnsi="Times New Roman"/>
                <w:lang w:val="en-US"/>
              </w:rPr>
              <w:t xml:space="preserve"> can chose to send the group paging message on subset of the available </w:t>
            </w:r>
            <w:proofErr w:type="spellStart"/>
            <w:r w:rsidRPr="00FC237A">
              <w:rPr>
                <w:rFonts w:ascii="Times New Roman" w:hAnsi="Times New Roman"/>
                <w:lang w:val="en-US"/>
              </w:rPr>
              <w:t>POs.</w:t>
            </w:r>
            <w:proofErr w:type="spellEnd"/>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tc>
      </w:tr>
      <w:tr w:rsidR="0028337D" w14:paraId="67AB966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63EA0DAD"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1B981E"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A76A73" w14:textId="77777777" w:rsidR="0028337D" w:rsidRDefault="0028337D"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E66F4D" w14:paraId="7A7B1DB8"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789D24A3" w14:textId="56235996"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F937B46" w14:textId="5901FAD9"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2999A18" w14:textId="632F7A3F" w:rsidR="00E66F4D" w:rsidRDefault="00E66F4D"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1C1C95C3" w14:textId="38A40E8E" w:rsidR="00E66F4D" w:rsidRPr="00E66F4D" w:rsidRDefault="00E66F4D" w:rsidP="00E66F4D">
            <w:pPr>
              <w:pStyle w:val="TAC"/>
              <w:spacing w:before="20" w:after="20"/>
              <w:ind w:left="57" w:right="57"/>
              <w:jc w:val="left"/>
              <w:rPr>
                <w:rFonts w:ascii="Times New Roman" w:hAnsi="Times New Roman"/>
                <w:lang w:val="en-US"/>
              </w:rPr>
            </w:pPr>
            <w:r w:rsidRPr="00E66F4D">
              <w:rPr>
                <w:rFonts w:ascii="Times New Roman" w:hAnsi="Times New Roman"/>
                <w:lang w:val="en-US"/>
              </w:rPr>
              <w:t>a.</w:t>
            </w:r>
            <w:r>
              <w:rPr>
                <w:rFonts w:ascii="Times New Roman" w:hAnsi="Times New Roman"/>
                <w:lang w:val="en-US"/>
              </w:rPr>
              <w:t xml:space="preserve"> </w:t>
            </w:r>
            <w:r w:rsidRPr="00E66F4D">
              <w:rPr>
                <w:rFonts w:ascii="Times New Roman" w:hAnsi="Times New Roman"/>
                <w:lang w:val="en-US"/>
              </w:rPr>
              <w:t>ALL applicable UEs continue to receive the service in RRC_INACTIVE, or</w:t>
            </w:r>
          </w:p>
          <w:p w14:paraId="1142FE6E" w14:textId="77777777"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xml:space="preserve">. </w:t>
            </w:r>
            <w:r w:rsidRPr="00E66F4D">
              <w:rPr>
                <w:rFonts w:ascii="Times New Roman" w:hAnsi="Times New Roman"/>
                <w:lang w:val="en-US"/>
              </w:rPr>
              <w:t>ALL applicable UEs move to RRC_CONNECTED</w:t>
            </w:r>
            <w:r>
              <w:rPr>
                <w:rFonts w:ascii="Times New Roman" w:hAnsi="Times New Roman"/>
                <w:lang w:val="en-US"/>
              </w:rPr>
              <w:t>.</w:t>
            </w:r>
          </w:p>
          <w:p w14:paraId="4DBA47E7" w14:textId="77777777" w:rsidR="00E66F4D" w:rsidRDefault="00E66F4D" w:rsidP="00E66F4D">
            <w:pPr>
              <w:pStyle w:val="TAC"/>
              <w:keepNext w:val="0"/>
              <w:spacing w:before="20" w:after="20"/>
              <w:ind w:left="57" w:right="57"/>
              <w:jc w:val="left"/>
              <w:rPr>
                <w:rFonts w:ascii="Times New Roman" w:hAnsi="Times New Roman"/>
                <w:lang w:val="en-US"/>
              </w:rPr>
            </w:pPr>
          </w:p>
          <w:p w14:paraId="17ED023A" w14:textId="7D54FF53"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the legacy unicast paging can be used. </w:t>
            </w:r>
          </w:p>
        </w:tc>
      </w:tr>
      <w:tr w:rsidR="009E565F" w14:paraId="597F4880"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12798299" w14:textId="0D68378A"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A93E77F" w14:textId="722772A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E65B852"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14:paraId="4F5D0B3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7724CAA6" w14:textId="3F84065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lastRenderedPageBreak/>
              <w:t xml:space="preserve">Additionally, we think the current paging message (i.e., in Rel-17) can include both UE-ID list (i.e., </w:t>
            </w:r>
            <w:proofErr w:type="spellStart"/>
            <w:r w:rsidRPr="00B97BE0">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and TMGI list (i.e., </w:t>
            </w:r>
            <w:proofErr w:type="spellStart"/>
            <w:r w:rsidRPr="00B97BE0">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tc>
      </w:tr>
      <w:tr w:rsidR="00443D19" w14:paraId="26D172FE" w14:textId="77777777" w:rsidTr="00D431EE">
        <w:trPr>
          <w:trHeight w:val="240"/>
        </w:trPr>
        <w:tc>
          <w:tcPr>
            <w:tcW w:w="593" w:type="pct"/>
            <w:tcBorders>
              <w:top w:val="single" w:sz="4" w:space="0" w:color="auto"/>
              <w:left w:val="single" w:sz="4" w:space="0" w:color="auto"/>
              <w:bottom w:val="single" w:sz="4" w:space="0" w:color="auto"/>
              <w:right w:val="single" w:sz="4" w:space="0" w:color="auto"/>
            </w:tcBorders>
            <w:noWrap/>
          </w:tcPr>
          <w:p w14:paraId="6BEF3108" w14:textId="77777777" w:rsidR="00443D19" w:rsidRDefault="00443D19" w:rsidP="00D431EE">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5238EE33" w14:textId="77777777" w:rsidR="00443D19" w:rsidRDefault="00443D19" w:rsidP="00D431EE">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D1702C0" w14:textId="77777777" w:rsidR="00443D19" w:rsidRDefault="00443D19"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same understanding as MTK. </w:t>
            </w:r>
          </w:p>
        </w:tc>
      </w:tr>
      <w:tr w:rsidR="00443D19" w14:paraId="692EAAE3"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42FF2023" w14:textId="79AD8F8B" w:rsidR="00443D19" w:rsidRPr="003A3E4F" w:rsidRDefault="003A3E4F" w:rsidP="009E565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5080CA03" w14:textId="1D95F484" w:rsidR="00443D19" w:rsidRPr="00377E83" w:rsidRDefault="00377E83" w:rsidP="009E565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102D5602" w14:textId="182F0129" w:rsidR="00377E83" w:rsidRDefault="00377E83" w:rsidP="00377E8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our understanding, </w:t>
            </w:r>
            <w:r w:rsidR="00D431EE">
              <w:rPr>
                <w:rFonts w:ascii="Times New Roman" w:hAnsi="Times New Roman"/>
                <w:lang w:val="en-US"/>
              </w:rPr>
              <w:t>that may be</w:t>
            </w:r>
            <w:r>
              <w:rPr>
                <w:rFonts w:ascii="Times New Roman" w:hAnsi="Times New Roman"/>
                <w:lang w:val="en-US"/>
              </w:rPr>
              <w:t xml:space="preserve"> an</w:t>
            </w:r>
            <w:r w:rsidR="00D431EE">
              <w:rPr>
                <w:rFonts w:ascii="Times New Roman" w:hAnsi="Times New Roman"/>
                <w:lang w:val="en-US"/>
              </w:rPr>
              <w:t>other story different from the s</w:t>
            </w:r>
            <w:r>
              <w:rPr>
                <w:rFonts w:ascii="Times New Roman" w:hAnsi="Times New Roman"/>
                <w:lang w:val="en-US"/>
              </w:rPr>
              <w:t>ession activation.</w:t>
            </w:r>
          </w:p>
          <w:p w14:paraId="77D2B31F" w14:textId="6AEE542D" w:rsidR="00377E83" w:rsidRPr="00377E83" w:rsidRDefault="00377E83" w:rsidP="00D431EE">
            <w:pPr>
              <w:pStyle w:val="TAC"/>
              <w:keepNext w:val="0"/>
              <w:spacing w:before="20" w:after="20"/>
              <w:ind w:left="57" w:right="57"/>
              <w:jc w:val="left"/>
              <w:rPr>
                <w:rFonts w:ascii="Times New Roman" w:hAnsi="Times New Roman"/>
                <w:lang w:val="en-US"/>
              </w:rPr>
            </w:pPr>
            <w:r>
              <w:rPr>
                <w:rFonts w:ascii="Times New Roman" w:hAnsi="Times New Roman"/>
                <w:lang w:val="en-US"/>
              </w:rPr>
              <w:t>The intention</w:t>
            </w:r>
            <w:r w:rsidR="00D431EE">
              <w:rPr>
                <w:rFonts w:ascii="Times New Roman" w:hAnsi="Times New Roman"/>
                <w:lang w:val="en-US"/>
              </w:rPr>
              <w:t xml:space="preserve"> of reusing the legacy group paging</w:t>
            </w:r>
            <w:r>
              <w:rPr>
                <w:rFonts w:ascii="Times New Roman" w:hAnsi="Times New Roman"/>
                <w:lang w:val="en-US"/>
              </w:rPr>
              <w:t xml:space="preserve"> is to resume all UE to </w:t>
            </w:r>
            <w:r w:rsidR="00D431EE">
              <w:rPr>
                <w:rFonts w:ascii="Times New Roman" w:hAnsi="Times New Roman"/>
                <w:lang w:val="en-US"/>
              </w:rPr>
              <w:t>CONNECTED mode even if the session is activated.</w:t>
            </w:r>
          </w:p>
        </w:tc>
      </w:tr>
      <w:tr w:rsidR="00626F15" w14:paraId="2BAEB9E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2C65BEC1" w14:textId="1B1AEAEE" w:rsidR="00626F15" w:rsidRDefault="00626F15" w:rsidP="00626F15">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653B9D2" w14:textId="72B37DFB" w:rsidR="00626F15" w:rsidRPr="00BE1AA2" w:rsidRDefault="00626F15" w:rsidP="00626F15">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50C809B" w14:textId="6AF4F7FF" w:rsidR="00626F15" w:rsidRDefault="00626F15" w:rsidP="00626F15">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4CD1D" w14:textId="77777777" w:rsidR="00634500" w:rsidRDefault="00634500" w:rsidP="002E2B33">
      <w:pPr>
        <w:spacing w:before="0" w:after="0" w:line="240" w:lineRule="auto"/>
      </w:pPr>
      <w:r>
        <w:separator/>
      </w:r>
    </w:p>
  </w:endnote>
  <w:endnote w:type="continuationSeparator" w:id="0">
    <w:p w14:paraId="37020F57" w14:textId="77777777" w:rsidR="00634500" w:rsidRDefault="00634500"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DADA" w14:textId="77777777" w:rsidR="00634500" w:rsidRDefault="00634500" w:rsidP="002E2B33">
      <w:pPr>
        <w:spacing w:before="0" w:after="0" w:line="240" w:lineRule="auto"/>
      </w:pPr>
      <w:r>
        <w:separator/>
      </w:r>
    </w:p>
  </w:footnote>
  <w:footnote w:type="continuationSeparator" w:id="0">
    <w:p w14:paraId="09030349" w14:textId="77777777" w:rsidR="00634500" w:rsidRDefault="00634500"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22450034">
    <w:abstractNumId w:val="5"/>
  </w:num>
  <w:num w:numId="2" w16cid:durableId="498034486">
    <w:abstractNumId w:val="3"/>
  </w:num>
  <w:num w:numId="3" w16cid:durableId="1245410045">
    <w:abstractNumId w:val="6"/>
  </w:num>
  <w:num w:numId="4" w16cid:durableId="724136474">
    <w:abstractNumId w:val="7"/>
  </w:num>
  <w:num w:numId="5" w16cid:durableId="74981357">
    <w:abstractNumId w:val="8"/>
  </w:num>
  <w:num w:numId="6" w16cid:durableId="1282347604">
    <w:abstractNumId w:val="1"/>
  </w:num>
  <w:num w:numId="7" w16cid:durableId="64451968">
    <w:abstractNumId w:val="0"/>
  </w:num>
  <w:num w:numId="8" w16cid:durableId="820543040">
    <w:abstractNumId w:val="2"/>
  </w:num>
  <w:num w:numId="9" w16cid:durableId="61336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E0C9B"/>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eastAsia="zh-CN"/>
    </w:rPr>
  </w:style>
  <w:style w:type="paragraph" w:styleId="7">
    <w:name w:val="heading 7"/>
    <w:next w:val="a0"/>
    <w:link w:val="70"/>
    <w:qFormat/>
    <w:pPr>
      <w:outlineLvl w:val="6"/>
    </w:pPr>
    <w:rPr>
      <w:lang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aliases w:val="- Bullets,?? ??,?????,????,Lista1,목록 단락,列出段落1,中等深浅网格 1 - 着色 21"/>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aliases w:val="- Bullets 字符,?? ?? 字符,????? 字符,???? 字符,Lista1 字符,목록 단락 字符,列出段落1 字符,中等深浅网格 1 - 着色 21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spacing w:after="0" w:line="240" w:lineRule="auto"/>
    </w:pPr>
    <w:rPr>
      <w:rFonts w:ascii="Times New Roman" w:hAnsi="Times New Roman"/>
      <w:lang w:val="en-GB" w:eastAsia="ja-JP"/>
    </w:rPr>
  </w:style>
  <w:style w:type="character" w:customStyle="1" w:styleId="22">
    <w:name w:val="@他2"/>
    <w:basedOn w:val="a1"/>
    <w:uiPriority w:val="99"/>
    <w:unhideWhenUsed/>
    <w:rsid w:val="001A2B2A"/>
    <w:rPr>
      <w:color w:val="2B579A"/>
      <w:shd w:val="clear" w:color="auto" w:fill="E1DFDD"/>
    </w:rPr>
  </w:style>
  <w:style w:type="character" w:styleId="aff5">
    <w:name w:val="Unresolved Mention"/>
    <w:basedOn w:val="a1"/>
    <w:uiPriority w:val="99"/>
    <w:semiHidden/>
    <w:unhideWhenUsed/>
    <w:rsid w:val="00626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uxiaofei@xiaomi.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56B159-68B7-4BA3-93E4-48DA8E024E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5117</Words>
  <Characters>29171</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CMCC-121bis</cp:lastModifiedBy>
  <cp:revision>2</cp:revision>
  <dcterms:created xsi:type="dcterms:W3CDTF">2023-04-24T02:53:00Z</dcterms:created>
  <dcterms:modified xsi:type="dcterms:W3CDTF">2023-04-24T02:53:00Z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