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pPr>
        <w:pStyle w:val="63"/>
        <w:spacing w:after="60"/>
      </w:pPr>
      <w:r>
        <w:rPr>
          <w:rFonts w:hint="eastAsia"/>
          <w:lang w:val="en-US"/>
        </w:rPr>
        <w:t>Online</w:t>
      </w:r>
      <w:r>
        <w:t xml:space="preserve">, </w:t>
      </w:r>
      <w:r>
        <w:rPr>
          <w:rFonts w:hint="eastAsia"/>
        </w:rPr>
        <w:t xml:space="preserve"> 17th April– 26th April 2023</w:t>
      </w:r>
    </w:p>
    <w:p>
      <w:pPr>
        <w:pStyle w:val="111"/>
        <w:tabs>
          <w:tab w:val="left" w:pos="1985"/>
        </w:tabs>
        <w:rPr>
          <w:rFonts w:cs="Arial"/>
          <w:b/>
          <w:bCs/>
          <w:sz w:val="24"/>
        </w:rPr>
      </w:pPr>
    </w:p>
    <w:p>
      <w:pPr>
        <w:pStyle w:val="111"/>
        <w:tabs>
          <w:tab w:val="left" w:pos="1985"/>
        </w:tabs>
        <w:rPr>
          <w:rFonts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7.2.2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[AT121bis-e][424][POS] Group positioning and multiple targets (Xiaomi</w:t>
      </w:r>
      <w:r>
        <w:rPr>
          <w:rFonts w:hint="eastAsia" w:ascii="Arial" w:hAnsi="Arial" w:cs="Arial"/>
          <w:b/>
          <w:bCs/>
          <w:sz w:val="24"/>
          <w:lang w:val="en-US" w:eastAsia="zh-CN"/>
        </w:rPr>
        <w:t>/</w:t>
      </w:r>
      <w:r>
        <w:rPr>
          <w:rFonts w:hint="eastAsia" w:ascii="Arial" w:hAnsi="Arial" w:cs="Arial"/>
          <w:b/>
          <w:bCs/>
          <w:sz w:val="24"/>
        </w:rPr>
        <w:t>Qualcomm)</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pPr>
        <w:pStyle w:val="113"/>
        <w:rPr>
          <w:lang w:val="en-US" w:eastAsia="en-GB"/>
        </w:rPr>
      </w:pPr>
    </w:p>
    <w:p>
      <w:pPr>
        <w:pStyle w:val="118"/>
      </w:pPr>
      <w:r>
        <w:t>[AT121bis-e][424][POS] Group positioning and multiple targets (Xiaomi/Qualcomm)</w:t>
      </w:r>
    </w:p>
    <w:p>
      <w:pPr>
        <w:pStyle w:val="119"/>
      </w:pPr>
      <w:r>
        <w:tab/>
      </w:r>
      <w:r>
        <w:t>Scope: Discuss P17-P19 of R2-2302740, attempt to conclude, and evaluate whether we can reply to the SA2 LS on multiple target UEs.</w:t>
      </w:r>
    </w:p>
    <w:p>
      <w:pPr>
        <w:pStyle w:val="119"/>
      </w:pPr>
      <w:r>
        <w:tab/>
      </w:r>
      <w:r>
        <w:t>Intended outcome: Report (Xiaomi) and agreeable reply LS (Qualcomm)</w:t>
      </w:r>
    </w:p>
    <w:p>
      <w:pPr>
        <w:pStyle w:val="119"/>
      </w:pPr>
      <w:r>
        <w:tab/>
      </w:r>
      <w:r>
        <w:t>Deadline: Friday 2023-04-21 1000 UTC</w:t>
      </w:r>
    </w:p>
    <w:p>
      <w:pPr>
        <w:pStyle w:val="119"/>
      </w:pPr>
    </w:p>
    <w:p/>
    <w:p/>
    <w:p>
      <w:pPr>
        <w:pStyle w:val="2"/>
        <w:rPr>
          <w:lang w:eastAsia="zh-CN"/>
        </w:rPr>
      </w:pPr>
      <w:r>
        <w:t>2</w:t>
      </w:r>
      <w:r>
        <w:tab/>
      </w:r>
      <w:r>
        <w:rPr>
          <w:lang w:eastAsia="ko-KR"/>
        </w:rPr>
        <w:t>Contact Information</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0"/>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Ericsson</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Ritesh Shreevastav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Dan Vassilovski (</w:t>
            </w:r>
            <w:r>
              <w:rPr>
                <w:szCs w:val="22"/>
              </w:rPr>
              <w:fldChar w:fldCharType="begin"/>
            </w:r>
            <w:r>
              <w:rPr>
                <w:szCs w:val="22"/>
                <w:lang w:val="en-US"/>
              </w:rPr>
              <w:instrText xml:space="preserve"> HYPERLINK "mailto:dvassilo@qti.qualcomm.com" </w:instrText>
            </w:r>
            <w:r>
              <w:rPr>
                <w:szCs w:val="22"/>
              </w:rPr>
              <w:fldChar w:fldCharType="separate"/>
            </w:r>
            <w:r>
              <w:rPr>
                <w:rStyle w:val="58"/>
                <w:rFonts w:eastAsia="Calibri"/>
                <w:szCs w:val="22"/>
                <w:lang w:val="en-US"/>
              </w:rPr>
              <w:t>dvassilo@qti.qualcomm.com</w:t>
            </w:r>
            <w:r>
              <w:rPr>
                <w:rStyle w:val="58"/>
                <w:rFonts w:eastAsia="Calibri"/>
                <w:szCs w:val="22"/>
                <w:lang w:val="en-US"/>
              </w:rPr>
              <w:fldChar w:fldCharType="end"/>
            </w:r>
            <w:r>
              <w:rPr>
                <w:rFonts w:eastAsia="Calibri"/>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Theme="minorEastAsia"/>
                <w:szCs w:val="22"/>
                <w:lang w:val="en-US"/>
              </w:rPr>
            </w:pPr>
            <w:r>
              <w:rPr>
                <w:rFonts w:hint="eastAsia" w:eastAsiaTheme="minorEastAsia"/>
                <w:szCs w:val="22"/>
                <w:lang w:val="en-US"/>
              </w:rPr>
              <w:t>O</w:t>
            </w:r>
            <w:r>
              <w:rPr>
                <w:rFonts w:eastAsiaTheme="minorEastAsia"/>
                <w:szCs w:val="22"/>
                <w:lang w:val="en-US"/>
              </w:rPr>
              <w:t>PPO</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Theme="minorEastAsia"/>
                <w:szCs w:val="22"/>
                <w:lang w:val="en-US"/>
              </w:rPr>
            </w:pPr>
            <w:r>
              <w:rPr>
                <w:rFonts w:hint="eastAsia" w:eastAsiaTheme="minorEastAsia"/>
                <w:szCs w:val="22"/>
                <w:lang w:val="en-US"/>
              </w:rPr>
              <w:t>Y</w:t>
            </w:r>
            <w:r>
              <w:rPr>
                <w:rFonts w:eastAsiaTheme="minorEastAsia"/>
                <w:szCs w:val="22"/>
                <w:lang w:val="en-US"/>
              </w:rPr>
              <w:t>ang Liu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Theme="minorEastAsia"/>
                <w:szCs w:val="22"/>
                <w:lang w:val="en-US"/>
              </w:rPr>
            </w:pPr>
            <w:r>
              <w:rPr>
                <w:rFonts w:hint="eastAsia" w:eastAsiaTheme="minorEastAsia"/>
                <w:szCs w:val="22"/>
                <w:lang w:val="en-US"/>
              </w:rPr>
              <w:t>CATT</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Theme="minorEastAsia"/>
                <w:szCs w:val="22"/>
                <w:lang w:val="de-DE"/>
              </w:rPr>
            </w:pPr>
            <w:r>
              <w:rPr>
                <w:rFonts w:hint="eastAsia" w:eastAsiaTheme="minorEastAsia"/>
                <w:szCs w:val="22"/>
                <w:lang w:val="de-DE"/>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de-DE"/>
              </w:rPr>
            </w:pPr>
            <w:r>
              <w:rPr>
                <w:rFonts w:eastAsia="Calibri"/>
                <w:szCs w:val="22"/>
                <w:lang w:val="de-DE"/>
              </w:rPr>
              <w:t>Lenovo</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Robin Thomas (rthomas7@lenovo.com)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r>
              <w:rPr>
                <w:rFonts w:eastAsia="Calibri"/>
                <w:szCs w:val="22"/>
                <w:lang w:val="en-US"/>
              </w:rPr>
              <w:t>LG</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r>
              <w:rPr>
                <w:rFonts w:eastAsia="Calibri"/>
                <w:szCs w:val="22"/>
                <w:lang w:val="en-US"/>
              </w:rPr>
              <w:t>Jonggil Nam (jonggil.nam@lge.com)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Fraunhofer</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r>
              <w:rPr>
                <w:rFonts w:eastAsia="Calibri"/>
                <w:szCs w:val="22"/>
                <w:lang w:val="en-US"/>
              </w:rPr>
              <w:t>Birendra Ghimire (</w:t>
            </w:r>
            <w:r>
              <w:rPr>
                <w:szCs w:val="22"/>
              </w:rPr>
              <w:fldChar w:fldCharType="begin"/>
            </w:r>
            <w:r>
              <w:rPr>
                <w:szCs w:val="22"/>
                <w:lang w:val="en-US"/>
              </w:rPr>
              <w:instrText xml:space="preserve"> HYPERLINK "mailto:birendra.ghimire@iis.fraunhofer.de" </w:instrText>
            </w:r>
            <w:r>
              <w:rPr>
                <w:szCs w:val="22"/>
              </w:rPr>
              <w:fldChar w:fldCharType="separate"/>
            </w:r>
            <w:r>
              <w:rPr>
                <w:rStyle w:val="58"/>
                <w:rFonts w:eastAsia="Calibri"/>
                <w:szCs w:val="22"/>
                <w:lang w:val="en-US"/>
              </w:rPr>
              <w:t>birendra.ghimire@iis.fraunhofer.de</w:t>
            </w:r>
            <w:r>
              <w:rPr>
                <w:rStyle w:val="58"/>
                <w:rFonts w:eastAsia="Calibri"/>
                <w:szCs w:val="22"/>
                <w:lang w:val="en-US"/>
              </w:rPr>
              <w:fldChar w:fldCharType="end"/>
            </w:r>
            <w:r>
              <w:rPr>
                <w:rFonts w:eastAsia="Calibri"/>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hint="eastAsia" w:eastAsiaTheme="minorEastAsia"/>
                <w:szCs w:val="22"/>
                <w:lang w:val="en-US"/>
              </w:rPr>
            </w:pPr>
            <w:r>
              <w:rPr>
                <w:rFonts w:hint="eastAsia" w:eastAsiaTheme="minorEastAsia"/>
                <w:szCs w:val="22"/>
                <w:lang w:val="en-US"/>
              </w:rPr>
              <w:t>S</w:t>
            </w:r>
            <w:r>
              <w:rPr>
                <w:rFonts w:eastAsiaTheme="minorEastAsia"/>
                <w:szCs w:val="22"/>
                <w:lang w:val="en-US"/>
              </w:rPr>
              <w:t>preadtrum</w:t>
            </w: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hint="eastAsia" w:eastAsiaTheme="minorEastAsia"/>
                <w:szCs w:val="22"/>
                <w:lang w:val="en-US"/>
              </w:rPr>
            </w:pPr>
            <w:r>
              <w:rPr>
                <w:rFonts w:hint="eastAsia" w:eastAsiaTheme="minorEastAsia"/>
                <w:szCs w:val="22"/>
                <w:lang w:val="en-US"/>
              </w:rPr>
              <w:t>H</w:t>
            </w:r>
            <w:r>
              <w:rPr>
                <w:rFonts w:eastAsiaTheme="minorEastAsia"/>
                <w:szCs w:val="22"/>
                <w:lang w:val="en-US"/>
              </w:rPr>
              <w:t>uifang.Fan (Huifang.fan@unisoc.com)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vAlign w:val="top"/>
          </w:tcPr>
          <w:p>
            <w:pPr>
              <w:pStyle w:val="79"/>
              <w:jc w:val="left"/>
              <w:rPr>
                <w:rFonts w:hint="default" w:ascii="Arial" w:hAnsi="Arial" w:eastAsia="宋体" w:cs="Times New Roman"/>
                <w:sz w:val="18"/>
                <w:szCs w:val="22"/>
                <w:lang w:val="en-US" w:eastAsia="ko-KR" w:bidi="ar-SA"/>
              </w:rPr>
            </w:pPr>
            <w:r>
              <w:rPr>
                <w:rFonts w:hint="eastAsia"/>
                <w:szCs w:val="22"/>
                <w:lang w:val="en-US" w:eastAsia="zh-CN"/>
              </w:rPr>
              <w:t>Xiaomi</w:t>
            </w:r>
          </w:p>
        </w:tc>
        <w:tc>
          <w:tcPr>
            <w:tcW w:w="5794" w:type="dxa"/>
            <w:tcBorders>
              <w:top w:val="single" w:color="auto" w:sz="4" w:space="0"/>
              <w:left w:val="single" w:color="auto" w:sz="4" w:space="0"/>
              <w:bottom w:val="single" w:color="auto" w:sz="4" w:space="0"/>
              <w:right w:val="single" w:color="auto" w:sz="4" w:space="0"/>
            </w:tcBorders>
            <w:vAlign w:val="top"/>
          </w:tcPr>
          <w:p>
            <w:pPr>
              <w:pStyle w:val="79"/>
              <w:jc w:val="left"/>
              <w:rPr>
                <w:rFonts w:hint="default" w:ascii="Arial" w:hAnsi="Arial" w:eastAsia="宋体" w:cs="Times New Roman"/>
                <w:sz w:val="18"/>
                <w:szCs w:val="22"/>
                <w:lang w:val="en-US" w:eastAsia="ko-KR" w:bidi="ar-SA"/>
              </w:rPr>
            </w:pPr>
            <w:r>
              <w:rPr>
                <w:rFonts w:hint="eastAsia"/>
                <w:szCs w:val="22"/>
                <w:lang w:val="en-US"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jc w:val="left"/>
              <w:rPr>
                <w:rFonts w:eastAsia="Calibri"/>
                <w:szCs w:val="22"/>
                <w:lang w:val="en-US" w:eastAsia="ko-KR"/>
              </w:rPr>
            </w:pPr>
          </w:p>
        </w:tc>
      </w:tr>
    </w:tbl>
    <w:p>
      <w:pPr>
        <w:rPr>
          <w:lang w:val="en-US"/>
        </w:rPr>
      </w:pPr>
    </w:p>
    <w:p>
      <w:pPr>
        <w:pStyle w:val="2"/>
        <w:numPr>
          <w:ilvl w:val="0"/>
          <w:numId w:val="14"/>
        </w:numPr>
      </w:pPr>
      <w:r>
        <w:t>Discussions</w:t>
      </w:r>
    </w:p>
    <w:p>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9"/>
              <w:rPr>
                <w:sz w:val="20"/>
                <w:szCs w:val="20"/>
                <w:lang w:val="en-US"/>
              </w:rPr>
            </w:pPr>
            <w:r>
              <w:rPr>
                <w:sz w:val="22"/>
                <w:szCs w:val="22"/>
                <w:lang w:val="en-US"/>
              </w:rPr>
              <w:t>-</w:t>
            </w:r>
            <w:r>
              <w:rPr>
                <w:sz w:val="22"/>
                <w:szCs w:val="22"/>
                <w:lang w:val="en-US"/>
              </w:rPr>
              <w:tab/>
            </w:r>
            <w:r>
              <w:rPr>
                <w:sz w:val="22"/>
                <w:szCs w:val="22"/>
                <w:lang w:val="en-US"/>
              </w:rPr>
              <w:t>A Ranging/SL Positioning layer is introduced on the Target UE/Reference UE/SL Positioning Server UE under Application layer and above AS layer to handle service request received from application layer and to control the Sidelink Positioning and Ranging operation:</w:t>
            </w:r>
          </w:p>
          <w:p>
            <w:pPr>
              <w:pStyle w:val="70"/>
              <w:rPr>
                <w:sz w:val="22"/>
                <w:szCs w:val="22"/>
                <w:lang w:val="en-US"/>
              </w:rPr>
            </w:pPr>
            <w:r>
              <w:rPr>
                <w:sz w:val="22"/>
                <w:szCs w:val="22"/>
                <w:lang w:val="en-US"/>
              </w:rPr>
              <w:t>-</w:t>
            </w:r>
            <w:r>
              <w:rPr>
                <w:sz w:val="22"/>
                <w:szCs w:val="22"/>
                <w:lang w:val="en-US"/>
              </w:rPr>
              <w:tab/>
            </w:r>
            <w:r>
              <w:rPr>
                <w:sz w:val="22"/>
                <w:szCs w:val="22"/>
                <w:lang w:val="en-US"/>
              </w:rPr>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pPr>
              <w:pStyle w:val="70"/>
              <w:rPr>
                <w:sz w:val="22"/>
                <w:szCs w:val="22"/>
                <w:highlight w:val="yellow"/>
                <w:lang w:val="en-US" w:eastAsia="zh-CN"/>
              </w:rPr>
            </w:pPr>
            <w:r>
              <w:rPr>
                <w:sz w:val="22"/>
                <w:szCs w:val="22"/>
                <w:highlight w:val="yellow"/>
                <w:lang w:val="en-US"/>
              </w:rPr>
              <w:t>-</w:t>
            </w:r>
            <w:r>
              <w:rPr>
                <w:sz w:val="22"/>
                <w:szCs w:val="22"/>
                <w:highlight w:val="yellow"/>
                <w:lang w:val="en-US"/>
              </w:rPr>
              <w:tab/>
            </w:r>
            <w:r>
              <w:rPr>
                <w:sz w:val="22"/>
                <w:szCs w:val="22"/>
                <w:highlight w:val="yellow"/>
                <w:lang w:val="en-US"/>
              </w:rPr>
              <w:t xml:space="preserve">The group management can be performed at application layer, and the application layer may </w:t>
            </w:r>
            <w:r>
              <w:rPr>
                <w:sz w:val="22"/>
                <w:szCs w:val="22"/>
                <w:highlight w:val="yellow"/>
                <w:lang w:val="en-US" w:eastAsia="zh-CN"/>
              </w:rPr>
              <w:t>provide group identifier information</w:t>
            </w:r>
            <w:r>
              <w:rPr>
                <w:sz w:val="22"/>
                <w:szCs w:val="22"/>
                <w:highlight w:val="yellow"/>
                <w:lang w:val="en-US"/>
              </w:rPr>
              <w:t xml:space="preserve"> to the Ranging/SL Positioning layer.</w:t>
            </w:r>
            <w:r>
              <w:rPr>
                <w:sz w:val="22"/>
                <w:szCs w:val="22"/>
                <w:highlight w:val="yellow"/>
                <w:lang w:val="en-US" w:eastAsia="zh-CN"/>
              </w:rPr>
              <w:t xml:space="preserve"> </w:t>
            </w:r>
          </w:p>
          <w:p>
            <w:pPr>
              <w:pStyle w:val="66"/>
              <w:rPr>
                <w:sz w:val="22"/>
                <w:szCs w:val="22"/>
                <w:lang w:val="en-US" w:eastAsia="en-GB"/>
              </w:rPr>
            </w:pPr>
            <w:r>
              <w:rPr>
                <w:sz w:val="22"/>
                <w:szCs w:val="22"/>
                <w:highlight w:val="yellow"/>
                <w:lang w:val="en-US" w:eastAsia="zh-CN"/>
              </w:rPr>
              <w:t>NOTE 1:</w:t>
            </w:r>
            <w:r>
              <w:rPr>
                <w:sz w:val="22"/>
                <w:szCs w:val="22"/>
                <w:highlight w:val="yellow"/>
                <w:lang w:val="en-US"/>
              </w:rPr>
              <w:t xml:space="preserve"> Potential group management within RSPP layer is out-of-scope of SA2.</w:t>
            </w:r>
          </w:p>
        </w:tc>
      </w:tr>
    </w:tbl>
    <w:p/>
    <w:p>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pPr>
        <w:rPr>
          <w:lang w:val="en-US" w:eastAsia="zh-CN"/>
        </w:rPr>
      </w:pPr>
      <w:r>
        <w:rPr>
          <w:lang w:val="en-US" w:eastAsia="zh-CN"/>
        </w:rPr>
        <w:t>So rapporteur would like to ask:</w:t>
      </w:r>
    </w:p>
    <w:p>
      <w:pPr>
        <w:pStyle w:val="160"/>
        <w:widowControl/>
        <w:ind w:firstLine="0" w:firstLineChars="0"/>
        <w:rPr>
          <w:rFonts w:hint="default"/>
        </w:rPr>
      </w:pPr>
    </w:p>
    <w:p>
      <w:pPr>
        <w:pStyle w:val="16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Style w:val="51"/>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2"/>
        <w:gridCol w:w="2124"/>
        <w:gridCol w:w="6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110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en-US"/>
              </w:rPr>
            </w:pPr>
            <w:r>
              <w:rPr>
                <w:rFonts w:hint="eastAsia"/>
                <w:lang w:val="en-US"/>
              </w:rPr>
              <w:t>Agree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Ericsson</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Qualcomm</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Partially 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pPr>
              <w:pStyle w:val="79"/>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O</w:t>
            </w:r>
            <w:r>
              <w:t>PPO</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rPr>
              <w:t>CATT</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Not sure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pPr>
              <w:pStyle w:val="79"/>
              <w:spacing w:before="20" w:after="20"/>
              <w:ind w:left="57" w:right="57"/>
              <w:jc w:val="left"/>
              <w:rPr>
                <w:rFonts w:hint="eastAsia"/>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pPr>
              <w:pStyle w:val="79"/>
              <w:spacing w:before="20" w:after="20"/>
              <w:ind w:left="57" w:right="57"/>
              <w:jc w:val="left"/>
              <w:rPr>
                <w:rFonts w:hint="eastAsia"/>
                <w:color w:val="00B0F0"/>
                <w:lang w:val="en-US" w:eastAsia="zh-CN"/>
              </w:rPr>
            </w:pPr>
            <w:r>
              <w:rPr>
                <w:rFonts w:hint="eastAsia"/>
                <w:color w:val="00B0F0"/>
                <w:lang w:val="en-US" w:eastAsia="zh-CN"/>
              </w:rPr>
              <w:t>[Xiaomi] From RAN2 point of view, group positioning can refer to the following agreement:</w:t>
            </w:r>
          </w:p>
          <w:p>
            <w:pPr>
              <w:pStyle w:val="79"/>
              <w:spacing w:before="20" w:after="20"/>
              <w:ind w:left="57" w:right="57"/>
              <w:jc w:val="left"/>
              <w:rPr>
                <w:rFonts w:hint="default"/>
                <w:color w:val="00B0F0"/>
                <w:lang w:val="en-US" w:eastAsia="zh-CN"/>
              </w:rPr>
            </w:pPr>
          </w:p>
          <w:p>
            <w:pPr>
              <w:pStyle w:val="79"/>
              <w:spacing w:before="20" w:after="20"/>
              <w:ind w:left="57" w:right="57"/>
              <w:jc w:val="left"/>
              <w:rPr>
                <w:rFonts w:hint="default"/>
                <w:i/>
                <w:iCs/>
                <w:color w:val="00B0F0"/>
                <w:lang w:val="en-US" w:eastAsia="zh-CN"/>
              </w:rPr>
            </w:pPr>
            <w:r>
              <w:rPr>
                <w:rFonts w:hint="default"/>
                <w:i/>
                <w:iCs/>
                <w:color w:val="00B0F0"/>
                <w:lang w:val="en-US" w:eastAsia="zh-CN"/>
              </w:rPr>
              <w:t>Agreement:</w:t>
            </w:r>
          </w:p>
          <w:p>
            <w:pPr>
              <w:pStyle w:val="79"/>
              <w:spacing w:before="20" w:after="20"/>
              <w:ind w:left="57" w:right="57"/>
              <w:jc w:val="left"/>
              <w:rPr>
                <w:rFonts w:hint="default"/>
                <w:i/>
                <w:iCs/>
                <w:color w:val="00B0F0"/>
                <w:lang w:val="en-US" w:eastAsia="zh-CN"/>
              </w:rPr>
            </w:pPr>
            <w:r>
              <w:rPr>
                <w:rFonts w:hint="default"/>
                <w:i/>
                <w:iCs/>
                <w:color w:val="00B0F0"/>
                <w:lang w:val="en-US" w:eastAsia="zh-CN"/>
              </w:rPr>
              <w:t>From RAN2 perspective, if it is determined to support group positioning, it is feasible to perform at least ranging with the estimate calculation at multiple UEs.</w:t>
            </w:r>
          </w:p>
          <w:p>
            <w:pPr>
              <w:pStyle w:val="79"/>
              <w:spacing w:before="20" w:after="20"/>
              <w:ind w:left="57" w:right="57"/>
              <w:jc w:val="left"/>
              <w:rPr>
                <w:rFonts w:hint="default"/>
                <w:color w:val="00B0F0"/>
                <w:lang w:val="en-US" w:eastAsia="zh-CN"/>
              </w:rPr>
            </w:pPr>
          </w:p>
          <w:p>
            <w:pPr>
              <w:pStyle w:val="79"/>
              <w:spacing w:before="20" w:after="20"/>
              <w:ind w:left="57" w:right="57"/>
              <w:jc w:val="left"/>
              <w:rPr>
                <w:rFonts w:hint="eastAsia"/>
                <w:color w:val="00B0F0"/>
                <w:lang w:val="en-US" w:eastAsia="zh-CN"/>
              </w:rPr>
            </w:pPr>
            <w:r>
              <w:rPr>
                <w:rFonts w:hint="eastAsia"/>
                <w:color w:val="00B0F0"/>
                <w:lang w:val="en-US" w:eastAsia="zh-CN"/>
              </w:rPr>
              <w:t>From SA2 point of view, they haven</w:t>
            </w:r>
            <w:r>
              <w:rPr>
                <w:rFonts w:hint="default"/>
                <w:color w:val="00B0F0"/>
                <w:lang w:val="en-US" w:eastAsia="zh-CN"/>
              </w:rPr>
              <w:t>’</w:t>
            </w:r>
            <w:r>
              <w:rPr>
                <w:rFonts w:hint="eastAsia"/>
                <w:color w:val="00B0F0"/>
                <w:lang w:val="en-US" w:eastAsia="zh-CN"/>
              </w:rPr>
              <w:t>t clearly definine it, but we can infer it from the LS and agreement in SA2:</w:t>
            </w:r>
          </w:p>
          <w:p>
            <w:pPr>
              <w:pStyle w:val="79"/>
              <w:spacing w:before="20" w:after="20"/>
              <w:ind w:left="57" w:right="57"/>
              <w:jc w:val="left"/>
              <w:rPr>
                <w:rFonts w:hint="default"/>
                <w:color w:val="00B0F0"/>
                <w:lang w:val="en-US" w:eastAsia="zh-CN"/>
              </w:rPr>
            </w:pPr>
          </w:p>
          <w:p>
            <w:pPr>
              <w:pStyle w:val="79"/>
              <w:spacing w:before="20" w:after="20"/>
              <w:ind w:left="57" w:right="57"/>
              <w:jc w:val="left"/>
              <w:rPr>
                <w:rFonts w:hint="eastAsia"/>
                <w:lang w:val="en-US"/>
              </w:rPr>
            </w:pPr>
            <w:bookmarkStart w:id="2" w:name="_Hlk118277894"/>
            <w:r>
              <w:rPr>
                <w:rFonts w:ascii="Arial" w:hAnsi="Arial" w:cs="Arial"/>
                <w:i/>
                <w:iCs/>
                <w:color w:val="00B0F0"/>
              </w:rPr>
              <w:t xml:space="preserve">SA2 would like to inform RAN2 that </w:t>
            </w:r>
            <w:bookmarkEnd w:id="2"/>
            <w:r>
              <w:rPr>
                <w:rFonts w:ascii="Arial" w:hAnsi="Arial" w:cs="Arial"/>
                <w:i/>
                <w:iCs/>
                <w:color w:val="00B0F0"/>
              </w:rPr>
              <w:t xml:space="preserve">during the development of the Ranging/SL Positioning support (as in TS 23.586), </w:t>
            </w:r>
            <w:r>
              <w:rPr>
                <w:rFonts w:ascii="Arial" w:hAnsi="Arial" w:cs="Arial"/>
                <w:i/>
                <w:iCs/>
                <w:color w:val="00B0F0"/>
                <w:highlight w:val="yellow"/>
              </w:rPr>
              <w:t>use cases had been identified where multiple Target UEs are involved in the same positioning session. In these cases, it is desirable to allow the Ranging/SL Positioning control to support multiple target UEs, e.g. with broadcast or groupcast support</w:t>
            </w:r>
            <w:r>
              <w:rPr>
                <w:rFonts w:hint="eastAsia" w:ascii="Arial" w:hAnsi="Arial" w:cs="Arial"/>
                <w:i/>
                <w:iCs/>
                <w:color w:val="00B0F0"/>
                <w:highlight w:val="yellow"/>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Lenovo</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See comments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r>
              <w:rPr>
                <w:lang w:val="en-US"/>
              </w:rPr>
              <w:t xml:space="preserve">LG </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pPr>
              <w:pStyle w:val="79"/>
              <w:spacing w:before="20" w:after="20"/>
              <w:ind w:left="57" w:right="57"/>
              <w:jc w:val="left"/>
              <w:rPr>
                <w:lang w:val="en-US"/>
              </w:rPr>
            </w:pPr>
          </w:p>
          <w:p>
            <w:pPr>
              <w:pStyle w:val="79"/>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Fraunhofer</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Comments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pPr>
              <w:pStyle w:val="79"/>
              <w:spacing w:before="20" w:after="20"/>
              <w:ind w:left="57" w:right="57"/>
              <w:jc w:val="left"/>
              <w:rPr>
                <w:lang w:val="en-US"/>
              </w:rPr>
            </w:pPr>
          </w:p>
          <w:p>
            <w:pPr>
              <w:pStyle w:val="79"/>
              <w:spacing w:before="20" w:after="20"/>
              <w:ind w:left="57" w:right="57"/>
              <w:jc w:val="left"/>
              <w:rPr>
                <w:lang w:val="en-US"/>
              </w:rPr>
            </w:pPr>
            <w:r>
              <w:rPr>
                <w:lang w:val="en-US"/>
              </w:rPr>
              <w:t xml:space="preserve">It also needs to be clarified how the group is related to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Intel</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S</w:t>
            </w:r>
            <w:r>
              <w:rPr>
                <w:lang w:val="en-US"/>
              </w:rPr>
              <w:t>preadtrum</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A</w:t>
            </w:r>
            <w:r>
              <w:rPr>
                <w:lang w:val="en-US"/>
              </w:rPr>
              <w:t>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 no impact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2"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w:t>
            </w:r>
          </w:p>
        </w:tc>
        <w:tc>
          <w:tcPr>
            <w:tcW w:w="317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right="57"/>
              <w:jc w:val="left"/>
              <w:rPr>
                <w:rFonts w:hint="eastAsia"/>
                <w:lang w:val="en-US" w:eastAsia="zh-CN"/>
              </w:rPr>
            </w:pPr>
            <w:r>
              <w:rPr>
                <w:rFonts w:hint="eastAsia"/>
                <w:lang w:val="en-US" w:eastAsia="zh-CN"/>
              </w:rPr>
              <w:t>For group positioning, it is related to position a group of UEs. Of course, it is up to upper/application layer to form the group. And group management should also be done in upper/application layer. We are not sure how RAN can perform group management(i.e. adding/deleting member from the group) for the group formed by application layer.</w:t>
            </w:r>
          </w:p>
          <w:p>
            <w:pPr>
              <w:pStyle w:val="79"/>
              <w:spacing w:before="20" w:after="20"/>
              <w:ind w:right="57"/>
              <w:jc w:val="left"/>
              <w:rPr>
                <w:rFonts w:hint="eastAsia"/>
                <w:lang w:val="en-US" w:eastAsia="zh-CN"/>
              </w:rPr>
            </w:pPr>
            <w:r>
              <w:rPr>
                <w:rFonts w:hint="eastAsia"/>
                <w:lang w:val="en-US" w:eastAsia="zh-CN"/>
              </w:rPr>
              <w:t>Besides, we think group positioning may only be applicable to ranging/relative positioning, where the participating UEs can be pre-determined by application layer. There is no need to add member to the group. Even if server UE is needed, server UE doesn</w:t>
            </w:r>
            <w:r>
              <w:rPr>
                <w:rFonts w:hint="default"/>
                <w:lang w:val="en-US" w:eastAsia="zh-CN"/>
              </w:rPr>
              <w:t>’</w:t>
            </w:r>
            <w:r>
              <w:rPr>
                <w:rFonts w:hint="eastAsia"/>
                <w:lang w:val="en-US" w:eastAsia="zh-CN"/>
              </w:rPr>
              <w:t>t have to join the group. It means that a SLPP session can involve a group and also other individual UEs.</w:t>
            </w:r>
          </w:p>
          <w:p>
            <w:pPr>
              <w:pStyle w:val="79"/>
              <w:spacing w:before="20" w:after="20"/>
              <w:ind w:right="57" w:rightChars="0"/>
              <w:jc w:val="left"/>
              <w:rPr>
                <w:rFonts w:hint="default" w:ascii="Arial" w:hAnsi="Arial" w:eastAsia="宋体" w:cs="Times New Roman"/>
                <w:sz w:val="18"/>
                <w:lang w:val="en-GB" w:eastAsia="zh-CN" w:bidi="ar-SA"/>
              </w:rPr>
            </w:pPr>
            <w:r>
              <w:rPr>
                <w:rFonts w:hint="eastAsia"/>
                <w:lang w:val="en-US" w:eastAsia="zh-CN"/>
              </w:rPr>
              <w:t>Thirdly, if a group member is unreachable, it is not necessarily mean that it has to be removed from the group. We do not see harm to keep it in the group.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Style w:val="51"/>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2"/>
        <w:gridCol w:w="2124"/>
        <w:gridCol w:w="6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110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en-US"/>
              </w:rPr>
            </w:pPr>
            <w:r>
              <w:rPr>
                <w:rFonts w:hint="eastAsia"/>
                <w:lang w:val="en-US"/>
              </w:rPr>
              <w:t>Agree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 xml:space="preserve">Ericsson </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However, there should be provision in the Core Network to map the L2ID with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Qualcomm</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O</w:t>
            </w:r>
            <w:r>
              <w:t>PPO</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A</w:t>
            </w:r>
            <w:r>
              <w:t>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rPr>
              <w:t>CATT</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Lenovo</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pPr>
              <w:pStyle w:val="79"/>
              <w:spacing w:before="20" w:after="20"/>
              <w:ind w:left="57" w:right="57"/>
              <w:jc w:val="left"/>
              <w:rPr>
                <w:lang w:val="en-US"/>
              </w:rPr>
            </w:pPr>
            <w:r>
              <w:rPr>
                <w:rFonts w:hint="eastAsia"/>
                <w:color w:val="00B0F0"/>
                <w:lang w:val="en-US" w:eastAsia="zh-CN"/>
              </w:rPr>
              <w:t>[Xiaomi] We agree that destination lD should come from V2X/ProSe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r>
              <w:rPr>
                <w:lang w:val="en-US"/>
              </w:rPr>
              <w:t>LG</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pPr>
              <w:pStyle w:val="79"/>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Fraunhofer</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Intel</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Agree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S</w:t>
            </w:r>
            <w:r>
              <w:rPr>
                <w:lang w:val="en-US"/>
              </w:rPr>
              <w:t>preadtrum</w:t>
            </w: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A</w:t>
            </w:r>
            <w:r>
              <w:rPr>
                <w:lang w:val="en-US"/>
              </w:rPr>
              <w:t>gree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2"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with changes</w:t>
            </w:r>
          </w:p>
        </w:tc>
        <w:tc>
          <w:tcPr>
            <w:tcW w:w="317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right="57"/>
              <w:jc w:val="left"/>
              <w:rPr>
                <w:rFonts w:hint="eastAsia"/>
                <w:lang w:val="en-US" w:eastAsia="zh-CN"/>
              </w:rPr>
            </w:pPr>
            <w:r>
              <w:rPr>
                <w:rFonts w:hint="eastAsia"/>
                <w:lang w:val="en-US" w:eastAsia="zh-CN"/>
              </w:rPr>
              <w:t>Change to the following:</w:t>
            </w:r>
          </w:p>
          <w:p>
            <w:pPr>
              <w:pStyle w:val="79"/>
              <w:spacing w:before="20" w:after="20"/>
              <w:ind w:left="57" w:leftChars="0" w:right="57" w:rightChars="0"/>
              <w:jc w:val="left"/>
              <w:rPr>
                <w:rFonts w:hint="default" w:ascii="Arial" w:hAnsi="Arial" w:eastAsia="宋体" w:cs="Times New Roman"/>
                <w:sz w:val="18"/>
                <w:lang w:val="en-GB" w:eastAsia="zh-CN" w:bidi="ar-SA"/>
              </w:rPr>
            </w:pPr>
            <w:r>
              <w:rPr>
                <w:rFonts w:hint="eastAsia"/>
                <w:lang w:val="en-US" w:eastAsia="zh-CN"/>
              </w:rPr>
              <w:t>T</w:t>
            </w:r>
            <w:r>
              <w:rPr>
                <w:rFonts w:hint="eastAsia"/>
                <w:lang w:val="en-US"/>
              </w:rPr>
              <w:t xml:space="preserve">he group ID </w:t>
            </w:r>
            <w:r>
              <w:rPr>
                <w:rFonts w:hint="eastAsia"/>
                <w:lang w:val="en-US" w:eastAsia="zh-CN"/>
              </w:rPr>
              <w:t xml:space="preserve">is provided by application layer, </w:t>
            </w:r>
            <w:r>
              <w:rPr>
                <w:rFonts w:hint="eastAsia"/>
                <w:lang w:val="en-US"/>
              </w:rPr>
              <w:t xml:space="preserve">L2 Destination IDs is provided by </w:t>
            </w:r>
            <w:r>
              <w:rPr>
                <w:rFonts w:hint="eastAsia"/>
                <w:lang w:val="en-US" w:eastAsia="zh-CN"/>
              </w:rPr>
              <w:t>ProSe/V2X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bl>
    <w:p>
      <w:pPr>
        <w:widowControl w:val="0"/>
        <w:spacing w:after="0"/>
        <w:jc w:val="both"/>
        <w:rPr>
          <w:rFonts w:ascii="Arial" w:hAnsi="Arial" w:cs="Arial"/>
          <w:lang w:val="en-US"/>
        </w:rPr>
      </w:pPr>
    </w:p>
    <w:p>
      <w:pPr>
        <w:rPr>
          <w:lang w:val="en-US" w:eastAsia="zh-CN"/>
        </w:rPr>
      </w:pPr>
    </w:p>
    <w:p>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pPr>
        <w:pStyle w:val="160"/>
        <w:widowControl/>
        <w:numPr>
          <w:ilvl w:val="0"/>
          <w:numId w:val="15"/>
        </w:numPr>
        <w:ind w:firstLineChars="0"/>
        <w:rPr>
          <w:rFonts w:hint="default"/>
          <w:b/>
          <w:bCs/>
        </w:rPr>
      </w:pPr>
      <w:r>
        <w:rPr>
          <w:b/>
          <w:bCs/>
        </w:rPr>
        <w:t>Whether the SLPP would support multiple Target UEs in the same signalling session?</w:t>
      </w:r>
    </w:p>
    <w:tbl>
      <w:tblPr>
        <w:tblStyle w:val="51"/>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5"/>
        <w:gridCol w:w="2122"/>
        <w:gridCol w:w="6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en-US"/>
              </w:rPr>
            </w:pPr>
            <w:r>
              <w:rPr>
                <w:rFonts w:hint="eastAsia"/>
                <w:lang w:val="en-US"/>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Ericsson</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No</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would like to first have solutions with single target only and if there is time left; we can discuss this case.</w:t>
            </w:r>
          </w:p>
          <w:p>
            <w:pPr>
              <w:pStyle w:val="79"/>
              <w:spacing w:before="20" w:after="20"/>
              <w:ind w:left="57" w:right="57"/>
              <w:jc w:val="left"/>
              <w:rPr>
                <w:lang w:val="en-US"/>
              </w:rPr>
            </w:pPr>
          </w:p>
          <w:p>
            <w:pPr>
              <w:pStyle w:val="79"/>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O</w:t>
            </w:r>
            <w:r>
              <w:t>PPO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F</w:t>
            </w:r>
            <w:r>
              <w:t>or now no.</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 xml:space="preserve">Multiple Target UEs are mentioned in TS 23.859: </w:t>
            </w:r>
          </w:p>
          <w:p>
            <w:pPr>
              <w:pStyle w:val="79"/>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pPr>
              <w:pStyle w:val="79"/>
              <w:spacing w:before="20" w:after="20"/>
              <w:ind w:left="57" w:right="57"/>
              <w:jc w:val="left"/>
              <w:rPr>
                <w:lang w:val="en-US"/>
              </w:rPr>
            </w:pPr>
          </w:p>
          <w:p>
            <w:pPr>
              <w:pStyle w:val="79"/>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Yes , but</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see group positioning can be operated in a single SLPP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Not yet</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S</w:t>
            </w:r>
            <w:r>
              <w:rPr>
                <w:lang w:val="en-US"/>
              </w:rPr>
              <w:t>preadtrum</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For now no </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also would like to first have solutions for a single target UE. And if there is time lift, we can discuss this case.</w:t>
            </w:r>
          </w:p>
          <w:p>
            <w:pPr>
              <w:pStyle w:val="79"/>
              <w:spacing w:before="20" w:after="20"/>
              <w:ind w:left="57" w:right="57"/>
              <w:jc w:val="left"/>
              <w:rPr>
                <w:lang w:val="en-US"/>
              </w:rPr>
            </w:pPr>
          </w:p>
          <w:p>
            <w:pPr>
              <w:pStyle w:val="79"/>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1"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 with changes</w:t>
            </w:r>
          </w:p>
        </w:tc>
        <w:tc>
          <w:tcPr>
            <w:tcW w:w="317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right="57"/>
              <w:jc w:val="left"/>
              <w:rPr>
                <w:rFonts w:hint="eastAsia"/>
                <w:lang w:val="en-US" w:eastAsia="zh-CN"/>
              </w:rPr>
            </w:pPr>
            <w:r>
              <w:rPr>
                <w:rFonts w:hint="eastAsia"/>
                <w:lang w:val="en-US" w:eastAsia="zh-CN"/>
              </w:rPr>
              <w:t>We can say that:</w:t>
            </w:r>
          </w:p>
          <w:p>
            <w:pPr>
              <w:pStyle w:val="79"/>
              <w:spacing w:before="20" w:after="20"/>
              <w:ind w:left="57" w:leftChars="0" w:right="57" w:rightChars="0"/>
              <w:jc w:val="left"/>
              <w:rPr>
                <w:rFonts w:hint="default" w:ascii="Arial" w:hAnsi="Arial" w:eastAsia="宋体" w:cs="Times New Roman"/>
                <w:sz w:val="18"/>
                <w:lang w:val="en-GB" w:eastAsia="zh-CN" w:bidi="ar-SA"/>
              </w:rPr>
            </w:pPr>
            <w:r>
              <w:rPr>
                <w:rFonts w:hint="eastAsia"/>
                <w:lang w:val="en-US" w:eastAsia="zh-CN"/>
              </w:rPr>
              <w:t>From RAN2 point of view, it is technically feasible to support multiple target UEs in one SLPP session, but RAN2 requires further discussion to decide whether to support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bl>
    <w:p>
      <w:pPr>
        <w:pStyle w:val="160"/>
        <w:widowControl/>
        <w:ind w:firstLine="0" w:firstLineChars="0"/>
        <w:rPr>
          <w:rFonts w:hint="default"/>
        </w:rPr>
      </w:pPr>
    </w:p>
    <w:p>
      <w:pPr>
        <w:pStyle w:val="16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pPr>
        <w:widowControl w:val="0"/>
        <w:spacing w:after="0"/>
        <w:jc w:val="center"/>
        <w:rPr>
          <w:rFonts w:ascii="等线" w:hAnsi="等线" w:eastAsia="等线"/>
          <w:kern w:val="2"/>
          <w:sz w:val="21"/>
          <w:szCs w:val="22"/>
          <w:lang w:val="en-US" w:eastAsia="zh-CN" w:bidi="ar"/>
        </w:rPr>
      </w:pPr>
      <w:r>
        <w:object>
          <v:shape id="_x0000_i1025" o:spt="75" type="#_x0000_t75" style="height:281.5pt;width:294.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widowControl w:val="0"/>
        <w:spacing w:after="0"/>
        <w:jc w:val="both"/>
        <w:rPr>
          <w:rFonts w:ascii="等线" w:hAnsi="等线" w:eastAsia="等线"/>
          <w:kern w:val="2"/>
          <w:sz w:val="21"/>
          <w:szCs w:val="22"/>
          <w:lang w:val="en-US" w:eastAsia="zh-CN" w:bidi="ar"/>
        </w:rPr>
      </w:pPr>
    </w:p>
    <w:tbl>
      <w:tblPr>
        <w:tblStyle w:val="51"/>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5"/>
        <w:gridCol w:w="2122"/>
        <w:gridCol w:w="6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en-US"/>
              </w:rPr>
            </w:pPr>
            <w:r>
              <w:rPr>
                <w:rFonts w:hint="eastAsia"/>
                <w:lang w:val="en-US"/>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pPr>
              <w:pStyle w:val="79"/>
              <w:spacing w:before="20" w:after="20"/>
              <w:ind w:left="57" w:right="57"/>
              <w:jc w:val="left"/>
              <w:rPr>
                <w:lang w:val="en-US"/>
              </w:rPr>
            </w:pPr>
            <w:r>
              <w:rPr>
                <w:lang w:val="en-US"/>
              </w:rPr>
              <w:drawing>
                <wp:inline distT="0" distB="0" distL="0" distR="0">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2136045" cy="2299851"/>
                          </a:xfrm>
                          <a:prstGeom prst="rect">
                            <a:avLst/>
                          </a:prstGeom>
                        </pic:spPr>
                      </pic:pic>
                    </a:graphicData>
                  </a:graphic>
                </wp:inline>
              </w:drawing>
            </w:r>
          </w:p>
          <w:p>
            <w:pPr>
              <w:pStyle w:val="79"/>
              <w:spacing w:before="20" w:after="20"/>
              <w:ind w:left="57" w:right="57"/>
              <w:jc w:val="left"/>
              <w:rPr>
                <w:lang w:val="en-US"/>
              </w:rPr>
            </w:pPr>
            <w:r>
              <w:rPr>
                <w:rFonts w:hint="eastAsia"/>
                <w:color w:val="00B0F0"/>
                <w:lang w:val="en-US" w:eastAsia="zh-CN"/>
              </w:rPr>
              <w:t>[Xiaomi] RAN2 agreement may be needed for centralized calculation for group positioning, currently, there is only agreement for distributed calculation.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O</w:t>
            </w:r>
            <w:r>
              <w:rPr>
                <w:lang w:val="en-US"/>
              </w:rPr>
              <w:t>PPO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pPr>
              <w:pStyle w:val="79"/>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postpone</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RAN2 can discuss this issue based on the conclusion of Q1 and the progress of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Yes but</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pPr>
              <w:pStyle w:val="79"/>
              <w:spacing w:before="20" w:after="20"/>
              <w:ind w:left="57" w:right="57"/>
              <w:jc w:val="left"/>
              <w:rPr>
                <w:lang w:val="en-US"/>
              </w:rPr>
            </w:pPr>
          </w:p>
          <w:p>
            <w:pPr>
              <w:pStyle w:val="79"/>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pPr>
              <w:pStyle w:val="79"/>
              <w:spacing w:before="20" w:after="20"/>
              <w:ind w:left="57" w:right="57"/>
              <w:jc w:val="left"/>
              <w:rPr>
                <w:lang w:val="en-US"/>
              </w:rPr>
            </w:pPr>
          </w:p>
          <w:p>
            <w:pPr>
              <w:pStyle w:val="79"/>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r>
              <w:rPr>
                <w:lang w:val="en-GB"/>
              </w:rPr>
              <w:t>Intel</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 with comments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pPr>
              <w:pStyle w:val="79"/>
              <w:spacing w:before="20" w:after="20"/>
              <w:ind w:left="57" w:right="57"/>
              <w:jc w:val="left"/>
              <w:rPr>
                <w:lang w:val="en-US"/>
              </w:rPr>
            </w:pPr>
            <w:r>
              <w:rPr>
                <w:rFonts w:hint="eastAsia"/>
                <w:color w:val="00B0F0"/>
                <w:lang w:val="en-US" w:eastAsia="zh-CN"/>
              </w:rPr>
              <w:t>[Xiaomi] we may have different understanding on this, to support group positioning in one session, it doesn</w:t>
            </w:r>
            <w:r>
              <w:rPr>
                <w:rFonts w:hint="default"/>
                <w:color w:val="00B0F0"/>
                <w:lang w:val="en-US" w:eastAsia="zh-CN"/>
              </w:rPr>
              <w:t>’</w:t>
            </w:r>
            <w:r>
              <w:rPr>
                <w:rFonts w:hint="eastAsia"/>
                <w:color w:val="00B0F0"/>
                <w:lang w:val="en-US" w:eastAsia="zh-CN"/>
              </w:rPr>
              <w:t>t necessarily mean that all the messages have to be groupcast. It also doesn</w:t>
            </w:r>
            <w:r>
              <w:rPr>
                <w:rFonts w:hint="default"/>
                <w:color w:val="00B0F0"/>
                <w:lang w:val="en-US" w:eastAsia="zh-CN"/>
              </w:rPr>
              <w:t>’</w:t>
            </w:r>
            <w:r>
              <w:rPr>
                <w:rFonts w:hint="eastAsia"/>
                <w:color w:val="00B0F0"/>
                <w:lang w:val="en-US" w:eastAsia="zh-CN"/>
              </w:rPr>
              <w:t>t mean that all UEs in the session have to be the group member.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1"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 with comments</w:t>
            </w:r>
          </w:p>
        </w:tc>
        <w:tc>
          <w:tcPr>
            <w:tcW w:w="317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right="57"/>
              <w:jc w:val="left"/>
              <w:rPr>
                <w:rFonts w:hint="eastAsia"/>
                <w:lang w:val="en-US" w:eastAsia="zh-CN"/>
              </w:rPr>
            </w:pPr>
            <w:r>
              <w:rPr>
                <w:rFonts w:hint="eastAsia"/>
                <w:lang w:val="en-US" w:eastAsia="zh-CN"/>
              </w:rPr>
              <w:t>We are ok to adopt this figure as baseline but with the following changes or clarifications:</w:t>
            </w:r>
          </w:p>
          <w:p>
            <w:pPr>
              <w:pStyle w:val="79"/>
              <w:spacing w:before="20" w:after="20"/>
              <w:ind w:left="57" w:right="57"/>
              <w:jc w:val="left"/>
              <w:rPr>
                <w:rFonts w:hint="eastAsia"/>
                <w:lang w:val="en-US" w:eastAsia="zh-CN"/>
              </w:rPr>
            </w:pPr>
            <w:r>
              <w:rPr>
                <w:rFonts w:hint="eastAsia"/>
                <w:lang w:val="en-US" w:eastAsia="zh-CN"/>
              </w:rPr>
              <w:t>Firstly: We should clarify that this is only for ranging/relative positioning, it is FFS whether it is applicable to absolute positioning.</w:t>
            </w:r>
          </w:p>
          <w:p>
            <w:pPr>
              <w:pStyle w:val="79"/>
              <w:spacing w:before="20" w:after="20"/>
              <w:ind w:left="57" w:right="57"/>
              <w:jc w:val="left"/>
              <w:rPr>
                <w:rFonts w:hint="default"/>
                <w:lang w:val="en-US" w:eastAsia="zh-CN"/>
              </w:rPr>
            </w:pPr>
            <w:r>
              <w:rPr>
                <w:rFonts w:hint="eastAsia"/>
                <w:lang w:val="en-US" w:eastAsia="zh-CN"/>
              </w:rPr>
              <w:t xml:space="preserve">Secondly, a FFS should be added:  It is FFS whether other UEs aside from the group member can join in the session or not.  </w:t>
            </w:r>
          </w:p>
          <w:p>
            <w:pPr>
              <w:pStyle w:val="79"/>
              <w:spacing w:before="20" w:after="20"/>
              <w:ind w:left="57" w:right="57"/>
              <w:jc w:val="left"/>
              <w:rPr>
                <w:rFonts w:hint="eastAsia"/>
                <w:lang w:val="en-US" w:eastAsia="zh-CN"/>
              </w:rPr>
            </w:pPr>
            <w:r>
              <w:rPr>
                <w:rFonts w:hint="eastAsia"/>
                <w:lang w:val="en-US" w:eastAsia="zh-CN"/>
              </w:rPr>
              <w:t xml:space="preserve">Thirdly, If Q1 is agreed, then group management should be removed from the figure. </w:t>
            </w:r>
          </w:p>
          <w:p>
            <w:pPr>
              <w:pStyle w:val="79"/>
              <w:spacing w:before="20" w:after="20"/>
              <w:ind w:left="57" w:right="57"/>
              <w:jc w:val="left"/>
              <w:rPr>
                <w:rFonts w:hint="eastAsia"/>
                <w:lang w:val="en-US" w:eastAsia="zh-CN"/>
              </w:rPr>
            </w:pPr>
            <w:r>
              <w:rPr>
                <w:rFonts w:hint="eastAsia"/>
                <w:lang w:val="en-US" w:eastAsia="zh-CN"/>
              </w:rPr>
              <w:t xml:space="preserve">Fourthly, we need to change </w:t>
            </w:r>
            <w:r>
              <w:rPr>
                <w:rFonts w:hint="default"/>
                <w:lang w:val="en-US" w:eastAsia="zh-CN"/>
              </w:rPr>
              <w:t>“</w:t>
            </w:r>
            <w:r>
              <w:rPr>
                <w:rFonts w:hint="eastAsia"/>
                <w:lang w:val="en-US" w:eastAsia="zh-CN"/>
              </w:rPr>
              <w:t>SLPP/RSPP discovery</w:t>
            </w:r>
            <w:r>
              <w:rPr>
                <w:rFonts w:hint="default"/>
                <w:lang w:val="en-US" w:eastAsia="zh-CN"/>
              </w:rPr>
              <w:t>”</w:t>
            </w:r>
            <w:r>
              <w:rPr>
                <w:rFonts w:hint="eastAsia"/>
                <w:lang w:val="en-US" w:eastAsia="zh-CN"/>
              </w:rPr>
              <w:t xml:space="preserve"> to </w:t>
            </w:r>
            <w:r>
              <w:rPr>
                <w:rFonts w:hint="default"/>
                <w:lang w:val="en-US" w:eastAsia="zh-CN"/>
              </w:rPr>
              <w:t>“</w:t>
            </w:r>
            <w:r>
              <w:rPr>
                <w:rFonts w:hint="eastAsia"/>
                <w:lang w:val="en-US" w:eastAsia="zh-CN"/>
              </w:rPr>
              <w:t>discovery</w:t>
            </w:r>
            <w:r>
              <w:rPr>
                <w:rFonts w:hint="default"/>
                <w:lang w:val="en-US" w:eastAsia="zh-CN"/>
              </w:rPr>
              <w:t>”</w:t>
            </w:r>
            <w:r>
              <w:rPr>
                <w:rFonts w:hint="eastAsia"/>
                <w:lang w:val="en-US" w:eastAsia="zh-CN"/>
              </w:rPr>
              <w:t xml:space="preserve"> since the discovery may not be done at SLPP layer. </w:t>
            </w:r>
          </w:p>
          <w:p>
            <w:pPr>
              <w:pStyle w:val="79"/>
              <w:spacing w:before="20" w:after="20"/>
              <w:ind w:right="57"/>
              <w:jc w:val="left"/>
              <w:rPr>
                <w:rFonts w:hint="eastAsia"/>
                <w:lang w:val="en-US" w:eastAsia="zh-CN"/>
              </w:rPr>
            </w:pPr>
            <w:r>
              <w:rPr>
                <w:rFonts w:hint="eastAsia"/>
                <w:lang w:val="en-US" w:eastAsia="zh-CN"/>
              </w:rPr>
              <w:t>Fifthly, remove RSPP from the figure, since we agree to use SLPP.</w:t>
            </w:r>
          </w:p>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 xml:space="preserve">Lastly, we share the same view as OPPO that it seems all the UEs in the figure are target UEs. In our understaning, group positioning may only be applicable to ranging/relative positioning, not for absolute positioning. For ranging/relative postioning, at least one UE(initiator) should not be the target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widowControl w:val="0"/>
        <w:spacing w:after="0"/>
        <w:jc w:val="both"/>
        <w:rPr>
          <w:rFonts w:ascii="等线" w:hAnsi="等线" w:eastAsia="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pPr>
        <w:pStyle w:val="16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Style w:val="51"/>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5"/>
        <w:gridCol w:w="2122"/>
        <w:gridCol w:w="61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en-US"/>
              </w:rPr>
            </w:pPr>
            <w:r>
              <w:rPr>
                <w:rFonts w:hint="eastAsia"/>
                <w:lang w:val="en-US"/>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sv-SE"/>
              </w:rPr>
            </w:pPr>
            <w:r>
              <w:rPr>
                <w:lang w:val="sv-SE"/>
              </w:rPr>
              <w:t>Ericsson</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Down prioritize this scenario for now</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p>
            <w:pPr>
              <w:pStyle w:val="79"/>
              <w:spacing w:before="20" w:after="20"/>
              <w:ind w:left="57" w:right="57"/>
              <w:jc w:val="left"/>
              <w:rPr>
                <w:lang w:val="en-US"/>
              </w:rPr>
            </w:pPr>
            <w:r>
              <w:rPr>
                <w:rFonts w:hint="eastAsia"/>
                <w:color w:val="00B0F0"/>
                <w:lang w:val="en-US" w:eastAsia="zh-CN"/>
              </w:rPr>
              <w:t>[Xiaomi] This is not to say that RAN2 will support this scenario, but only to provide views on the technical feasibility.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Qualcomm</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r>
              <w:rPr>
                <w:rFonts w:hint="eastAsia"/>
              </w:rPr>
              <w:t>O</w:t>
            </w:r>
            <w:r>
              <w:t>PPO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CATT</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Lenovo</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GB"/>
              </w:rPr>
              <w:t>No</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pPr>
              <w:pStyle w:val="79"/>
              <w:spacing w:before="20" w:after="20"/>
              <w:ind w:left="57" w:right="57"/>
              <w:jc w:val="left"/>
              <w:rPr>
                <w:lang w:val="en-US"/>
              </w:rPr>
            </w:pPr>
            <w:r>
              <w:rPr>
                <w:rFonts w:hint="eastAsia"/>
                <w:color w:val="00B0F0"/>
                <w:lang w:val="en-US" w:eastAsia="zh-CN"/>
              </w:rPr>
              <w:t>[Xiaomi] For relative positioning/ranging, location estimate is regarding the distance/anchor between two UEs. So, the location estimate will include the two UE IDs.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GB"/>
              </w:rPr>
            </w:pPr>
            <w:r>
              <w:rPr>
                <w:lang w:val="en-US"/>
              </w:rPr>
              <w:t>LG</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Fraunhofer</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No</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prefer that a session is related to one target UE. With this approach, there can be multiple sessions for each target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Intel</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Yes pending SA3 design</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sv-SE"/>
              </w:rPr>
              <w:t>Spreadtrum</w:t>
            </w: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Down prioritize this scenario for now</w:t>
            </w: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r>
              <w:rPr>
                <w:lang w:val="en-US"/>
              </w:rPr>
              <w:t>We also would like to first have solutions for a single target UE. And if there is time lift, we can discuss multiple target UEs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Xiaomi</w:t>
            </w:r>
          </w:p>
        </w:tc>
        <w:tc>
          <w:tcPr>
            <w:tcW w:w="1101"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eastAsia" w:ascii="Arial" w:hAnsi="Arial" w:eastAsia="宋体" w:cs="Times New Roman"/>
                <w:sz w:val="18"/>
                <w:lang w:val="en-US" w:eastAsia="zh-CN" w:bidi="ar-SA"/>
              </w:rPr>
            </w:pPr>
            <w:r>
              <w:rPr>
                <w:rFonts w:hint="eastAsia"/>
                <w:lang w:val="en-US" w:eastAsia="zh-CN"/>
              </w:rPr>
              <w:t>Yes</w:t>
            </w:r>
          </w:p>
        </w:tc>
        <w:tc>
          <w:tcPr>
            <w:tcW w:w="3174" w:type="pct"/>
            <w:tcBorders>
              <w:top w:val="single" w:color="auto" w:sz="4" w:space="0"/>
              <w:left w:val="single" w:color="auto" w:sz="4" w:space="0"/>
              <w:bottom w:val="single" w:color="auto" w:sz="4" w:space="0"/>
              <w:right w:val="single" w:color="auto" w:sz="4" w:space="0"/>
            </w:tcBorders>
            <w:vAlign w:val="top"/>
          </w:tcPr>
          <w:p>
            <w:pPr>
              <w:pStyle w:val="7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bookmarkStart w:id="3" w:name="_GoBack"/>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72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val="en-US"/>
              </w:rPr>
            </w:pPr>
          </w:p>
        </w:tc>
      </w:tr>
    </w:tbl>
    <w:p>
      <w:pPr>
        <w:widowControl w:val="0"/>
        <w:spacing w:after="0"/>
        <w:jc w:val="both"/>
        <w:rPr>
          <w:rFonts w:ascii="等线" w:hAnsi="等线" w:eastAsia="等线"/>
          <w:kern w:val="2"/>
          <w:sz w:val="21"/>
          <w:szCs w:val="22"/>
          <w:lang w:val="en-US" w:eastAsia="zh-CN" w:bidi="ar"/>
        </w:rPr>
      </w:pPr>
    </w:p>
    <w:p>
      <w:pPr>
        <w:rPr>
          <w:lang w:val="en-US" w:eastAsia="zh-CN"/>
        </w:rPr>
      </w:pPr>
    </w:p>
    <w:p>
      <w:pPr>
        <w:pStyle w:val="2"/>
        <w:numPr>
          <w:ilvl w:val="0"/>
          <w:numId w:val="14"/>
        </w:numPr>
      </w:pPr>
      <w:r>
        <w:rPr>
          <w:rFonts w:hint="eastAsia"/>
          <w:lang w:val="en-US" w:eastAsia="zh-CN"/>
        </w:rPr>
        <w:t>Reference</w:t>
      </w:r>
    </w:p>
    <w:p>
      <w:pPr>
        <w:pStyle w:val="3"/>
        <w:numPr>
          <w:ilvl w:val="0"/>
          <w:numId w:val="16"/>
        </w:numPr>
        <w:ind w:left="0" w:firstLine="0"/>
        <w:rPr>
          <w:rFonts w:ascii="Times New Roman" w:hAnsi="Times New Roman"/>
          <w:sz w:val="20"/>
          <w:lang w:val="en-US" w:eastAsia="zh-CN"/>
        </w:rPr>
      </w:pPr>
      <w:r>
        <w:rPr>
          <w:rFonts w:hint="eastAsia" w:ascii="Times New Roman" w:hAnsi="Times New Roman"/>
          <w:sz w:val="20"/>
          <w:lang w:val="en-US" w:eastAsia="zh-CN"/>
        </w:rPr>
        <w:t xml:space="preserve"> R2-2302448</w:t>
      </w:r>
      <w:r>
        <w:rPr>
          <w:rFonts w:hint="eastAsia" w:ascii="Times New Roman" w:hAnsi="Times New Roman"/>
          <w:sz w:val="20"/>
          <w:lang w:val="en-US" w:eastAsia="zh-CN"/>
        </w:rPr>
        <w:tab/>
      </w:r>
      <w:r>
        <w:rPr>
          <w:rFonts w:hint="eastAsia" w:ascii="Times New Roman" w:hAnsi="Times New Roman"/>
          <w:sz w:val="20"/>
          <w:lang w:val="en-US" w:eastAsia="zh-CN"/>
        </w:rPr>
        <w:t>LS on support of multiple Target UEs (S2-2303837; contact: Qualcomm)</w:t>
      </w:r>
      <w:r>
        <w:rPr>
          <w:rFonts w:hint="eastAsia" w:ascii="Times New Roman" w:hAnsi="Times New Roman"/>
          <w:sz w:val="20"/>
          <w:lang w:val="en-US" w:eastAsia="zh-CN"/>
        </w:rPr>
        <w:tab/>
      </w:r>
      <w:r>
        <w:rPr>
          <w:rFonts w:hint="eastAsia" w:ascii="Times New Roman" w:hAnsi="Times New Roman"/>
          <w:sz w:val="20"/>
          <w:lang w:val="en-US" w:eastAsia="zh-CN"/>
        </w:rPr>
        <w:t>SA2</w:t>
      </w:r>
      <w:r>
        <w:rPr>
          <w:rFonts w:hint="eastAsia" w:ascii="Times New Roman" w:hAnsi="Times New Roman"/>
          <w:sz w:val="20"/>
          <w:lang w:val="en-US" w:eastAsia="zh-CN"/>
        </w:rPr>
        <w:tab/>
      </w:r>
      <w:r>
        <w:rPr>
          <w:rFonts w:hint="eastAsia" w:ascii="Times New Roman" w:hAnsi="Times New Roman"/>
          <w:sz w:val="20"/>
          <w:lang w:val="en-US" w:eastAsia="zh-CN"/>
        </w:rPr>
        <w:t>LS in</w:t>
      </w:r>
      <w:r>
        <w:rPr>
          <w:rFonts w:hint="eastAsia" w:ascii="Times New Roman" w:hAnsi="Times New Roman"/>
          <w:sz w:val="20"/>
          <w:lang w:val="en-US" w:eastAsia="zh-CN"/>
        </w:rPr>
        <w:tab/>
      </w:r>
      <w:r>
        <w:rPr>
          <w:rFonts w:hint="eastAsia" w:ascii="Times New Roman" w:hAnsi="Times New Roman"/>
          <w:sz w:val="20"/>
          <w:lang w:val="en-US" w:eastAsia="zh-CN"/>
        </w:rPr>
        <w:t>Rel-18</w:t>
      </w:r>
      <w:r>
        <w:rPr>
          <w:rFonts w:hint="eastAsia" w:ascii="Times New Roman" w:hAnsi="Times New Roman"/>
          <w:sz w:val="20"/>
          <w:lang w:val="en-US" w:eastAsia="zh-CN"/>
        </w:rPr>
        <w:tab/>
      </w:r>
      <w:r>
        <w:rPr>
          <w:rFonts w:hint="eastAsia" w:ascii="Times New Roman" w:hAnsi="Times New Roman"/>
          <w:sz w:val="20"/>
          <w:lang w:val="en-US" w:eastAsia="zh-CN"/>
        </w:rPr>
        <w:t>Ranging_SL</w:t>
      </w:r>
      <w:r>
        <w:rPr>
          <w:rFonts w:hint="eastAsia" w:ascii="Times New Roman" w:hAnsi="Times New Roman"/>
          <w:sz w:val="20"/>
          <w:lang w:val="en-US" w:eastAsia="zh-CN"/>
        </w:rPr>
        <w:tab/>
      </w:r>
      <w:r>
        <w:rPr>
          <w:rFonts w:hint="eastAsia" w:ascii="Times New Roman" w:hAnsi="Times New Roman"/>
          <w:sz w:val="20"/>
          <w:lang w:val="en-US" w:eastAsia="zh-CN"/>
        </w:rPr>
        <w:t>To:RAN2</w:t>
      </w:r>
      <w:r>
        <w:rPr>
          <w:rFonts w:hint="eastAsia" w:ascii="Times New Roman" w:hAnsi="Times New Roman"/>
          <w:sz w:val="20"/>
          <w:lang w:val="en-US" w:eastAsia="zh-CN"/>
        </w:rPr>
        <w:tab/>
      </w:r>
      <w:r>
        <w:rPr>
          <w:rFonts w:hint="eastAsia" w:ascii="Times New Roman" w:hAnsi="Times New Roman"/>
          <w:sz w:val="20"/>
          <w:lang w:val="en-US" w:eastAsia="zh-CN"/>
        </w:rPr>
        <w:t>Cc:RAN1</w:t>
      </w:r>
    </w:p>
    <w:p>
      <w:pPr>
        <w:numPr>
          <w:ilvl w:val="0"/>
          <w:numId w:val="16"/>
        </w:numPr>
        <w:rPr>
          <w:lang w:val="en-US" w:eastAsia="zh-CN"/>
        </w:rPr>
      </w:pPr>
      <w:r>
        <w:rPr>
          <w:lang w:val="en-US" w:eastAsia="zh-CN"/>
        </w:rPr>
        <w:t>R2-2302503</w:t>
      </w:r>
      <w:r>
        <w:rPr>
          <w:lang w:val="en-US" w:eastAsia="zh-CN"/>
        </w:rPr>
        <w:tab/>
      </w:r>
      <w:r>
        <w:rPr>
          <w:lang w:val="en-US" w:eastAsia="zh-CN"/>
        </w:rPr>
        <w:t>Discussion on sidelink positioning</w:t>
      </w:r>
      <w:r>
        <w:rPr>
          <w:lang w:val="en-US" w:eastAsia="zh-CN"/>
        </w:rPr>
        <w:tab/>
      </w:r>
      <w:r>
        <w:rPr>
          <w:lang w:val="en-US" w:eastAsia="zh-CN"/>
        </w:rPr>
        <w:t>CATT</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R2-2302740</w:t>
      </w:r>
      <w:r>
        <w:rPr>
          <w:lang w:val="en-US" w:eastAsia="zh-CN"/>
        </w:rPr>
        <w:tab/>
      </w:r>
      <w:r>
        <w:rPr>
          <w:lang w:val="en-US" w:eastAsia="zh-CN"/>
        </w:rPr>
        <w:t>Further considerations on sidelink positioning</w:t>
      </w:r>
      <w:r>
        <w:rPr>
          <w:lang w:val="en-US" w:eastAsia="zh-CN"/>
        </w:rPr>
        <w:tab/>
      </w:r>
      <w:r>
        <w:rPr>
          <w:lang w:val="en-US" w:eastAsia="zh-CN"/>
        </w:rPr>
        <w:t>Intel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R2-2302958</w:t>
      </w:r>
      <w:r>
        <w:rPr>
          <w:lang w:val="en-US" w:eastAsia="zh-CN"/>
        </w:rPr>
        <w:tab/>
      </w:r>
      <w:r>
        <w:rPr>
          <w:lang w:val="en-US" w:eastAsia="zh-CN"/>
        </w:rPr>
        <w:t>Discussion on sidelink positioning</w:t>
      </w:r>
      <w:r>
        <w:rPr>
          <w:lang w:val="en-US" w:eastAsia="zh-CN"/>
        </w:rPr>
        <w:tab/>
      </w:r>
      <w:r>
        <w:rPr>
          <w:lang w:val="en-US" w:eastAsia="zh-CN"/>
        </w:rPr>
        <w:t>vivo</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FS_NR_pos_enh2</w:t>
      </w:r>
    </w:p>
    <w:p>
      <w:pPr>
        <w:numPr>
          <w:ilvl w:val="0"/>
          <w:numId w:val="16"/>
        </w:numPr>
        <w:rPr>
          <w:lang w:val="en-US" w:eastAsia="zh-CN"/>
        </w:rPr>
      </w:pPr>
      <w:r>
        <w:rPr>
          <w:lang w:val="en-US" w:eastAsia="zh-CN"/>
        </w:rPr>
        <w:t>R2-2303497</w:t>
      </w:r>
      <w:r>
        <w:rPr>
          <w:lang w:val="en-US" w:eastAsia="zh-CN"/>
        </w:rPr>
        <w:tab/>
      </w:r>
      <w:r>
        <w:rPr>
          <w:lang w:val="en-US" w:eastAsia="zh-CN"/>
        </w:rPr>
        <w:t>Discussion on sidelink positioning</w:t>
      </w:r>
      <w:r>
        <w:rPr>
          <w:lang w:val="en-US" w:eastAsia="zh-CN"/>
        </w:rPr>
        <w:tab/>
      </w:r>
      <w:r>
        <w:rPr>
          <w:lang w:val="en-US" w:eastAsia="zh-CN"/>
        </w:rPr>
        <w:t>ZTE Corporation</w:t>
      </w:r>
      <w:r>
        <w:rPr>
          <w:lang w:val="en-US" w:eastAsia="zh-CN"/>
        </w:rPr>
        <w:tab/>
      </w:r>
      <w:r>
        <w:rPr>
          <w:lang w:val="en-US" w:eastAsia="zh-CN"/>
        </w:rPr>
        <w:t>discussion</w:t>
      </w:r>
      <w:r>
        <w:rPr>
          <w:lang w:val="en-US" w:eastAsia="zh-CN"/>
        </w:rPr>
        <w:tab/>
      </w:r>
      <w:r>
        <w:rPr>
          <w:lang w:val="en-US" w:eastAsia="zh-CN"/>
        </w:rPr>
        <w:t>Rel-18</w:t>
      </w:r>
      <w:r>
        <w:rPr>
          <w:lang w:val="en-US" w:eastAsia="zh-CN"/>
        </w:rPr>
        <w:tab/>
      </w:r>
      <w:r>
        <w:rPr>
          <w:lang w:val="en-US" w:eastAsia="zh-CN"/>
        </w:rPr>
        <w:t>NR_pos_enh2</w:t>
      </w:r>
    </w:p>
    <w:p>
      <w:pPr>
        <w:numPr>
          <w:ilvl w:val="0"/>
          <w:numId w:val="16"/>
        </w:numPr>
        <w:rPr>
          <w:lang w:val="en-US" w:eastAsia="zh-CN"/>
        </w:rPr>
      </w:pPr>
      <w:r>
        <w:rPr>
          <w:lang w:val="en-US" w:eastAsia="zh-CN"/>
        </w:rPr>
        <w:t>R2-2303591</w:t>
      </w:r>
      <w:r>
        <w:rPr>
          <w:lang w:val="en-US" w:eastAsia="zh-CN"/>
        </w:rPr>
        <w:tab/>
      </w:r>
      <w:r>
        <w:rPr>
          <w:lang w:val="en-US" w:eastAsia="zh-CN"/>
        </w:rPr>
        <w:t>Sidelink Positioning Protocol (SLPP) Signaling and Procedures</w:t>
      </w:r>
      <w:r>
        <w:rPr>
          <w:lang w:val="en-US" w:eastAsia="zh-CN"/>
        </w:rPr>
        <w:tab/>
      </w:r>
      <w:r>
        <w:rPr>
          <w:lang w:val="en-US" w:eastAsia="zh-CN"/>
        </w:rPr>
        <w:t>Qualcomm Incorporated</w:t>
      </w:r>
      <w:r>
        <w:rPr>
          <w:lang w:val="en-US" w:eastAsia="zh-CN"/>
        </w:rPr>
        <w:tab/>
      </w:r>
      <w:r>
        <w:rPr>
          <w:lang w:val="en-US" w:eastAsia="zh-CN"/>
        </w:rPr>
        <w:t>discussion</w:t>
      </w:r>
    </w:p>
    <w:p>
      <w:pPr>
        <w:numPr>
          <w:ilvl w:val="0"/>
          <w:numId w:val="16"/>
        </w:numPr>
        <w:rPr>
          <w:lang w:val="en-US" w:eastAsia="zh-CN"/>
        </w:rPr>
      </w:pPr>
      <w:r>
        <w:rPr>
          <w:lang w:val="en-US" w:eastAsia="zh-CN"/>
        </w:rPr>
        <w:t>R2-2304033</w:t>
      </w:r>
      <w:r>
        <w:rPr>
          <w:lang w:val="en-US" w:eastAsia="zh-CN"/>
        </w:rPr>
        <w:tab/>
      </w:r>
      <w:r>
        <w:rPr>
          <w:lang w:val="en-US" w:eastAsia="zh-CN"/>
        </w:rPr>
        <w:t>Discussion on SL positioning</w:t>
      </w:r>
      <w:r>
        <w:rPr>
          <w:lang w:val="en-US" w:eastAsia="zh-CN"/>
        </w:rPr>
        <w:tab/>
      </w:r>
      <w:r>
        <w:rPr>
          <w:lang w:val="en-US" w:eastAsia="zh-CN"/>
        </w:rPr>
        <w:t>Xiaomi</w:t>
      </w:r>
      <w:r>
        <w:rPr>
          <w:lang w:val="en-US" w:eastAsia="zh-CN"/>
        </w:rPr>
        <w:tab/>
      </w:r>
      <w:r>
        <w:rPr>
          <w:lang w:val="en-US" w:eastAsia="zh-CN"/>
        </w:rPr>
        <w:t>discussion</w:t>
      </w:r>
      <w:r>
        <w:rPr>
          <w:lang w:val="en-US" w:eastAsia="zh-CN"/>
        </w:rPr>
        <w:tab/>
      </w:r>
      <w:r>
        <w:rPr>
          <w:lang w:val="en-US" w:eastAsia="zh-CN"/>
        </w:rPr>
        <w:t>Rel-18</w:t>
      </w:r>
    </w:p>
    <w:p>
      <w:pPr>
        <w:numPr>
          <w:ilvl w:val="0"/>
          <w:numId w:val="16"/>
        </w:numPr>
        <w:rPr>
          <w:lang w:val="en-US" w:eastAsia="zh-CN"/>
        </w:rPr>
      </w:pPr>
      <w:r>
        <w:rPr>
          <w:lang w:val="en-US" w:eastAsia="zh-CN"/>
        </w:rPr>
        <w:t xml:space="preserve">S2-2301786, Reply LS on SL positioning groupcast and broadcast. </w:t>
      </w:r>
    </w:p>
    <w:p>
      <w:pPr>
        <w:rPr>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BD07"/>
    <w:multiLevelType w:val="singleLevel"/>
    <w:tmpl w:val="D72BBD07"/>
    <w:lvl w:ilvl="0" w:tentative="0">
      <w:start w:val="3"/>
      <w:numFmt w:val="decimal"/>
      <w:lvlText w:val="%1"/>
      <w:lvlJc w:val="left"/>
    </w:lvl>
  </w:abstractNum>
  <w:abstractNum w:abstractNumId="1">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B0BC360"/>
    <w:multiLevelType w:val="singleLevel"/>
    <w:tmpl w:val="0B0BC360"/>
    <w:lvl w:ilvl="0" w:tentative="0">
      <w:start w:val="1"/>
      <w:numFmt w:val="decimal"/>
      <w:suff w:val="space"/>
      <w:lvlText w:val="[%1]"/>
      <w:lvlJc w:val="left"/>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7F6AFB"/>
    <w:multiLevelType w:val="multilevel"/>
    <w:tmpl w:val="417F6AFB"/>
    <w:lvl w:ilvl="0" w:tentative="0">
      <w:start w:val="1"/>
      <w:numFmt w:val="bullet"/>
      <w:pStyle w:val="1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E4B116C"/>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link w:val="149"/>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字符"/>
    <w:link w:val="37"/>
    <w:qFormat/>
    <w:uiPriority w:val="0"/>
    <w:rPr>
      <w:rFonts w:ascii="Segoe UI" w:hAnsi="Segoe UI" w:cs="Segoe UI"/>
      <w:sz w:val="18"/>
      <w:szCs w:val="18"/>
      <w:lang w:eastAsia="ja-JP"/>
    </w:r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rFonts w:cs="Arial"/>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字符"/>
    <w:link w:val="39"/>
    <w:qFormat/>
    <w:uiPriority w:val="99"/>
    <w:rPr>
      <w:rFonts w:ascii="Arial" w:hAnsi="Arial"/>
      <w:b/>
      <w:sz w:val="18"/>
      <w:lang w:eastAsia="ja-JP"/>
    </w:rPr>
  </w:style>
  <w:style w:type="character" w:customStyle="1" w:styleId="122">
    <w:name w:val="页脚 字符"/>
    <w:link w:val="38"/>
    <w:qFormat/>
    <w:uiPriority w:val="0"/>
    <w:rPr>
      <w:rFonts w:ascii="Arial" w:hAnsi="Arial"/>
      <w:b/>
      <w:i/>
      <w:sz w:val="18"/>
      <w:lang w:eastAsia="ja-JP"/>
    </w:rPr>
  </w:style>
  <w:style w:type="character" w:customStyle="1" w:styleId="123">
    <w:name w:val="脚注文本 字符"/>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字符"/>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character" w:customStyle="1" w:styleId="149">
    <w:name w:val="TAC Char"/>
    <w:link w:val="79"/>
    <w:qFormat/>
    <w:locked/>
    <w:uiPriority w:val="0"/>
    <w:rPr>
      <w:rFonts w:ascii="Arial" w:hAnsi="Arial"/>
      <w:sz w:val="18"/>
      <w:lang w:val="zh-CN" w:eastAsia="zh-CN"/>
    </w:rPr>
  </w:style>
  <w:style w:type="character" w:customStyle="1" w:styleId="150">
    <w:name w:val="EmailDiscussion Char"/>
    <w:link w:val="118"/>
    <w:qFormat/>
    <w:locked/>
    <w:uiPriority w:val="0"/>
    <w:rPr>
      <w:rFonts w:ascii="Arial" w:hAnsi="Arial" w:eastAsia="MS Mincho"/>
      <w:b/>
      <w:szCs w:val="24"/>
    </w:rPr>
  </w:style>
  <w:style w:type="character" w:customStyle="1" w:styleId="151">
    <w:name w:val="normaltextrun"/>
    <w:basedOn w:val="53"/>
    <w:qFormat/>
    <w:uiPriority w:val="0"/>
  </w:style>
  <w:style w:type="character" w:customStyle="1" w:styleId="152">
    <w:name w:val="eop"/>
    <w:basedOn w:val="53"/>
    <w:qFormat/>
    <w:uiPriority w:val="0"/>
  </w:style>
  <w:style w:type="character" w:customStyle="1" w:styleId="153">
    <w:name w:val="3GPP Text Char"/>
    <w:link w:val="154"/>
    <w:qFormat/>
    <w:locked/>
    <w:uiPriority w:val="0"/>
    <w:rPr>
      <w:rFonts w:ascii="Times New Roman" w:hAnsi="Times New Roman" w:eastAsia="宋体"/>
    </w:rPr>
  </w:style>
  <w:style w:type="paragraph" w:customStyle="1" w:styleId="154">
    <w:name w:val="3GPP Text"/>
    <w:basedOn w:val="1"/>
    <w:link w:val="153"/>
    <w:qFormat/>
    <w:uiPriority w:val="0"/>
    <w:pPr>
      <w:spacing w:before="120" w:after="120"/>
      <w:jc w:val="both"/>
      <w:textAlignment w:val="auto"/>
    </w:pPr>
    <w:rPr>
      <w:lang w:eastAsia="en-GB"/>
    </w:rPr>
  </w:style>
  <w:style w:type="character" w:customStyle="1" w:styleId="155">
    <w:name w:val="B1 Char"/>
    <w:qFormat/>
    <w:locked/>
    <w:uiPriority w:val="0"/>
    <w:rPr>
      <w:lang w:eastAsia="en-US"/>
    </w:rPr>
  </w:style>
  <w:style w:type="paragraph" w:customStyle="1" w:styleId="156">
    <w:name w:val="3GPP Agreements"/>
    <w:basedOn w:val="1"/>
    <w:link w:val="157"/>
    <w:qFormat/>
    <w:uiPriority w:val="0"/>
    <w:pPr>
      <w:numPr>
        <w:ilvl w:val="0"/>
        <w:numId w:val="13"/>
      </w:numPr>
      <w:spacing w:before="60" w:after="60"/>
      <w:jc w:val="both"/>
    </w:pPr>
    <w:rPr>
      <w:sz w:val="22"/>
      <w:lang w:val="en-US" w:eastAsia="zh-CN"/>
    </w:rPr>
  </w:style>
  <w:style w:type="character" w:customStyle="1" w:styleId="157">
    <w:name w:val="3GPP Agreements Char"/>
    <w:link w:val="156"/>
    <w:qFormat/>
    <w:uiPriority w:val="0"/>
    <w:rPr>
      <w:rFonts w:ascii="Times New Roman" w:hAnsi="Times New Roman"/>
      <w:sz w:val="22"/>
      <w:lang w:val="en-US" w:eastAsia="zh-CN"/>
    </w:rPr>
  </w:style>
  <w:style w:type="character" w:customStyle="1" w:styleId="158">
    <w:name w:val="Doc-title Char"/>
    <w:link w:val="159"/>
    <w:qFormat/>
    <w:locked/>
    <w:uiPriority w:val="0"/>
    <w:rPr>
      <w:rFonts w:ascii="Arial" w:hAnsi="Arial" w:eastAsia="MS Mincho" w:cs="Arial"/>
      <w:szCs w:val="24"/>
    </w:rPr>
  </w:style>
  <w:style w:type="paragraph" w:customStyle="1" w:styleId="159">
    <w:name w:val="Doc-title"/>
    <w:basedOn w:val="1"/>
    <w:next w:val="1"/>
    <w:link w:val="158"/>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60">
    <w:name w:val="msolistparagraph"/>
    <w:basedOn w:val="1"/>
    <w:qFormat/>
    <w:uiPriority w:val="0"/>
    <w:pPr>
      <w:widowControl w:val="0"/>
      <w:spacing w:after="0"/>
      <w:ind w:firstLine="420" w:firstLineChars="200"/>
      <w:jc w:val="both"/>
    </w:pPr>
    <w:rPr>
      <w:rFonts w:hint="eastAsia" w:ascii="等线" w:hAnsi="等线" w:eastAsia="等线"/>
      <w:kern w:val="2"/>
      <w:sz w:val="21"/>
      <w:szCs w:val="22"/>
      <w:lang w:val="en-US" w:eastAsia="zh-CN"/>
    </w:rPr>
  </w:style>
  <w:style w:type="paragraph" w:customStyle="1" w:styleId="161">
    <w:name w:val="Bibliography1"/>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1B0AF4-6E94-4329-8416-B573169C4CCD}">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060FA74-3EE0-4BEF-8543-EB2E8F6A49DC}">
  <ds:schemaRefs/>
</ds:datastoreItem>
</file>

<file path=customXml/itemProps4.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10</Pages>
  <Words>3016</Words>
  <Characters>17196</Characters>
  <Lines>143</Lines>
  <Paragraphs>40</Paragraphs>
  <TotalTime>1</TotalTime>
  <ScaleCrop>false</ScaleCrop>
  <LinksUpToDate>false</LinksUpToDate>
  <CharactersWithSpaces>20172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2023-04-19T18:58:00Z</dcterms:created>
  <dc:creator>Ali, Ansab</dc:creator>
  <cp:keywords>3GPP; Ericsson; TDoc</cp:keywords>
  <cp:lastModifiedBy>xiaowei-xiaomi</cp:lastModifiedBy>
  <cp:lastPrinted>2008-01-31T07:09:00Z</cp:lastPrinted>
  <dcterms:modified xsi:type="dcterms:W3CDTF">2023-04-20T07:35:19Z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