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#121bis-e</w:t>
      </w:r>
      <w:r>
        <w:rPr>
          <w:rFonts w:ascii="Arial" w:hAnsi="Arial"/>
          <w:b/>
          <w:bCs/>
          <w:sz w:val="24"/>
          <w:szCs w:val="24"/>
        </w:rPr>
        <w:tab/>
      </w:r>
      <w:r>
        <w:rPr>
          <w:rFonts w:ascii="Arial" w:hAnsi="Arial"/>
          <w:b/>
          <w:bCs/>
          <w:sz w:val="24"/>
          <w:szCs w:val="24"/>
        </w:rPr>
        <w:t>R2-230xxxx</w:t>
      </w:r>
    </w:p>
    <w:p>
      <w:pPr>
        <w:widowControl w:val="0"/>
        <w:tabs>
          <w:tab w:val="right" w:pos="9639"/>
        </w:tabs>
        <w:spacing w:after="0"/>
        <w:rPr>
          <w:rFonts w:ascii="Arial" w:hAnsi="Arial"/>
          <w:b/>
          <w:bCs/>
          <w:sz w:val="24"/>
          <w:szCs w:val="24"/>
        </w:rPr>
      </w:pPr>
      <w:r>
        <w:rPr>
          <w:rFonts w:ascii="Arial" w:hAnsi="Arial"/>
          <w:b/>
          <w:bCs/>
          <w:sz w:val="24"/>
          <w:szCs w:val="24"/>
        </w:rPr>
        <w:t>e-Meeting, 17th April – 26th April 2023</w:t>
      </w:r>
    </w:p>
    <w:p>
      <w:pPr>
        <w:pStyle w:val="71"/>
        <w:rPr>
          <w:rFonts w:ascii="Times New Roman" w:hAnsi="Times New Roman"/>
          <w:b/>
          <w:bCs/>
          <w:sz w:val="24"/>
          <w:lang w:val="en-US"/>
        </w:rPr>
      </w:pPr>
    </w:p>
    <w:p>
      <w:pPr>
        <w:pStyle w:val="71"/>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[AT121bis-e][422][POS] SLPP specification baseline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at meeting offline discussion:</w:t>
      </w:r>
    </w:p>
    <w:p>
      <w:pPr>
        <w:pStyle w:val="100"/>
      </w:pPr>
    </w:p>
    <w:p>
      <w:pPr>
        <w:pStyle w:val="118"/>
      </w:pPr>
      <w:r>
        <w:t>[AT121bis-e][422][POS] SLPP specification baseline (Intel)</w:t>
      </w:r>
    </w:p>
    <w:p>
      <w:pPr>
        <w:pStyle w:val="119"/>
      </w:pPr>
      <w:r>
        <w:tab/>
      </w:r>
      <w:r>
        <w:t>Scope: Collect comments on R2-2302738 and R2-2302739 and attempt to converge to a baseline, taking into account also related contributions on SLPP structure.</w:t>
      </w:r>
    </w:p>
    <w:p>
      <w:pPr>
        <w:pStyle w:val="119"/>
      </w:pPr>
      <w:r>
        <w:tab/>
      </w:r>
      <w:r>
        <w:t>Intended outcome: Report and endorseable skeleton</w:t>
      </w:r>
    </w:p>
    <w:p>
      <w:pPr>
        <w:pStyle w:val="119"/>
      </w:pPr>
      <w:r>
        <w:tab/>
      </w:r>
      <w:r>
        <w:t>Deadline: Monday 2023-04-24 2359 UTC</w:t>
      </w:r>
    </w:p>
    <w:p>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en-US" w:eastAsia="zh-CN"/>
              </w:rPr>
            </w:pPr>
            <w:r>
              <w:rPr>
                <w:rFonts w:hint="eastAsia" w:eastAsia="宋体"/>
                <w:lang w:val="en-US" w:eastAsia="zh-CN"/>
              </w:rPr>
              <w:t>H</w:t>
            </w:r>
            <w:r>
              <w:rPr>
                <w:rFonts w:eastAsia="宋体"/>
                <w:lang w:val="en-US" w:eastAsia="zh-CN"/>
              </w:rPr>
              <w:t>uawei, HiSilicon</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en-US" w:eastAsia="zh-CN"/>
              </w:rPr>
            </w:pPr>
            <w:r>
              <w:rPr>
                <w:rFonts w:hint="eastAsia" w:eastAsia="宋体"/>
                <w:lang w:val="en-US" w:eastAsia="zh-CN"/>
              </w:rPr>
              <w:t>y</w:t>
            </w:r>
            <w:r>
              <w:rPr>
                <w:rFonts w:eastAsia="宋体"/>
                <w:lang w:val="en-US" w:eastAsia="zh-CN"/>
              </w:rPr>
              <w:t>inghaoguo@huawei.com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lang w:val="sv-SE" w:eastAsia="zh-CN"/>
              </w:rPr>
            </w:pPr>
            <w:r>
              <w:rPr>
                <w:lang w:val="sv-SE" w:eastAsia="zh-CN"/>
              </w:rPr>
              <w:t>Lenovo</w:t>
            </w: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r>
              <w:rPr>
                <w:lang w:val="sv-SE" w:eastAsia="zh-CN"/>
              </w:rPr>
              <w:t>hchoi5@lenovo.com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left"/>
              <w:rPr>
                <w:rFonts w:eastAsia="宋体"/>
                <w:lang w:val="sv-SE" w:eastAsia="zh-CN"/>
              </w:rPr>
            </w:pPr>
            <w:r>
              <w:rPr>
                <w:rFonts w:hint="eastAsia" w:eastAsia="宋体"/>
                <w:lang w:val="sv-SE" w:eastAsia="zh-CN"/>
              </w:rPr>
              <w:t>CATT</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hint="eastAsia" w:eastAsia="宋体"/>
                <w:lang w:val="sv-SE" w:eastAsia="zh-CN"/>
              </w:rPr>
            </w:pPr>
            <w:r>
              <w:rPr>
                <w:rFonts w:eastAsia="宋体"/>
                <w:lang w:val="sv-SE" w:eastAsia="zh-CN"/>
              </w:rPr>
              <w:t>Vivo</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eastAsia" w:eastAsia="宋体"/>
                <w:lang w:val="sv-SE" w:eastAsia="zh-CN"/>
              </w:rPr>
            </w:pPr>
            <w:r>
              <w:rPr>
                <w:rFonts w:hint="eastAsia" w:eastAsia="宋体"/>
                <w:lang w:val="sv-SE" w:eastAsia="zh-CN"/>
              </w:rPr>
              <w:t>p</w:t>
            </w:r>
            <w:r>
              <w:rPr>
                <w:rFonts w:eastAsia="宋体"/>
                <w:lang w:val="sv-SE"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jc w:val="both"/>
              <w:rPr>
                <w:rFonts w:hint="default"/>
                <w:lang w:val="en-US" w:eastAsia="zh-CN"/>
              </w:rPr>
            </w:pPr>
            <w:r>
              <w:rPr>
                <w:rFonts w:hint="eastAsia"/>
                <w:lang w:val="en-US" w:eastAsia="zh-CN"/>
              </w:rPr>
              <w:t>Xiaomi</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default"/>
                <w:lang w:val="en-US" w:eastAsia="zh-CN"/>
              </w:rPr>
            </w:pPr>
            <w:r>
              <w:rPr>
                <w:rFonts w:hint="eastAsia"/>
                <w:lang w:val="en-US" w:eastAsia="zh-CN"/>
              </w:rPr>
              <w:t>jiangxiaowei@xiaomi.com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bl>
    <w:p>
      <w:pPr>
        <w:rPr>
          <w:lang w:val="sv-SE" w:eastAsia="zh-CN"/>
        </w:rPr>
      </w:pPr>
    </w:p>
    <w:p>
      <w:pPr>
        <w:spacing w:after="120"/>
        <w:jc w:val="both"/>
        <w:rPr>
          <w:rFonts w:ascii="Times New Roman" w:hAnsi="Times New Roman" w:cs="Times New Roman"/>
          <w:sz w:val="20"/>
          <w:szCs w:val="20"/>
          <w:lang w:val="sv-SE"/>
        </w:rPr>
      </w:pPr>
    </w:p>
    <w:p>
      <w:pPr>
        <w:pStyle w:val="2"/>
        <w:rPr>
          <w:rFonts w:cs="Arial"/>
        </w:rPr>
      </w:pPr>
      <w:r>
        <w:rPr>
          <w:rFonts w:cs="Arial"/>
        </w:rPr>
        <w:t>Discussion</w:t>
      </w:r>
    </w:p>
    <w:p>
      <w:pPr>
        <w:pStyle w:val="5"/>
        <w:rPr>
          <w:rFonts w:eastAsia="宋体" w:asciiTheme="minorHAnsi" w:hAnsiTheme="minorHAnsi" w:cstheme="minorBidi"/>
          <w:lang w:eastAsia="en-US"/>
        </w:rPr>
      </w:pPr>
      <w:r>
        <w:t>3.1 TS Skeleton</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As discussed in R2-2302738: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In summary, we captured following agreements in [8].</w:t>
            </w:r>
          </w:p>
          <w:p>
            <w:pPr>
              <w:pStyle w:val="100"/>
              <w:pBdr>
                <w:top w:val="single" w:color="auto" w:sz="4" w:space="1"/>
                <w:left w:val="single" w:color="auto" w:sz="4" w:space="4"/>
                <w:bottom w:val="single" w:color="auto" w:sz="4" w:space="1"/>
                <w:right w:val="single" w:color="auto" w:sz="4" w:space="4"/>
              </w:pBdr>
            </w:pPr>
            <w:r>
              <w:t>Regarding the structure of SLPP, e.g. general part, procedure part , Information Element Abstract Syntax Definition,  the structure of LPP (TS 37.355) can be used as baseline for further discussion.</w:t>
            </w:r>
          </w:p>
          <w:p>
            <w:pPr>
              <w:pStyle w:val="100"/>
              <w:pBdr>
                <w:top w:val="single" w:color="auto" w:sz="4" w:space="1"/>
                <w:left w:val="single" w:color="auto" w:sz="4" w:space="4"/>
                <w:bottom w:val="single" w:color="auto" w:sz="4" w:space="1"/>
                <w:right w:val="single" w:color="auto" w:sz="4" w:space="4"/>
              </w:pBdr>
            </w:pPr>
            <w:r>
              <w:t xml:space="preserve">Regarding the ASN.1 part of SLPP, follow NR RRC approach, e.g. </w:t>
            </w:r>
          </w:p>
          <w:p>
            <w:pPr>
              <w:pStyle w:val="100"/>
              <w:pBdr>
                <w:top w:val="single" w:color="auto" w:sz="4" w:space="1"/>
                <w:left w:val="single" w:color="auto" w:sz="4" w:space="4"/>
                <w:bottom w:val="single" w:color="auto" w:sz="4" w:space="1"/>
                <w:right w:val="single" w:color="auto" w:sz="4" w:space="4"/>
              </w:pBdr>
            </w:pPr>
            <w:r>
              <w:t xml:space="preserve">Define ASN.1 elements for common UE capabilities in a dedicated section (i.e. “UE capability information elements”);  </w:t>
            </w:r>
          </w:p>
          <w:p>
            <w:pPr>
              <w:pStyle w:val="100"/>
              <w:pBdr>
                <w:top w:val="single" w:color="auto" w:sz="4" w:space="1"/>
                <w:left w:val="single" w:color="auto" w:sz="4" w:space="4"/>
                <w:bottom w:val="single" w:color="auto" w:sz="4" w:space="1"/>
                <w:right w:val="single" w:color="auto" w:sz="4" w:space="4"/>
              </w:pBdr>
              <w:rPr>
                <w:rFonts w:ascii="Times New Roman" w:hAnsi="Times New Roman"/>
                <w:szCs w:val="20"/>
              </w:rPr>
            </w:pPr>
            <w:r>
              <w:t>-</w:t>
            </w:r>
            <w:r>
              <w:tab/>
            </w:r>
            <w:r>
              <w:t>Common section for constraints</w:t>
            </w:r>
          </w:p>
          <w:p>
            <w:pPr>
              <w:jc w:val="both"/>
              <w:rPr>
                <w:rFonts w:ascii="Times New Roman" w:hAnsi="Times New Roman" w:cs="Times New Roman"/>
                <w:sz w:val="20"/>
                <w:szCs w:val="20"/>
              </w:rPr>
            </w:pPr>
            <w:r>
              <w:rPr>
                <w:rFonts w:ascii="Times New Roman" w:hAnsi="Times New Roman" w:cs="Times New Roman"/>
                <w:sz w:val="20"/>
                <w:szCs w:val="20"/>
              </w:rPr>
              <w:t xml:space="preserve"> </w:t>
            </w:r>
          </w:p>
          <w:p>
            <w:pPr>
              <w:jc w:val="both"/>
              <w:rPr>
                <w:rFonts w:ascii="Times New Roman" w:hAnsi="Times New Roman" w:cs="Times New Roman"/>
                <w:b/>
                <w:bCs/>
                <w:sz w:val="20"/>
                <w:szCs w:val="20"/>
              </w:rPr>
            </w:pPr>
            <w:r>
              <w:rPr>
                <w:rFonts w:ascii="Times New Roman" w:hAnsi="Times New Roman" w:cs="Times New Roman"/>
                <w:b/>
                <w:bCs/>
                <w:sz w:val="20"/>
                <w:szCs w:val="20"/>
              </w:rPr>
              <w:t>Proposal 1: Endorse the TS Skeleton in R2-230xxxx as baseline for further updates.</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1:  Do companies agree to endorse the TS skeleton in R2-2302739. </w:t>
      </w:r>
    </w:p>
    <w:p>
      <w:pPr>
        <w:jc w:val="both"/>
        <w:rPr>
          <w:lang w:eastAsia="en-GB"/>
        </w:rPr>
      </w:pPr>
      <w:r>
        <w:rPr>
          <w:rFonts w:ascii="Times New Roman" w:hAnsi="Times New Roman" w:cs="Times New Roman"/>
          <w:b/>
          <w:bCs/>
          <w:sz w:val="20"/>
          <w:szCs w:val="20"/>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O</w:t>
            </w:r>
            <w:r>
              <w:rPr>
                <w:rFonts w:ascii="Times New Roman" w:hAnsi="Times New Roman" w:cs="Times New Roman"/>
                <w:sz w:val="20"/>
                <w:szCs w:val="20"/>
                <w:lang w:eastAsia="zh-CN"/>
              </w:rPr>
              <w:t>K to leave the FFS for segmentation. We need to know what will be the size of the SLPP message and then see whether segmentation is needed that the SLPP msg cannot be transmitted in one shot</w:t>
            </w:r>
          </w:p>
          <w:p>
            <w:pPr>
              <w:jc w:val="both"/>
              <w:rPr>
                <w:rFonts w:ascii="Times New Roman" w:hAnsi="Times New Roman" w:cs="Times New Roman"/>
                <w:sz w:val="20"/>
                <w:szCs w:val="20"/>
                <w:lang w:eastAsia="zh-CN"/>
              </w:rPr>
            </w:pPr>
            <w:r>
              <w:rPr>
                <w:rFonts w:ascii="Times New Roman" w:hAnsi="Times New Roman" w:cs="Times New Roman"/>
                <w:color w:val="00B0F0"/>
                <w:lang w:eastAsia="zh-CN"/>
              </w:rPr>
              <w:t xml:space="preserve">[Rapp] Thanks, then I will remove the section for now. </w:t>
            </w:r>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hen, for the chapters on reliable transport. There are two cases</w:t>
            </w:r>
          </w:p>
          <w:p>
            <w:pPr>
              <w:pStyle w:val="84"/>
              <w:numPr>
                <w:ilvl w:val="0"/>
                <w:numId w:val="15"/>
              </w:numPr>
              <w:jc w:val="both"/>
              <w:rPr>
                <w:lang w:eastAsia="zh-CN"/>
              </w:rPr>
            </w:pPr>
            <w:r>
              <w:rPr>
                <w:lang w:eastAsia="zh-CN"/>
              </w:rPr>
              <w:t>On PC5, we have already agreed that it shall be transported in the user plane, while reliable transport is not needed for user plane transport</w:t>
            </w:r>
          </w:p>
          <w:p>
            <w:pPr>
              <w:pStyle w:val="84"/>
              <w:numPr>
                <w:ilvl w:val="0"/>
                <w:numId w:val="15"/>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pPr>
              <w:jc w:val="both"/>
              <w:rPr>
                <w:rFonts w:ascii="Times New Roman" w:hAnsi="Times New Roman" w:cs="Times New Roman"/>
                <w:lang w:eastAsia="zh-CN"/>
              </w:rPr>
            </w:pPr>
            <w:r>
              <w:rPr>
                <w:rFonts w:ascii="Times New Roman" w:hAnsi="Times New Roman" w:cs="Times New Roman"/>
                <w:color w:val="00B0F0"/>
                <w:lang w:eastAsia="zh-CN"/>
              </w:rPr>
              <w:t xml:space="preserve">[Rapp] Thanks, I see your point. Based on “LPP reliable transport functionality is not used in the user-plane solution.”c, transport section is not needed since we have agreed SLPP over userplane. Therefore I will remove the section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but</w:t>
            </w:r>
          </w:p>
        </w:tc>
        <w:tc>
          <w:tcPr>
            <w:tcW w:w="6318" w:type="dxa"/>
          </w:tcPr>
          <w:p>
            <w:pPr>
              <w:pStyle w:val="84"/>
              <w:numPr>
                <w:ilvl w:val="0"/>
                <w:numId w:val="16"/>
              </w:numPr>
              <w:jc w:val="both"/>
            </w:pPr>
            <w:r>
              <w:t>Regarding the version numbering, don’t we start with v0.0.0?</w:t>
            </w:r>
          </w:p>
          <w:p>
            <w:pPr>
              <w:pStyle w:val="84"/>
              <w:ind w:left="360"/>
              <w:jc w:val="both"/>
            </w:pPr>
            <w:r>
              <w:rPr>
                <w:color w:val="00B0F0"/>
                <w:lang w:eastAsia="zh-CN"/>
              </w:rPr>
              <w:t xml:space="preserve">[Rapp] I think v0.0.1 is ok, same as TS38.331, TS38.321, etc. </w:t>
            </w:r>
          </w:p>
          <w:p>
            <w:pPr>
              <w:pStyle w:val="84"/>
              <w:numPr>
                <w:ilvl w:val="0"/>
                <w:numId w:val="16"/>
              </w:numPr>
              <w:jc w:val="both"/>
            </w:pPr>
            <w:r>
              <w:t>On page 2 the year “2022” should be corrected to “202</w:t>
            </w:r>
            <w:r>
              <w:rPr>
                <w:color w:val="FF0000"/>
              </w:rPr>
              <w:t>3</w:t>
            </w:r>
            <w:r>
              <w:t xml:space="preserve">”. </w:t>
            </w:r>
          </w:p>
          <w:p>
            <w:pPr>
              <w:jc w:val="both"/>
              <w:rPr>
                <w:rFonts w:ascii="Times New Roman" w:hAnsi="Times New Roman" w:cs="Times New Roman"/>
              </w:rPr>
            </w:pPr>
            <w:r>
              <w:rPr>
                <w:rFonts w:ascii="Times New Roman" w:hAnsi="Times New Roman" w:cs="Times New Roman"/>
                <w:color w:val="00B0F0"/>
                <w:lang w:eastAsia="zh-CN"/>
              </w:rPr>
              <w:t xml:space="preserve">[Rapp]  You are right. Will correct. </w:t>
            </w:r>
          </w:p>
          <w:p>
            <w:pPr>
              <w:pStyle w:val="84"/>
              <w:numPr>
                <w:ilvl w:val="0"/>
                <w:numId w:val="16"/>
              </w:numPr>
              <w:jc w:val="both"/>
            </w:pPr>
            <w:r>
              <w:t>In clause 6.3.3 all editor’s notes can be removed. Those notes can be introduced based on first input.</w:t>
            </w:r>
          </w:p>
          <w:p>
            <w:pPr>
              <w:jc w:val="both"/>
              <w:rPr>
                <w:rFonts w:ascii="Times New Roman" w:hAnsi="Times New Roman" w:cs="Times New Roman"/>
              </w:rPr>
            </w:pPr>
            <w:r>
              <w:rPr>
                <w:rFonts w:ascii="Times New Roman" w:hAnsi="Times New Roman" w:cs="Times New Roman"/>
                <w:color w:val="00B0F0"/>
                <w:lang w:eastAsia="zh-CN"/>
              </w:rPr>
              <w:t xml:space="preserve">[Rapp]  You are right. Will remove. </w:t>
            </w:r>
          </w:p>
          <w:p>
            <w:pPr>
              <w:jc w:val="both"/>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lang w:eastAsia="zh-CN"/>
              </w:rPr>
            </w:pPr>
            <w:r>
              <w:rPr>
                <w:rFonts w:ascii="Times New Roman" w:hAnsi="Times New Roman" w:cs="Times New Roman"/>
                <w:sz w:val="20"/>
                <w:szCs w:val="20"/>
              </w:rPr>
              <w:t>Yes</w:t>
            </w:r>
            <w:r>
              <w:rPr>
                <w:rFonts w:hint="eastAsia" w:ascii="Times New Roman" w:hAnsi="Times New Roman" w:cs="Times New Roman"/>
                <w:sz w:val="20"/>
                <w:szCs w:val="20"/>
                <w:lang w:eastAsia="zh-CN"/>
              </w:rPr>
              <w:t xml:space="preserve"> 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In 37.355, </w:t>
            </w:r>
            <w:r>
              <w:rPr>
                <w:rFonts w:ascii="Times New Roman" w:hAnsi="Times New Roman" w:cs="Times New Roman"/>
                <w:sz w:val="20"/>
                <w:szCs w:val="20"/>
                <w:lang w:eastAsia="zh-CN"/>
              </w:rPr>
              <w:t>information elements</w:t>
            </w:r>
            <w:r>
              <w:rPr>
                <w:rFonts w:hint="eastAsia" w:ascii="Times New Roman" w:hAnsi="Times New Roman" w:cs="Times New Roman"/>
                <w:sz w:val="20"/>
                <w:szCs w:val="20"/>
                <w:lang w:eastAsia="zh-CN"/>
              </w:rPr>
              <w:t xml:space="preserve"> are defined per p</w:t>
            </w:r>
            <w:r>
              <w:rPr>
                <w:rFonts w:ascii="Times New Roman" w:hAnsi="Times New Roman" w:cs="Times New Roman"/>
                <w:sz w:val="20"/>
                <w:szCs w:val="20"/>
                <w:lang w:eastAsia="zh-CN"/>
              </w:rPr>
              <w:t xml:space="preserve">ositioning </w:t>
            </w:r>
            <w:r>
              <w:rPr>
                <w:rFonts w:hint="eastAsia" w:ascii="Times New Roman" w:hAnsi="Times New Roman" w:cs="Times New Roman"/>
                <w:sz w:val="20"/>
                <w:szCs w:val="20"/>
                <w:lang w:eastAsia="zh-CN"/>
              </w:rPr>
              <w:t>m</w:t>
            </w:r>
            <w:r>
              <w:rPr>
                <w:rFonts w:ascii="Times New Roman" w:hAnsi="Times New Roman" w:cs="Times New Roman"/>
                <w:sz w:val="20"/>
                <w:szCs w:val="20"/>
                <w:lang w:eastAsia="zh-CN"/>
              </w:rPr>
              <w:t>ethod</w:t>
            </w:r>
            <w:r>
              <w:rPr>
                <w:rFonts w:hint="eastAsia" w:ascii="Times New Roman" w:hAnsi="Times New Roman" w:cs="Times New Roman"/>
                <w:sz w:val="20"/>
                <w:szCs w:val="20"/>
                <w:lang w:eastAsia="zh-CN"/>
              </w:rPr>
              <w:t xml:space="preserve">. However </w:t>
            </w:r>
            <w:r>
              <w:rPr>
                <w:rFonts w:ascii="Times New Roman" w:hAnsi="Times New Roman" w:cs="Times New Roman"/>
                <w:sz w:val="20"/>
                <w:szCs w:val="20"/>
                <w:lang w:eastAsia="zh-CN"/>
              </w:rPr>
              <w:t>UE capability information elements</w:t>
            </w:r>
            <w:r>
              <w:rPr>
                <w:rFonts w:hint="eastAsia" w:ascii="Times New Roman" w:hAnsi="Times New Roman" w:cs="Times New Roman"/>
                <w:sz w:val="20"/>
                <w:szCs w:val="20"/>
                <w:lang w:eastAsia="zh-CN"/>
              </w:rPr>
              <w:t xml:space="preserve"> are </w:t>
            </w:r>
            <w:r>
              <w:rPr>
                <w:rFonts w:ascii="Times New Roman" w:hAnsi="Times New Roman" w:cs="Times New Roman"/>
                <w:sz w:val="20"/>
                <w:szCs w:val="20"/>
                <w:lang w:eastAsia="zh-CN"/>
              </w:rPr>
              <w:t>defined</w:t>
            </w:r>
            <w:r>
              <w:rPr>
                <w:rFonts w:hint="eastAsia" w:ascii="Times New Roman" w:hAnsi="Times New Roman" w:cs="Times New Roman"/>
                <w:sz w:val="20"/>
                <w:szCs w:val="20"/>
                <w:lang w:eastAsia="zh-CN"/>
              </w:rPr>
              <w:t xml:space="preserve"> in clause 6.3.2 and </w:t>
            </w:r>
            <w:r>
              <w:rPr>
                <w:rFonts w:ascii="Times New Roman" w:hAnsi="Times New Roman" w:cs="Times New Roman"/>
                <w:sz w:val="20"/>
                <w:szCs w:val="20"/>
                <w:lang w:eastAsia="zh-CN"/>
              </w:rPr>
              <w:t>Positioning Method information elements</w:t>
            </w:r>
            <w:r>
              <w:rPr>
                <w:rFonts w:hint="eastAsia" w:ascii="Times New Roman" w:hAnsi="Times New Roman" w:cs="Times New Roman"/>
                <w:sz w:val="20"/>
                <w:szCs w:val="20"/>
                <w:lang w:eastAsia="zh-CN"/>
              </w:rPr>
              <w:t xml:space="preserve"> are </w:t>
            </w:r>
            <w:r>
              <w:rPr>
                <w:rFonts w:ascii="Times New Roman" w:hAnsi="Times New Roman" w:cs="Times New Roman"/>
                <w:sz w:val="20"/>
                <w:szCs w:val="20"/>
                <w:lang w:eastAsia="zh-CN"/>
              </w:rPr>
              <w:t>defined</w:t>
            </w:r>
            <w:r>
              <w:rPr>
                <w:rFonts w:hint="eastAsia" w:ascii="Times New Roman" w:hAnsi="Times New Roman" w:cs="Times New Roman"/>
                <w:sz w:val="20"/>
                <w:szCs w:val="20"/>
                <w:lang w:eastAsia="zh-CN"/>
              </w:rPr>
              <w:t xml:space="preserve"> in clause 6.3.3 in </w:t>
            </w:r>
            <w:r>
              <w:rPr>
                <w:rFonts w:ascii="Times New Roman" w:hAnsi="Times New Roman" w:cs="Times New Roman"/>
                <w:sz w:val="20"/>
                <w:szCs w:val="20"/>
                <w:lang w:eastAsia="zh-CN"/>
              </w:rPr>
              <w:t>R2-2302739</w:t>
            </w:r>
            <w:r>
              <w:rPr>
                <w:rFonts w:hint="eastAsia" w:ascii="Times New Roman" w:hAnsi="Times New Roman" w:cs="Times New Roman"/>
                <w:sz w:val="20"/>
                <w:szCs w:val="20"/>
                <w:lang w:eastAsia="zh-CN"/>
              </w:rPr>
              <w:t xml:space="preserve">. RAN2 should discuss whether </w:t>
            </w:r>
            <w:r>
              <w:rPr>
                <w:rFonts w:ascii="Times New Roman" w:hAnsi="Times New Roman" w:cs="Times New Roman"/>
                <w:sz w:val="20"/>
                <w:szCs w:val="20"/>
                <w:lang w:eastAsia="zh-CN"/>
              </w:rPr>
              <w:t>UE capability information elements</w:t>
            </w:r>
            <w:r>
              <w:rPr>
                <w:rFonts w:hint="eastAsia" w:ascii="Times New Roman" w:hAnsi="Times New Roman" w:cs="Times New Roman"/>
                <w:sz w:val="20"/>
                <w:szCs w:val="20"/>
                <w:lang w:eastAsia="zh-CN"/>
              </w:rPr>
              <w:t xml:space="preserve"> are defined per p</w:t>
            </w:r>
            <w:r>
              <w:rPr>
                <w:rFonts w:ascii="Times New Roman" w:hAnsi="Times New Roman" w:cs="Times New Roman"/>
                <w:sz w:val="20"/>
                <w:szCs w:val="20"/>
                <w:lang w:eastAsia="zh-CN"/>
              </w:rPr>
              <w:t xml:space="preserve">ositioning </w:t>
            </w:r>
            <w:r>
              <w:rPr>
                <w:rFonts w:hint="eastAsia" w:ascii="Times New Roman" w:hAnsi="Times New Roman" w:cs="Times New Roman"/>
                <w:sz w:val="20"/>
                <w:szCs w:val="20"/>
                <w:lang w:eastAsia="zh-CN"/>
              </w:rPr>
              <w:t>m</w:t>
            </w:r>
            <w:r>
              <w:rPr>
                <w:rFonts w:ascii="Times New Roman" w:hAnsi="Times New Roman" w:cs="Times New Roman"/>
                <w:sz w:val="20"/>
                <w:szCs w:val="20"/>
                <w:lang w:eastAsia="zh-CN"/>
              </w:rPr>
              <w:t>ethod</w:t>
            </w:r>
            <w:r>
              <w:rPr>
                <w:rFonts w:hint="eastAsia" w:ascii="Times New Roman" w:hAnsi="Times New Roman" w:cs="Times New Roman"/>
                <w:sz w:val="20"/>
                <w:szCs w:val="20"/>
                <w:lang w:eastAsia="zh-CN"/>
              </w:rPr>
              <w:t xml:space="preserve"> or not. CATT prefers to define the UE </w:t>
            </w:r>
            <w:r>
              <w:rPr>
                <w:rFonts w:ascii="Times New Roman" w:hAnsi="Times New Roman" w:cs="Times New Roman"/>
                <w:sz w:val="20"/>
                <w:szCs w:val="20"/>
                <w:lang w:eastAsia="zh-CN"/>
              </w:rPr>
              <w:t>capabilities</w:t>
            </w:r>
            <w:r>
              <w:rPr>
                <w:rFonts w:hint="eastAsia" w:ascii="Times New Roman" w:hAnsi="Times New Roman" w:cs="Times New Roman"/>
                <w:sz w:val="20"/>
                <w:szCs w:val="20"/>
                <w:lang w:eastAsia="zh-CN"/>
              </w:rPr>
              <w:t xml:space="preserve"> per positioning method.</w:t>
            </w:r>
          </w:p>
          <w:p>
            <w:pPr>
              <w:jc w:val="both"/>
              <w:rPr>
                <w:rFonts w:ascii="Times New Roman" w:hAnsi="Times New Roman" w:cs="Times New Roman"/>
                <w:b/>
                <w:sz w:val="20"/>
                <w:szCs w:val="20"/>
                <w:lang w:eastAsia="zh-CN"/>
              </w:rPr>
            </w:pPr>
            <w:r>
              <w:rPr>
                <w:rFonts w:ascii="Times New Roman" w:hAnsi="Times New Roman" w:cs="Times New Roman"/>
                <w:sz w:val="20"/>
                <w:szCs w:val="20"/>
                <w:lang w:eastAsia="zh-CN"/>
              </w:rPr>
              <w:t>J</w:t>
            </w:r>
            <w:r>
              <w:rPr>
                <w:rFonts w:hint="eastAsia" w:ascii="Times New Roman" w:hAnsi="Times New Roman" w:cs="Times New Roman"/>
                <w:sz w:val="20"/>
                <w:szCs w:val="20"/>
                <w:lang w:eastAsia="zh-CN"/>
              </w:rPr>
              <w:t>ust for clarification, we agree to e</w:t>
            </w:r>
            <w:r>
              <w:rPr>
                <w:rFonts w:ascii="Times New Roman" w:hAnsi="Times New Roman" w:cs="Times New Roman"/>
                <w:sz w:val="20"/>
                <w:szCs w:val="20"/>
                <w:lang w:eastAsia="zh-CN"/>
              </w:rPr>
              <w:t>ndorse the TS Skeleton in R2-2302739</w:t>
            </w:r>
            <w:r>
              <w:rPr>
                <w:rFonts w:hint="eastAsia" w:ascii="Times New Roman" w:hAnsi="Times New Roman" w:cs="Times New Roman"/>
                <w:sz w:val="20"/>
                <w:szCs w:val="20"/>
                <w:lang w:eastAsia="zh-CN"/>
              </w:rPr>
              <w:t xml:space="preserve"> </w:t>
            </w:r>
            <w:r>
              <w:rPr>
                <w:rFonts w:ascii="Times New Roman" w:hAnsi="Times New Roman" w:cs="Times New Roman"/>
                <w:b/>
                <w:sz w:val="20"/>
                <w:szCs w:val="20"/>
                <w:lang w:eastAsia="zh-CN"/>
              </w:rPr>
              <w:t>as baseline for further updates.</w:t>
            </w:r>
          </w:p>
          <w:p>
            <w:pPr>
              <w:jc w:val="both"/>
              <w:rPr>
                <w:rFonts w:ascii="Times New Roman" w:hAnsi="Times New Roman" w:cs="Times New Roman"/>
                <w:color w:val="00B0F0"/>
                <w:lang w:eastAsia="zh-CN"/>
              </w:rPr>
            </w:pPr>
            <w:r>
              <w:rPr>
                <w:rFonts w:ascii="Times New Roman" w:hAnsi="Times New Roman" w:cs="Times New Roman"/>
                <w:color w:val="00B0F0"/>
                <w:lang w:eastAsia="zh-CN"/>
              </w:rPr>
              <w:t>[Rapp] RAN2 already agreed “</w:t>
            </w:r>
            <w:r>
              <w:rPr>
                <w:rFonts w:ascii="Times New Roman" w:hAnsi="Times New Roman" w:cs="Times New Roman"/>
                <w:i/>
                <w:iCs/>
                <w:color w:val="00B0F0"/>
                <w:lang w:eastAsia="zh-CN"/>
              </w:rPr>
              <w:t xml:space="preserve">Define ASN.1 elements for </w:t>
            </w:r>
            <w:r>
              <w:rPr>
                <w:rFonts w:ascii="Times New Roman" w:hAnsi="Times New Roman" w:cs="Times New Roman"/>
                <w:i/>
                <w:iCs/>
                <w:color w:val="00B0F0"/>
                <w:highlight w:val="yellow"/>
                <w:lang w:eastAsia="zh-CN"/>
              </w:rPr>
              <w:t>common UE</w:t>
            </w:r>
            <w:r>
              <w:rPr>
                <w:rFonts w:ascii="Times New Roman" w:hAnsi="Times New Roman" w:cs="Times New Roman"/>
                <w:i/>
                <w:iCs/>
                <w:color w:val="00B0F0"/>
                <w:lang w:eastAsia="zh-CN"/>
              </w:rPr>
              <w:t xml:space="preserve"> capabilities in a dedicated section (i.e. “UE capability information elements”);  </w:t>
            </w:r>
            <w:r>
              <w:rPr>
                <w:rFonts w:ascii="Times New Roman" w:hAnsi="Times New Roman" w:cs="Times New Roman"/>
                <w:color w:val="00B0F0"/>
                <w:lang w:eastAsia="zh-CN"/>
              </w:rPr>
              <w:t xml:space="preserve">“  </w:t>
            </w:r>
          </w:p>
          <w:p>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The intention of 6.3.2 is to reflect this RAN2 agreements. </w:t>
            </w:r>
          </w:p>
          <w:p>
            <w:pPr>
              <w:jc w:val="both"/>
              <w:rPr>
                <w:rFonts w:ascii="Times New Roman" w:hAnsi="Times New Roman" w:cs="Times New Roman"/>
                <w:color w:val="00B0F0"/>
                <w:lang w:eastAsia="zh-CN"/>
              </w:rPr>
            </w:pPr>
            <w:r>
              <w:rPr>
                <w:rFonts w:ascii="Times New Roman" w:hAnsi="Times New Roman" w:cs="Times New Roman"/>
                <w:color w:val="00B0F0"/>
                <w:lang w:eastAsia="zh-CN"/>
              </w:rPr>
              <w:t xml:space="preserve">FFS point is </w:t>
            </w:r>
          </w:p>
          <w:p>
            <w:pPr>
              <w:jc w:val="both"/>
              <w:rPr>
                <w:rFonts w:ascii="Times New Roman" w:hAnsi="Times New Roman" w:cs="Times New Roman"/>
                <w:color w:val="00B0F0"/>
                <w:lang w:eastAsia="zh-CN"/>
              </w:rPr>
            </w:pPr>
            <w:r>
              <w:rPr>
                <w:rFonts w:ascii="Times New Roman" w:hAnsi="Times New Roman" w:cs="Times New Roman"/>
              </w:rPr>
              <w:t>FFS whether any positioning method specific capability IEs should be grouped by positioning method.</w:t>
            </w:r>
          </w:p>
          <w:p>
            <w:pPr>
              <w:jc w:val="both"/>
              <w:rPr>
                <w:rFonts w:ascii="Times New Roman" w:hAnsi="Times New Roman" w:cs="Times New Roman"/>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About the IE structure, </w:t>
            </w:r>
            <w:r>
              <w:rPr>
                <w:rFonts w:hint="eastAsia" w:ascii="Times New Roman" w:hAnsi="Times New Roman" w:cs="Times New Roman"/>
                <w:sz w:val="20"/>
                <w:szCs w:val="20"/>
                <w:lang w:eastAsia="zh-CN"/>
              </w:rPr>
              <w:t>R</w:t>
            </w:r>
            <w:r>
              <w:rPr>
                <w:rFonts w:ascii="Times New Roman" w:hAnsi="Times New Roman" w:cs="Times New Roman"/>
                <w:sz w:val="20"/>
                <w:szCs w:val="20"/>
                <w:lang w:eastAsia="zh-CN"/>
              </w:rPr>
              <w:t>AN1 is discussing unified positioning request/report (NRPPa like structure) vs method specific request/report (LPP like structure). We think that so far the title of section 6.3.3 should be changed to “6.3.3</w:t>
            </w:r>
            <w:r>
              <w:rPr>
                <w:rFonts w:ascii="Times New Roman" w:hAnsi="Times New Roman" w:cs="Times New Roman"/>
                <w:sz w:val="20"/>
                <w:szCs w:val="20"/>
                <w:lang w:eastAsia="zh-CN"/>
              </w:rPr>
              <w:tab/>
            </w:r>
            <w:r>
              <w:rPr>
                <w:rFonts w:ascii="Times New Roman" w:hAnsi="Times New Roman" w:cs="Times New Roman"/>
                <w:sz w:val="20"/>
                <w:szCs w:val="20"/>
                <w:lang w:eastAsia="zh-CN"/>
              </w:rPr>
              <w:t>Positioning information elements” or “6.3.3</w:t>
            </w:r>
            <w:r>
              <w:rPr>
                <w:rFonts w:ascii="Times New Roman" w:hAnsi="Times New Roman" w:cs="Times New Roman"/>
                <w:sz w:val="20"/>
                <w:szCs w:val="20"/>
                <w:lang w:eastAsia="zh-CN"/>
              </w:rPr>
              <w:tab/>
            </w:r>
            <w:r>
              <w:rPr>
                <w:rFonts w:ascii="Times New Roman" w:hAnsi="Times New Roman" w:cs="Times New Roman"/>
                <w:sz w:val="20"/>
                <w:szCs w:val="20"/>
                <w:lang w:eastAsia="zh-CN"/>
              </w:rPr>
              <w:t>Positioning [Method] information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ascii="Times New Roman" w:hAnsi="Times New Roman" w:cs="Times New Roman"/>
                <w:sz w:val="20"/>
                <w:szCs w:val="20"/>
              </w:rPr>
            </w:pPr>
          </w:p>
        </w:tc>
        <w:tc>
          <w:tcPr>
            <w:tcW w:w="631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We may keep the reliable transport part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350"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Yes</w:t>
            </w:r>
          </w:p>
        </w:tc>
        <w:tc>
          <w:tcPr>
            <w:tcW w:w="631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Agree this as baseline. Further, the different cast type of SLPP message may be included in the section 5 for each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p>
        </w:tc>
        <w:tc>
          <w:tcPr>
            <w:tcW w:w="1350" w:type="dxa"/>
          </w:tcPr>
          <w:p>
            <w:pPr>
              <w:jc w:val="both"/>
              <w:rPr>
                <w:rFonts w:ascii="Times New Roman" w:hAnsi="Times New Roman" w:cs="Times New Roman"/>
                <w:sz w:val="20"/>
                <w:szCs w:val="20"/>
              </w:rPr>
            </w:pPr>
          </w:p>
        </w:tc>
        <w:tc>
          <w:tcPr>
            <w:tcW w:w="6318" w:type="dxa"/>
          </w:tcPr>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pStyle w:val="5"/>
        <w:rPr>
          <w:rFonts w:eastAsia="宋体" w:asciiTheme="minorHAnsi" w:hAnsiTheme="minorHAnsi" w:cstheme="minorBidi"/>
          <w:lang w:eastAsia="en-US"/>
        </w:rPr>
      </w:pPr>
      <w:r>
        <w:t>3.2 Open issues for the TS38.355</w:t>
      </w:r>
    </w:p>
    <w:p>
      <w:pPr>
        <w:pStyle w:val="5"/>
        <w:rPr>
          <w:rFonts w:eastAsia="MS Mincho"/>
          <w:lang w:eastAsia="ja-JP"/>
        </w:rPr>
      </w:pPr>
      <w:bookmarkStart w:id="2" w:name="_Toc52548257"/>
      <w:bookmarkStart w:id="3" w:name="_Toc52547197"/>
      <w:bookmarkStart w:id="4" w:name="_Toc46486322"/>
      <w:bookmarkStart w:id="5" w:name="_Toc52546667"/>
      <w:bookmarkStart w:id="6" w:name="_Toc52547727"/>
      <w:bookmarkStart w:id="7" w:name="_Toc131518792"/>
      <w:bookmarkStart w:id="8" w:name="_Toc37680752"/>
      <w:bookmarkStart w:id="9" w:name="_Toc27765095"/>
      <w:bookmarkStart w:id="10" w:name="_Toc131140011"/>
      <w:r>
        <w:rPr>
          <w:rFonts w:eastAsia="MS Mincho"/>
          <w:lang w:eastAsia="ja-JP"/>
        </w:rPr>
        <w:t>3.2.1</w:t>
      </w:r>
      <w:r>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pPr>
        <w:pStyle w:val="113"/>
      </w:pPr>
    </w:p>
    <w:p>
      <w:pPr>
        <w:jc w:val="both"/>
        <w:rPr>
          <w:rFonts w:ascii="Times New Roman" w:hAnsi="Times New Roman" w:cs="Times New Roman"/>
          <w:sz w:val="20"/>
          <w:szCs w:val="20"/>
        </w:rPr>
      </w:pPr>
      <w:r>
        <w:rPr>
          <w:rFonts w:ascii="Times New Roman" w:hAnsi="Times New Roman" w:cs="Times New Roman"/>
          <w:sz w:val="20"/>
          <w:szCs w:val="20"/>
        </w:rPr>
        <w:t>R2-2302738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pPr>
        <w:jc w:val="both"/>
        <w:rPr>
          <w:rFonts w:ascii="Times New Roman" w:hAnsi="Times New Roman" w:cs="Times New Roman"/>
          <w:sz w:val="20"/>
          <w:szCs w:val="2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 xml:space="preserve">To our understanding, the principle used for PC5 RRC is to follow legacy RRC, i.e. Need code is applied if the PC5 RRC message is defined as downlink in legacy RRC, e.g. Need code is applied for </w:t>
            </w:r>
            <w:r>
              <w:rPr>
                <w:rFonts w:ascii="Times New Roman" w:hAnsi="Times New Roman" w:cs="Times New Roman"/>
                <w:i/>
                <w:iCs/>
                <w:sz w:val="20"/>
                <w:szCs w:val="20"/>
              </w:rPr>
              <w:t>RRCReconfigurationSidelink</w:t>
            </w:r>
            <w:r>
              <w:rPr>
                <w:rFonts w:ascii="Times New Roman" w:hAnsi="Times New Roman" w:cs="Times New Roman"/>
                <w:sz w:val="20"/>
                <w:szCs w:val="20"/>
              </w:rPr>
              <w:t xml:space="preserve">  message, but not applied for </w:t>
            </w:r>
            <w:r>
              <w:rPr>
                <w:rFonts w:ascii="Times New Roman" w:hAnsi="Times New Roman" w:cs="Times New Roman"/>
                <w:i/>
                <w:iCs/>
                <w:sz w:val="20"/>
                <w:szCs w:val="20"/>
              </w:rPr>
              <w:t>RRCReconfigurationCompleteSidelink</w:t>
            </w:r>
            <w:r>
              <w:rPr>
                <w:rFonts w:ascii="Times New Roman" w:hAnsi="Times New Roman" w:cs="Times New Roman"/>
                <w:sz w:val="20"/>
                <w:szCs w:val="20"/>
              </w:rPr>
              <w:t xml:space="preserve">  message. We can follow the same principle for SLPP message, i.e. Need code is applied for the messages which are provided from anchor/server to a target UE.</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2: Need code is applied for SLPP messages transmitted from the anchor/server node/UE. </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2:  Do companies agree the proposal 2 in R2-2302738 , i.e. </w:t>
      </w:r>
    </w:p>
    <w:p>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es,but</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need code also needs to be considered in the scenario of UE-LMF singaling</w:t>
            </w:r>
          </w:p>
          <w:p>
            <w:pPr>
              <w:jc w:val="both"/>
              <w:rPr>
                <w:rFonts w:ascii="Times New Roman" w:hAnsi="Times New Roman" w:cs="Times New Roman"/>
                <w:sz w:val="20"/>
                <w:szCs w:val="20"/>
                <w:lang w:eastAsia="zh-CN"/>
              </w:rPr>
            </w:pPr>
            <w:r>
              <w:rPr>
                <w:rFonts w:ascii="Times New Roman" w:hAnsi="Times New Roman" w:cs="Times New Roman"/>
                <w:color w:val="00B0F0"/>
                <w:lang w:eastAsia="zh-CN"/>
              </w:rPr>
              <w:t>[Rapp]  I assume we do not need to mention it since LMF is also the location server?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Delta signaling and need codes should be applied specific to the SLPP message. In our contribution R2-2302885 we discussed the applicability of delta signaling for the candidate SLPP messages and concluded that until now delta signaling should be applied at least for the unicast transmission of the SLPP ProvideAssistanceData message. We see no value in applying delta signaling e.g. for the error and abort messages when they are sent from the anchor/server node/UE to the target UE.</w:t>
            </w:r>
          </w:p>
          <w:p>
            <w:pPr>
              <w:jc w:val="both"/>
              <w:rPr>
                <w:rFonts w:ascii="Times New Roman" w:hAnsi="Times New Roman" w:cs="Times New Roman"/>
                <w:sz w:val="20"/>
                <w:szCs w:val="20"/>
              </w:rPr>
            </w:pPr>
            <w:r>
              <w:rPr>
                <w:rFonts w:ascii="Times New Roman" w:hAnsi="Times New Roman" w:cs="Times New Roman"/>
                <w:color w:val="00B0F0"/>
                <w:lang w:eastAsia="zh-CN"/>
              </w:rPr>
              <w:t xml:space="preserve">[Rapp]  I see your point. We may change it to “Need code is applied for SLPP messages transmitted from the anchor/server node/UE </w:t>
            </w:r>
            <w:r>
              <w:rPr>
                <w:rFonts w:ascii="Times New Roman" w:hAnsi="Times New Roman" w:cs="Times New Roman"/>
                <w:color w:val="FF0000"/>
                <w:lang w:eastAsia="zh-CN"/>
              </w:rPr>
              <w:t>when delta signalling is applied</w:t>
            </w:r>
            <w:r>
              <w:rPr>
                <w:rFonts w:ascii="Times New Roman" w:hAnsi="Times New Roman" w:cs="Times New Roman"/>
                <w:color w:val="00B0F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Updated based on Lenovo’s comments</w:t>
            </w:r>
          </w:p>
          <w:p>
            <w:pPr>
              <w:jc w:val="both"/>
              <w:rPr>
                <w:rFonts w:ascii="Times New Roman" w:hAnsi="Times New Roman" w:cs="Times New Roman"/>
                <w:sz w:val="20"/>
                <w:szCs w:val="20"/>
              </w:rPr>
            </w:pPr>
            <w:r>
              <w:rPr>
                <w:rFonts w:ascii="Times New Roman" w:hAnsi="Times New Roman" w:cs="Times New Roman"/>
                <w:color w:val="00B0F0"/>
                <w:lang w:eastAsia="zh-CN"/>
              </w:rPr>
              <w:t xml:space="preserve">Need code is applied for SLPP messages transmitted from the anchor/server node/UE </w:t>
            </w:r>
            <w:r>
              <w:rPr>
                <w:rFonts w:ascii="Times New Roman" w:hAnsi="Times New Roman" w:cs="Times New Roman"/>
                <w:color w:val="FF0000"/>
                <w:lang w:eastAsia="zh-CN"/>
              </w:rPr>
              <w:t>when delta signalling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but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 xml:space="preserve">gree with </w:t>
            </w:r>
            <w:r>
              <w:rPr>
                <w:rFonts w:ascii="Times New Roman" w:hAnsi="Times New Roman" w:cs="Times New Roman"/>
                <w:sz w:val="20"/>
                <w:szCs w:val="20"/>
              </w:rPr>
              <w:t>Lenovo</w:t>
            </w:r>
            <w:r>
              <w:rPr>
                <w:rFonts w:hint="eastAsia" w:ascii="Times New Roman" w:hAnsi="Times New Roman" w:cs="Times New Roman"/>
                <w:sz w:val="20"/>
                <w:szCs w:val="20"/>
                <w:lang w:eastAsia="zh-CN"/>
              </w:rPr>
              <w:t xml:space="preserve"> to discuss d</w:t>
            </w:r>
            <w:r>
              <w:rPr>
                <w:rFonts w:ascii="Times New Roman" w:hAnsi="Times New Roman" w:cs="Times New Roman"/>
                <w:sz w:val="20"/>
                <w:szCs w:val="20"/>
              </w:rPr>
              <w:t>elta signaling and need codes</w:t>
            </w:r>
            <w:r>
              <w:rPr>
                <w:rFonts w:hint="eastAsia" w:ascii="Times New Roman" w:hAnsi="Times New Roman" w:cs="Times New Roman"/>
                <w:sz w:val="20"/>
                <w:szCs w:val="20"/>
                <w:lang w:eastAsia="zh-CN"/>
              </w:rPr>
              <w:t xml:space="preserve"> based on the </w:t>
            </w:r>
            <w:r>
              <w:rPr>
                <w:rFonts w:ascii="Times New Roman" w:hAnsi="Times New Roman" w:cs="Times New Roman"/>
                <w:sz w:val="20"/>
                <w:szCs w:val="20"/>
              </w:rPr>
              <w:t>specific SLPP message</w:t>
            </w:r>
            <w:r>
              <w:rPr>
                <w:rFonts w:hint="eastAsia" w:ascii="Times New Roman" w:hAnsi="Times New Roman" w:cs="Times New Roman"/>
                <w:sz w:val="20"/>
                <w:szCs w:val="20"/>
                <w:lang w:eastAsia="zh-CN"/>
              </w:rPr>
              <w:t>. At this stage, we can agree not to exclude d</w:t>
            </w:r>
            <w:r>
              <w:rPr>
                <w:rFonts w:ascii="Times New Roman" w:hAnsi="Times New Roman" w:cs="Times New Roman"/>
                <w:sz w:val="20"/>
                <w:szCs w:val="20"/>
              </w:rPr>
              <w:t>elta signaling and need codes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assume only the entity who is responsible for </w:t>
            </w:r>
            <w:r>
              <w:rPr>
                <w:rFonts w:hint="eastAsia" w:ascii="Times New Roman" w:hAnsi="Times New Roman" w:cs="Times New Roman"/>
                <w:sz w:val="20"/>
                <w:szCs w:val="20"/>
                <w:lang w:eastAsia="zh-CN"/>
              </w:rPr>
              <w:t>coordination</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of</w:t>
            </w:r>
            <w:r>
              <w:rPr>
                <w:rFonts w:ascii="Times New Roman" w:hAnsi="Times New Roman" w:cs="Times New Roman"/>
                <w:sz w:val="20"/>
                <w:szCs w:val="20"/>
                <w:lang w:eastAsia="zh-CN"/>
              </w:rPr>
              <w:t xml:space="preserve"> SL positioning will use the delta signaling. Thus anchor UE can be </w:t>
            </w:r>
            <w:r>
              <w:rPr>
                <w:rFonts w:hint="eastAsia" w:ascii="Times New Roman" w:hAnsi="Times New Roman" w:cs="Times New Roman"/>
                <w:sz w:val="20"/>
                <w:szCs w:val="20"/>
                <w:lang w:eastAsia="zh-CN"/>
              </w:rPr>
              <w:t>excluded</w:t>
            </w:r>
            <w:r>
              <w:rPr>
                <w:rFonts w:ascii="Times New Roman" w:hAnsi="Times New Roman" w:cs="Times New Roman"/>
                <w:sz w:val="20"/>
                <w:szCs w:val="20"/>
                <w:lang w:eastAsia="zh-CN"/>
              </w:rPr>
              <w:t xml:space="preserve">. </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Besides, we would further clarify the server node/UE as LMF/positioning server UE.</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Therefore, we propose to make the following update:</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Need code is applied for SLPP messages transmitted from the </w:t>
            </w:r>
            <w:r>
              <w:rPr>
                <w:rFonts w:ascii="Times New Roman" w:hAnsi="Times New Roman" w:cs="Times New Roman"/>
                <w:color w:val="FF0000"/>
                <w:sz w:val="20"/>
                <w:szCs w:val="20"/>
                <w:lang w:eastAsia="zh-CN"/>
              </w:rPr>
              <w:t>LMF/positioning server UE</w:t>
            </w:r>
            <w:r>
              <w:rPr>
                <w:rFonts w:ascii="Times New Roman" w:hAnsi="Times New Roman" w:cs="Times New Roman"/>
                <w:sz w:val="20"/>
                <w:szCs w:val="20"/>
                <w:lang w:eastAsia="zh-CN"/>
              </w:rPr>
              <w:t xml:space="preserve"> when delta signalling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318" w:type="dxa"/>
          </w:tcPr>
          <w:p>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Different from LPP where there is the concept of location server to control all the configurations, the configuration of SLPP may come from either target UE, anchor UE, server UE. For example, for ranging, both target UE and anchor UE would send SL PRS configuration to each other. So, both target UE and anchor UE should be able to support delta configuration. We did agree that server UE can performs assistant data distribution, but it doesn</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t mean that it is server UE that always performs assistant data distribution. Besides, even it is the server UE to perform the assistant data distribution, it needs to receive the assistant data from either anchor or target UE, then delta configuration should also be applicable. </w:t>
            </w:r>
          </w:p>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Please Note that for sidelink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 but</w:t>
            </w:r>
          </w:p>
        </w:tc>
        <w:tc>
          <w:tcPr>
            <w:tcW w:w="6318" w:type="dxa"/>
          </w:tcPr>
          <w:p>
            <w:pPr>
              <w:jc w:val="both"/>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Need code is applied in Uu in DL message, however SL does not have clear DL and UL, and need code application should be based on per IE, not per node. So agree with CATT.</w:t>
            </w:r>
          </w:p>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Delta signaling is </w:t>
            </w:r>
            <w:r>
              <w:rPr>
                <w:rFonts w:hint="default" w:ascii="Times New Roman" w:hAnsi="Times New Roman" w:cs="Times New Roman"/>
                <w:sz w:val="20"/>
                <w:szCs w:val="20"/>
                <w:lang w:val="en-US" w:eastAsia="zh-CN"/>
              </w:rPr>
              <w:t>ToAddModList and ToReleaseList</w:t>
            </w:r>
            <w:r>
              <w:rPr>
                <w:rFonts w:hint="eastAsia" w:ascii="Times New Roman" w:hAnsi="Times New Roman" w:cs="Times New Roman"/>
                <w:sz w:val="20"/>
                <w:szCs w:val="20"/>
                <w:lang w:val="en-US" w:eastAsia="zh-CN"/>
              </w:rPr>
              <w:t>. It is independent from need code. We are not sure why need code can be applied only when delta signaling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eastAsia" w:ascii="Times New Roman" w:hAnsi="Times New Roman" w:cs="Times New Roman"/>
                <w:sz w:val="20"/>
                <w:szCs w:val="20"/>
                <w:lang w:val="en-US" w:eastAsia="zh-CN"/>
              </w:rPr>
            </w:pPr>
          </w:p>
        </w:tc>
        <w:tc>
          <w:tcPr>
            <w:tcW w:w="1350" w:type="dxa"/>
          </w:tcPr>
          <w:p>
            <w:pPr>
              <w:jc w:val="both"/>
              <w:rPr>
                <w:rFonts w:hint="eastAsia" w:ascii="Times New Roman" w:hAnsi="Times New Roman" w:cs="Times New Roman"/>
                <w:sz w:val="20"/>
                <w:szCs w:val="20"/>
                <w:lang w:val="en-US" w:eastAsia="zh-CN"/>
              </w:rPr>
            </w:pPr>
          </w:p>
        </w:tc>
        <w:tc>
          <w:tcPr>
            <w:tcW w:w="6318" w:type="dxa"/>
          </w:tcPr>
          <w:p>
            <w:pPr>
              <w:jc w:val="both"/>
              <w:rPr>
                <w:rFonts w:hint="eastAsia" w:ascii="Times New Roman" w:hAnsi="Times New Roman" w:cs="Times New Roman"/>
                <w:sz w:val="20"/>
                <w:szCs w:val="20"/>
                <w:lang w:val="en-US" w:eastAsia="zh-CN"/>
              </w:rPr>
            </w:pPr>
          </w:p>
        </w:tc>
      </w:tr>
    </w:tbl>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discussed </w:t>
      </w:r>
      <w:r>
        <w:rPr>
          <w:rFonts w:ascii="Times New Roman" w:hAnsi="Times New Roman" w:cs="Times New Roman"/>
          <w:sz w:val="20"/>
          <w:szCs w:val="20"/>
        </w:rPr>
        <w:t>open issue FFS support of delta signalling for unicast transmission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1:</w:t>
            </w:r>
            <w:r>
              <w:rPr>
                <w:rFonts w:ascii="Times New Roman" w:hAnsi="Times New Roman" w:cs="Times New Roman"/>
              </w:rPr>
              <w:t xml:space="preserve"> Delta signaling is applied for the unicast transmission of the SLPP ProvideAssistanceData message.</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3:  Do companies agree the proposal 1 in R2-2302885 , i.e. </w:t>
      </w:r>
    </w:p>
    <w:p>
      <w:pPr>
        <w:rPr>
          <w:lang w:eastAsia="en-GB"/>
        </w:rPr>
      </w:pPr>
      <w:r>
        <w:rPr>
          <w:rFonts w:ascii="Times New Roman" w:hAnsi="Times New Roman" w:cs="Times New Roman"/>
          <w:b/>
          <w:bCs/>
          <w:sz w:val="20"/>
          <w:szCs w:val="20"/>
        </w:rPr>
        <w:t xml:space="preserve">Delta signaling is applied for the unicast transmission of the SLPP ProvideAssistanceData message..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rPr>
            </w:pP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T</w:t>
            </w:r>
            <w:r>
              <w:rPr>
                <w:rFonts w:ascii="Times New Roman" w:hAnsi="Times New Roman" w:cs="Times New Roman"/>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We assumed that same as in LPP the unicast SLPP ProvideAssistanceData message may contain information which was not requested by the target entity and may be sent periodically upon request by the target device. Of course these assumptions need to be confirmed.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Unicast assistance data message. But we would be ok to postpone the discussion until the parameters details are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ame comment as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318"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Not sure</w:t>
            </w:r>
          </w:p>
        </w:tc>
        <w:tc>
          <w:tcPr>
            <w:tcW w:w="6318" w:type="dxa"/>
          </w:tcPr>
          <w:p>
            <w:pPr>
              <w:jc w:val="both"/>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We are not sure whether there is a need to introduce delta signaling in SLPP, since LPP does not have. Are we assuming the the signaling payload of SLPP AD is very large and reconfigure frequently? If not, we suggest to keep LPP way as baseline for now, and if usecase of necessary is detected, the delta signaling can be supported then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eastAsia" w:ascii="Times New Roman" w:hAnsi="Times New Roman" w:cs="Times New Roman"/>
                <w:sz w:val="20"/>
                <w:szCs w:val="20"/>
                <w:lang w:val="en-US" w:eastAsia="zh-CN"/>
              </w:rPr>
            </w:pPr>
          </w:p>
        </w:tc>
        <w:tc>
          <w:tcPr>
            <w:tcW w:w="1350" w:type="dxa"/>
          </w:tcPr>
          <w:p>
            <w:pPr>
              <w:jc w:val="both"/>
              <w:rPr>
                <w:rFonts w:hint="eastAsia" w:ascii="Times New Roman" w:hAnsi="Times New Roman" w:cs="Times New Roman"/>
                <w:sz w:val="20"/>
                <w:szCs w:val="20"/>
                <w:lang w:val="en-US" w:eastAsia="zh-CN"/>
              </w:rPr>
            </w:pPr>
          </w:p>
        </w:tc>
        <w:tc>
          <w:tcPr>
            <w:tcW w:w="6318" w:type="dxa"/>
          </w:tcPr>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p>
    <w:p>
      <w:pPr>
        <w:jc w:val="both"/>
        <w:rPr>
          <w:rFonts w:ascii="Times New Roman" w:hAnsi="Times New Roman" w:cs="Times New Roman"/>
          <w:sz w:val="20"/>
          <w:szCs w:val="20"/>
        </w:rPr>
      </w:pPr>
      <w:r>
        <w:rPr>
          <w:rFonts w:ascii="Times New Roman" w:hAnsi="Times New Roman" w:cs="Times New Roman"/>
          <w:sz w:val="20"/>
          <w:lang w:val="en-GB" w:eastAsia="en-GB"/>
        </w:rPr>
        <w:t xml:space="preserve">R2-2302885 also discussed </w:t>
      </w:r>
      <w:r>
        <w:rPr>
          <w:rFonts w:ascii="Times New Roman" w:hAnsi="Times New Roman" w:cs="Times New Roman"/>
          <w:sz w:val="20"/>
          <w:szCs w:val="20"/>
        </w:rPr>
        <w:t>open issue FFS support of delta signalling for groupcast/broadcast transmission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2:</w:t>
            </w:r>
            <w:r>
              <w:rPr>
                <w:rFonts w:ascii="Times New Roman" w:hAnsi="Times New Roman" w:cs="Times New Roman"/>
              </w:rPr>
              <w:t xml:space="preserve"> Delta signaling may be applied for the groupcast transmission of the SLPP ProvideAssistanceData message when protection of groupcast transmission of SL positioning assistance data information can be ensured.</w:t>
            </w:r>
          </w:p>
          <w:p>
            <w:pPr>
              <w:spacing w:after="0"/>
              <w:jc w:val="both"/>
              <w:rPr>
                <w:rFonts w:ascii="Times New Roman" w:hAnsi="Times New Roman" w:cs="Times New Roman"/>
              </w:rPr>
            </w:pPr>
          </w:p>
          <w:p>
            <w:pPr>
              <w:spacing w:after="0"/>
              <w:jc w:val="both"/>
              <w:rPr>
                <w:rFonts w:ascii="Times New Roman" w:hAnsi="Times New Roman" w:cs="Times New Roman"/>
              </w:rPr>
            </w:pPr>
            <w:r>
              <w:rPr>
                <w:rFonts w:ascii="Times New Roman" w:hAnsi="Times New Roman" w:cs="Times New Roman"/>
                <w:b/>
                <w:bCs/>
              </w:rPr>
              <w:t>Proposal 3:</w:t>
            </w:r>
            <w:r>
              <w:rPr>
                <w:rFonts w:ascii="Times New Roman" w:hAnsi="Times New Roman" w:cs="Times New Roman"/>
              </w:rPr>
              <w:t xml:space="preserve"> No delta signaling is applied for the broadcast transmission of the SLPP ProvideAssistanceData message if supported.</w:t>
            </w:r>
          </w:p>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4:  Do companies agree the proposal 2 in R2-2302885 , i.e. </w:t>
      </w:r>
    </w:p>
    <w:p>
      <w:pPr>
        <w:rPr>
          <w:rFonts w:ascii="Times New Roman" w:hAnsi="Times New Roman" w:cs="Times New Roman"/>
          <w:b/>
          <w:bCs/>
          <w:sz w:val="20"/>
          <w:szCs w:val="20"/>
        </w:rPr>
      </w:pPr>
      <w:r>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pPr>
        <w:rPr>
          <w:lang w:eastAsia="en-GB"/>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1"/>
        <w:gridCol w:w="1342"/>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2"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7"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42" w:type="dxa"/>
          </w:tcPr>
          <w:p>
            <w:pPr>
              <w:jc w:val="both"/>
              <w:rPr>
                <w:rFonts w:ascii="Times New Roman" w:hAnsi="Times New Roman" w:cs="Times New Roman"/>
                <w:sz w:val="20"/>
                <w:szCs w:val="20"/>
                <w:lang w:eastAsia="zh-CN"/>
              </w:rPr>
            </w:pPr>
          </w:p>
        </w:tc>
        <w:tc>
          <w:tcPr>
            <w:tcW w:w="6137"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w:t>
            </w:r>
            <w:r>
              <w:rPr>
                <w:rFonts w:ascii="Times New Roman" w:hAnsi="Times New Roman" w:cs="Times New Roman"/>
                <w:sz w:val="20"/>
                <w:szCs w:val="20"/>
                <w:lang w:eastAsia="zh-CN"/>
              </w:rPr>
              <w:t>imilar to the unicast scenario, requirements need to be first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42"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7" w:type="dxa"/>
          </w:tcPr>
          <w:p>
            <w:pPr>
              <w:jc w:val="both"/>
              <w:rPr>
                <w:rFonts w:ascii="Times New Roman" w:hAnsi="Times New Roman" w:cs="Times New Roman"/>
                <w:sz w:val="20"/>
                <w:szCs w:val="20"/>
              </w:rPr>
            </w:pPr>
            <w:r>
              <w:rPr>
                <w:rFonts w:ascii="Times New Roman" w:hAnsi="Times New Roman" w:cs="Times New Roman"/>
                <w:sz w:val="20"/>
                <w:szCs w:val="20"/>
              </w:rPr>
              <w:t>But we are ok to defer this proposal until decision on support of groupcast transmission has been made and scenarios/requirements for groupcast transmission become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42"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7" w:type="dxa"/>
          </w:tcPr>
          <w:p>
            <w:pPr>
              <w:jc w:val="both"/>
              <w:rPr>
                <w:rFonts w:ascii="Times New Roman" w:hAnsi="Times New Roman" w:cs="Times New Roman"/>
                <w:sz w:val="20"/>
                <w:szCs w:val="20"/>
              </w:rPr>
            </w:pPr>
            <w:r>
              <w:rPr>
                <w:rFonts w:ascii="Times New Roman" w:hAnsi="Times New Roman" w:cs="Times New Roman"/>
                <w:sz w:val="20"/>
                <w:szCs w:val="20"/>
              </w:rPr>
              <w:t xml:space="preserve">In principle, we see the benefit to support delta signalling for groupcast assistance data message. But we would be ok to postpone the discussion until the parameters details are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42"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Not sure</w:t>
            </w:r>
          </w:p>
        </w:tc>
        <w:tc>
          <w:tcPr>
            <w:tcW w:w="6137"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For groupcast, group members may be changed during the SLPP procedure. If group </w:t>
            </w:r>
            <w:r>
              <w:rPr>
                <w:rFonts w:ascii="Times New Roman" w:hAnsi="Times New Roman" w:cs="Times New Roman"/>
                <w:sz w:val="20"/>
                <w:szCs w:val="20"/>
                <w:lang w:eastAsia="zh-CN"/>
              </w:rPr>
              <w:t>member</w:t>
            </w:r>
            <w:r>
              <w:rPr>
                <w:rFonts w:hint="eastAsia" w:ascii="Times New Roman" w:hAnsi="Times New Roman" w:cs="Times New Roman"/>
                <w:sz w:val="20"/>
                <w:szCs w:val="20"/>
                <w:lang w:eastAsia="zh-CN"/>
              </w:rPr>
              <w:t xml:space="preserve"> change is not allowed, d</w:t>
            </w:r>
            <w:r>
              <w:rPr>
                <w:rFonts w:ascii="Times New Roman" w:hAnsi="Times New Roman" w:cs="Times New Roman"/>
                <w:sz w:val="20"/>
                <w:szCs w:val="20"/>
                <w:lang w:eastAsia="zh-CN"/>
              </w:rPr>
              <w:t>elta signaling</w:t>
            </w:r>
            <w:r>
              <w:rPr>
                <w:rFonts w:hint="eastAsia" w:ascii="Times New Roman" w:hAnsi="Times New Roman" w:cs="Times New Roman"/>
                <w:sz w:val="20"/>
                <w:szCs w:val="20"/>
                <w:lang w:eastAsia="zh-CN"/>
              </w:rPr>
              <w:t xml:space="preserve"> can be considered. Otherwise, d</w:t>
            </w:r>
            <w:r>
              <w:rPr>
                <w:rFonts w:ascii="Times New Roman" w:hAnsi="Times New Roman" w:cs="Times New Roman"/>
                <w:sz w:val="20"/>
                <w:szCs w:val="20"/>
                <w:lang w:eastAsia="zh-CN"/>
              </w:rPr>
              <w:t>elta signaling</w:t>
            </w:r>
            <w:r>
              <w:rPr>
                <w:rFonts w:hint="eastAsia" w:ascii="Times New Roman" w:hAnsi="Times New Roman" w:cs="Times New Roman"/>
                <w:sz w:val="20"/>
                <w:szCs w:val="20"/>
                <w:lang w:eastAsia="zh-CN"/>
              </w:rPr>
              <w:t xml:space="preserve"> should not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42"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ot sure</w:t>
            </w:r>
          </w:p>
        </w:tc>
        <w:tc>
          <w:tcPr>
            <w:tcW w:w="6137"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Firstly, scenarios/requirements for groupcast transmission is not clear as mentioned by Lenovo. Secondly, agree with CATT that group member change is an issue, e.g., a new member is added after the initial configuration, but before the delta configuration. Thirdly, we are not sure whether groupcast can ensure that all the member can receive the message. If not, what is the UE’s action if the UE receives the delta, but not the initial configuration. Even the UE may be not able to distinguish initial configuration or delta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42" w:type="dxa"/>
          </w:tcPr>
          <w:p>
            <w:pPr>
              <w:jc w:val="both"/>
              <w:rPr>
                <w:rFonts w:hint="eastAsia" w:ascii="Times New Roman" w:hAnsi="Times New Roman" w:cs="Times New Roman"/>
                <w:sz w:val="20"/>
                <w:szCs w:val="20"/>
                <w:lang w:eastAsia="zh-CN"/>
              </w:rPr>
            </w:pPr>
          </w:p>
        </w:tc>
        <w:tc>
          <w:tcPr>
            <w:tcW w:w="6137"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should wait until the functionality of groupcast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42"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137"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 need to introduce delta signaling to groupcast and broadcast. Delta signaling is an optimization but it can not guarantee the complete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1" w:type="dxa"/>
          </w:tcPr>
          <w:p>
            <w:pPr>
              <w:jc w:val="both"/>
              <w:rPr>
                <w:rFonts w:hint="eastAsia" w:ascii="Times New Roman" w:hAnsi="Times New Roman" w:cs="Times New Roman"/>
                <w:sz w:val="20"/>
                <w:szCs w:val="20"/>
                <w:lang w:val="en-US" w:eastAsia="zh-CN"/>
              </w:rPr>
            </w:pPr>
          </w:p>
        </w:tc>
        <w:tc>
          <w:tcPr>
            <w:tcW w:w="1342" w:type="dxa"/>
          </w:tcPr>
          <w:p>
            <w:pPr>
              <w:jc w:val="both"/>
              <w:rPr>
                <w:rFonts w:hint="eastAsia" w:ascii="Times New Roman" w:hAnsi="Times New Roman" w:cs="Times New Roman"/>
                <w:sz w:val="20"/>
                <w:szCs w:val="20"/>
                <w:lang w:eastAsia="zh-CN"/>
              </w:rPr>
            </w:pPr>
          </w:p>
        </w:tc>
        <w:tc>
          <w:tcPr>
            <w:tcW w:w="6137" w:type="dxa"/>
          </w:tcPr>
          <w:p>
            <w:pPr>
              <w:jc w:val="both"/>
              <w:rPr>
                <w:rFonts w:hint="eastAsia" w:ascii="Times New Roman" w:hAnsi="Times New Roman" w:cs="Times New Roman"/>
                <w:sz w:val="20"/>
                <w:szCs w:val="20"/>
                <w:lang w:val="en-US" w:eastAsia="zh-CN"/>
              </w:rPr>
            </w:pPr>
          </w:p>
        </w:tc>
      </w:tr>
    </w:tbl>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5:  Do companies agree the proposal 3 in R2-2302885 , i.e. </w:t>
      </w:r>
    </w:p>
    <w:p>
      <w:pPr>
        <w:rPr>
          <w:lang w:eastAsia="en-GB"/>
        </w:rPr>
      </w:pPr>
      <w:r>
        <w:rPr>
          <w:rFonts w:ascii="Times New Roman" w:hAnsi="Times New Roman" w:cs="Times New Roman"/>
          <w:b/>
          <w:bCs/>
          <w:sz w:val="20"/>
          <w:szCs w:val="20"/>
        </w:rPr>
        <w:t xml:space="preserve">No delta signaling is applied for the broadcast transmission of the SLPP ProvideAssistanceData message if supported..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1343"/>
        <w:gridCol w:w="6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43"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131"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 xml:space="preserve">uawei, </w:t>
            </w:r>
            <w:r>
              <w:rPr>
                <w:rFonts w:hint="eastAsia" w:ascii="Times New Roman" w:hAnsi="Times New Roman" w:cs="Times New Roman"/>
                <w:sz w:val="20"/>
                <w:szCs w:val="20"/>
                <w:lang w:eastAsia="zh-CN"/>
              </w:rPr>
              <w:t>HiSIlicon</w:t>
            </w:r>
          </w:p>
        </w:tc>
        <w:tc>
          <w:tcPr>
            <w:tcW w:w="134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31"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There is no UE state in the configuration by broadcast and it is not possible to configure by delta signaling. This is the same as the current SIB and posSIB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rPr>
              <w:t>We can agree on it as working assumption since the final decision on support of broadcast transmission is subject to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rPr>
              <w:t xml:space="preserve">Agree with Huawei and Lenovo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43"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131" w:type="dxa"/>
          </w:tcPr>
          <w:p>
            <w:pPr>
              <w:jc w:val="both"/>
              <w:rPr>
                <w:rFonts w:ascii="Times New Roman" w:hAnsi="Times New Roman" w:cs="Times New Roman"/>
                <w:sz w:val="20"/>
                <w:szCs w:val="20"/>
              </w:rPr>
            </w:pPr>
            <w:r>
              <w:rPr>
                <w:rFonts w:ascii="Times New Roman" w:hAnsi="Times New Roman" w:cs="Times New Roman"/>
                <w:sz w:val="20"/>
                <w:szCs w:val="20"/>
                <w:lang w:eastAsia="zh-CN"/>
              </w:rPr>
              <w:t>A</w:t>
            </w:r>
            <w:r>
              <w:rPr>
                <w:rFonts w:hint="eastAsia" w:ascii="Times New Roman" w:hAnsi="Times New Roman" w:cs="Times New Roman"/>
                <w:sz w:val="20"/>
                <w:szCs w:val="20"/>
                <w:lang w:eastAsia="zh-CN"/>
              </w:rPr>
              <w:t xml:space="preserve">gree with Huawei, for broadcast, </w:t>
            </w:r>
            <w:r>
              <w:rPr>
                <w:rFonts w:ascii="Times New Roman" w:hAnsi="Times New Roman" w:cs="Times New Roman"/>
                <w:sz w:val="20"/>
                <w:szCs w:val="20"/>
                <w:lang w:eastAsia="zh-CN"/>
              </w:rPr>
              <w:t>which</w:t>
            </w:r>
            <w:r>
              <w:rPr>
                <w:rFonts w:hint="eastAsia" w:ascii="Times New Roman" w:hAnsi="Times New Roman" w:cs="Times New Roman"/>
                <w:sz w:val="20"/>
                <w:szCs w:val="20"/>
                <w:lang w:eastAsia="zh-CN"/>
              </w:rPr>
              <w:t xml:space="preserve"> UE is receiving the assistance data is unknown by the transmitter. So</w:t>
            </w:r>
            <w:r>
              <w:rPr>
                <w:rFonts w:ascii="Times New Roman" w:hAnsi="Times New Roman" w:cs="Times New Roman"/>
                <w:sz w:val="20"/>
                <w:szCs w:val="20"/>
                <w:lang w:eastAsia="zh-CN"/>
              </w:rPr>
              <w:t xml:space="preserve"> </w:t>
            </w:r>
            <w:r>
              <w:rPr>
                <w:rFonts w:hint="eastAsia" w:ascii="Times New Roman" w:hAnsi="Times New Roman" w:cs="Times New Roman"/>
                <w:sz w:val="20"/>
                <w:szCs w:val="20"/>
                <w:lang w:eastAsia="zh-CN"/>
              </w:rPr>
              <w:t xml:space="preserve">the idea of </w:t>
            </w:r>
            <w:r>
              <w:rPr>
                <w:rFonts w:ascii="Times New Roman" w:hAnsi="Times New Roman" w:cs="Times New Roman"/>
                <w:sz w:val="20"/>
                <w:szCs w:val="20"/>
                <w:lang w:eastAsia="zh-CN"/>
              </w:rPr>
              <w:t>exchange</w:t>
            </w:r>
            <w:r>
              <w:rPr>
                <w:rFonts w:hint="eastAsia" w:ascii="Times New Roman" w:hAnsi="Times New Roman" w:cs="Times New Roman"/>
                <w:sz w:val="20"/>
                <w:szCs w:val="20"/>
                <w:lang w:eastAsia="zh-CN"/>
              </w:rPr>
              <w:t xml:space="preserve"> messages</w:t>
            </w:r>
            <w:r>
              <w:rPr>
                <w:rFonts w:ascii="Times New Roman" w:hAnsi="Times New Roman" w:cs="Times New Roman"/>
                <w:sz w:val="20"/>
                <w:szCs w:val="20"/>
                <w:lang w:eastAsia="zh-CN"/>
              </w:rPr>
              <w:t xml:space="preserve"> by delta signaling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doesn’t</w:t>
            </w:r>
            <w:r>
              <w:rPr>
                <w:rFonts w:hint="eastAsia" w:ascii="Times New Roman" w:hAnsi="Times New Roman" w:cs="Times New Roman"/>
                <w:sz w:val="20"/>
                <w:szCs w:val="20"/>
                <w:lang w:eastAsia="zh-CN"/>
              </w:rPr>
              <w:t xml:space="preserve">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43"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131"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43"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131"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43"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131" w:type="dxa"/>
          </w:tcPr>
          <w:p>
            <w:pPr>
              <w:jc w:val="both"/>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6" w:type="dxa"/>
          </w:tcPr>
          <w:p>
            <w:pPr>
              <w:jc w:val="both"/>
              <w:rPr>
                <w:rFonts w:hint="eastAsia" w:ascii="Times New Roman" w:hAnsi="Times New Roman" w:cs="Times New Roman"/>
                <w:sz w:val="20"/>
                <w:szCs w:val="20"/>
                <w:lang w:val="en-US" w:eastAsia="zh-CN"/>
              </w:rPr>
            </w:pPr>
          </w:p>
        </w:tc>
        <w:tc>
          <w:tcPr>
            <w:tcW w:w="1343" w:type="dxa"/>
          </w:tcPr>
          <w:p>
            <w:pPr>
              <w:jc w:val="both"/>
              <w:rPr>
                <w:rFonts w:hint="eastAsia" w:ascii="Times New Roman" w:hAnsi="Times New Roman" w:cs="Times New Roman"/>
                <w:sz w:val="20"/>
                <w:szCs w:val="20"/>
                <w:lang w:val="en-US" w:eastAsia="zh-CN"/>
              </w:rPr>
            </w:pPr>
          </w:p>
        </w:tc>
        <w:tc>
          <w:tcPr>
            <w:tcW w:w="6131" w:type="dxa"/>
          </w:tcPr>
          <w:p>
            <w:pPr>
              <w:jc w:val="both"/>
              <w:rPr>
                <w:rFonts w:ascii="Times New Roman" w:hAnsi="Times New Roman" w:cs="Times New Roman"/>
                <w:sz w:val="20"/>
                <w:szCs w:val="20"/>
              </w:rPr>
            </w:pPr>
          </w:p>
        </w:tc>
      </w:tr>
    </w:tbl>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sz w:val="20"/>
          <w:lang w:val="en-GB" w:eastAsia="en-GB"/>
        </w:rPr>
        <w:t xml:space="preserve">If proposal 1, 2 and 3 in R2-2302885 are agreeable, R2-2302885 also proposed to introduce full configuration as what we have in RRC. </w:t>
      </w: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Question 6:  Do companies agree the proposal 4 in R2-2302885 , i.e. </w:t>
      </w:r>
    </w:p>
    <w:p>
      <w:pPr>
        <w:rPr>
          <w:lang w:eastAsia="en-GB"/>
        </w:rPr>
      </w:pPr>
      <w:r>
        <w:rPr>
          <w:rFonts w:ascii="Times New Roman" w:hAnsi="Times New Roman" w:cs="Times New Roman"/>
          <w:b/>
          <w:bCs/>
          <w:sz w:val="20"/>
          <w:szCs w:val="20"/>
        </w:rPr>
        <w:t xml:space="preserve">Consider full configuration signaling for the unicast/groupcast transmission of the SLPP ProvideAssistanceData message.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 but</w:t>
            </w:r>
          </w:p>
        </w:tc>
        <w:tc>
          <w:tcPr>
            <w:tcW w:w="6318" w:type="dxa"/>
          </w:tcPr>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This seems to be somewhat related to delta signaling. If delta signaling is not needed, full configuration also seems less motivated</w:t>
            </w:r>
          </w:p>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pPr>
              <w:jc w:val="both"/>
              <w:rPr>
                <w:rFonts w:ascii="Times New Roman" w:hAnsi="Times New Roman" w:cs="Times New Roman"/>
                <w:sz w:val="20"/>
                <w:szCs w:val="20"/>
                <w:lang w:eastAsia="zh-CN"/>
              </w:rPr>
            </w:pPr>
            <w:r>
              <w:rPr>
                <w:rFonts w:ascii="Times New Roman" w:hAnsi="Times New Roman" w:cs="Times New Roman"/>
                <w:sz w:val="20"/>
                <w:szCs w:val="20"/>
                <w:lang w:eastAsia="zh-CN"/>
              </w:rPr>
              <w:t>[Lenovo] In our contribution R2-2302285 we addressed two examples for using full configuration:</w:t>
            </w:r>
          </w:p>
          <w:p>
            <w:pPr>
              <w:pStyle w:val="84"/>
              <w:numPr>
                <w:ilvl w:val="0"/>
                <w:numId w:val="17"/>
              </w:numPr>
              <w:jc w:val="both"/>
              <w:rPr>
                <w:lang w:eastAsia="zh-CN"/>
              </w:rPr>
            </w:pPr>
            <w:r>
              <w:rPr>
                <w:lang w:eastAsia="zh-CN"/>
              </w:rPr>
              <w:t>In case of unicast transmission of the SLPP ProvideAssistanceData message if the amount of delta is low.</w:t>
            </w:r>
          </w:p>
          <w:p>
            <w:pPr>
              <w:pStyle w:val="84"/>
              <w:numPr>
                <w:ilvl w:val="0"/>
                <w:numId w:val="17"/>
              </w:numPr>
              <w:jc w:val="both"/>
              <w:rPr>
                <w:lang w:eastAsia="zh-CN"/>
              </w:rPr>
            </w:pPr>
            <w:r>
              <w:rPr>
                <w:lang w:eastAsia="zh-CN"/>
              </w:rPr>
              <w:t>In case of groupcast transmission of the SLPP ProvideAssistanceData message (if supported) whenever a new target entity joins a group of target entities.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But we are ok to defer the decision on this proposal to a later stage when the scenarios/requirements for delta signaling/need codes for unicast/groupcast become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Intel</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No</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 xml:space="preserve">We may come back to this later if any issue is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w:t>
            </w:r>
          </w:p>
        </w:tc>
        <w:tc>
          <w:tcPr>
            <w:tcW w:w="631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F</w:t>
            </w:r>
            <w:r>
              <w:rPr>
                <w:rFonts w:ascii="Times New Roman" w:hAnsi="Times New Roman" w:cs="Times New Roman"/>
                <w:sz w:val="20"/>
                <w:szCs w:val="20"/>
                <w:lang w:eastAsia="zh-CN"/>
              </w:rPr>
              <w:t>ull configuration</w:t>
            </w:r>
            <w:r>
              <w:rPr>
                <w:rFonts w:hint="eastAsia" w:ascii="Times New Roman" w:hAnsi="Times New Roman" w:cs="Times New Roman"/>
                <w:sz w:val="20"/>
                <w:szCs w:val="20"/>
                <w:lang w:eastAsia="zh-CN"/>
              </w:rPr>
              <w:t xml:space="preserve"> can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w:t>
            </w:r>
            <w:r>
              <w:rPr>
                <w:rFonts w:ascii="Times New Roman" w:hAnsi="Times New Roman" w:cs="Times New Roman"/>
                <w:sz w:val="20"/>
                <w:szCs w:val="20"/>
                <w:lang w:eastAsia="zh-CN"/>
              </w:rPr>
              <w:t>gree with Huawei and Intel. It needs to be justified, i.e., clarify the scenario full configuration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No</w:t>
            </w:r>
          </w:p>
        </w:tc>
        <w:tc>
          <w:tcPr>
            <w:tcW w:w="631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Agree with Huawei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50" w:type="dxa"/>
          </w:tcPr>
          <w:p>
            <w:pPr>
              <w:jc w:val="both"/>
              <w:rPr>
                <w:rFonts w:hint="default" w:ascii="Times New Roman" w:hAnsi="Times New Roman" w:cs="Times New Roman"/>
                <w:sz w:val="20"/>
                <w:szCs w:val="20"/>
                <w:lang w:val="en-US" w:eastAsia="zh-CN"/>
              </w:rPr>
            </w:pPr>
          </w:p>
        </w:tc>
        <w:tc>
          <w:tcPr>
            <w:tcW w:w="6318" w:type="dxa"/>
          </w:tcPr>
          <w:p>
            <w:pPr>
              <w:jc w:val="both"/>
              <w:rPr>
                <w:rFonts w:hint="eastAsia" w:ascii="Times New Roman" w:hAnsi="Times New Roman" w:cs="Times New Roman"/>
                <w:sz w:val="20"/>
                <w:szCs w:val="20"/>
                <w:lang w:eastAsia="zh-CN"/>
              </w:rPr>
            </w:pPr>
            <w:r>
              <w:rPr>
                <w:rFonts w:hint="eastAsia" w:ascii="Times New Roman" w:hAnsi="Times New Roman" w:cs="Times New Roman"/>
                <w:sz w:val="20"/>
                <w:szCs w:val="20"/>
                <w:lang w:val="en-US" w:eastAsia="zh-CN"/>
              </w:rPr>
              <w:t>Ok to postpone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eastAsia" w:ascii="Times New Roman" w:hAnsi="Times New Roman" w:cs="Times New Roman"/>
                <w:sz w:val="20"/>
                <w:szCs w:val="20"/>
                <w:lang w:val="en-US" w:eastAsia="zh-CN"/>
              </w:rPr>
            </w:pPr>
          </w:p>
        </w:tc>
        <w:tc>
          <w:tcPr>
            <w:tcW w:w="1350" w:type="dxa"/>
          </w:tcPr>
          <w:p>
            <w:pPr>
              <w:jc w:val="both"/>
              <w:rPr>
                <w:rFonts w:hint="eastAsia" w:ascii="Times New Roman" w:hAnsi="Times New Roman" w:cs="Times New Roman"/>
                <w:sz w:val="20"/>
                <w:szCs w:val="20"/>
                <w:lang w:val="en-US" w:eastAsia="zh-CN"/>
              </w:rPr>
            </w:pPr>
          </w:p>
        </w:tc>
        <w:tc>
          <w:tcPr>
            <w:tcW w:w="6318" w:type="dxa"/>
          </w:tcPr>
          <w:p>
            <w:pPr>
              <w:jc w:val="both"/>
              <w:rPr>
                <w:rFonts w:hint="eastAsia" w:ascii="Times New Roman" w:hAnsi="Times New Roman" w:cs="Times New Roman"/>
                <w:sz w:val="20"/>
                <w:szCs w:val="20"/>
                <w:lang w:val="en-US" w:eastAsia="zh-CN"/>
              </w:rPr>
            </w:pPr>
          </w:p>
        </w:tc>
      </w:tr>
    </w:tbl>
    <w:p>
      <w:pPr>
        <w:jc w:val="both"/>
        <w:rPr>
          <w:rFonts w:ascii="Times New Roman" w:hAnsi="Times New Roman" w:cs="Times New Roman"/>
          <w:b/>
          <w:bCs/>
          <w:sz w:val="20"/>
          <w:szCs w:val="20"/>
        </w:rPr>
      </w:pPr>
    </w:p>
    <w:p>
      <w:pPr>
        <w:pStyle w:val="5"/>
        <w:rPr>
          <w:rFonts w:eastAsia="MS Mincho"/>
          <w:lang w:eastAsia="ja-JP"/>
        </w:rPr>
      </w:pPr>
      <w:r>
        <w:rPr>
          <w:rFonts w:eastAsia="MS Mincho"/>
          <w:lang w:eastAsia="ja-JP"/>
        </w:rPr>
        <w:t>3.2.2</w:t>
      </w:r>
      <w:r>
        <w:rPr>
          <w:rFonts w:eastAsia="MS Mincho"/>
          <w:lang w:eastAsia="ja-JP"/>
        </w:rPr>
        <w:tab/>
      </w:r>
      <w:r>
        <w:rPr>
          <w:rFonts w:eastAsia="MS Mincho"/>
          <w:lang w:eastAsia="ja-JP"/>
        </w:rPr>
        <w:t>Import IEs from LPP</w:t>
      </w:r>
    </w:p>
    <w:p>
      <w:pPr>
        <w:jc w:val="both"/>
        <w:rPr>
          <w:rFonts w:ascii="Times New Roman" w:hAnsi="Times New Roman" w:cs="Times New Roman"/>
          <w:b/>
          <w:bCs/>
          <w:sz w:val="20"/>
          <w:szCs w:val="20"/>
        </w:rPr>
      </w:pPr>
      <w:bookmarkStart w:id="13" w:name="_GoBack"/>
      <w:bookmarkEnd w:id="13"/>
    </w:p>
    <w:p>
      <w:pPr>
        <w:jc w:val="both"/>
        <w:rPr>
          <w:rFonts w:ascii="Times New Roman" w:hAnsi="Times New Roman" w:cs="Times New Roman"/>
          <w:sz w:val="20"/>
          <w:szCs w:val="20"/>
        </w:rPr>
      </w:pPr>
      <w:r>
        <w:rPr>
          <w:rFonts w:ascii="Times New Roman" w:hAnsi="Times New Roman" w:cs="Times New Roman"/>
          <w:sz w:val="20"/>
          <w:szCs w:val="20"/>
        </w:rPr>
        <w:t>R2-2302738 also discussed whether import IE definition from LPP as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sz w:val="20"/>
                <w:szCs w:val="20"/>
              </w:rPr>
              <w:t>Similar to PC5 RRC, if some IE definitions from LPP can be reused for SLPP, we may simply import them from LPP specification, as</w:t>
            </w:r>
          </w:p>
          <w:p>
            <w:pPr>
              <w:pStyle w:val="131"/>
            </w:pPr>
            <w:r>
              <w:t>IMPORTS</w:t>
            </w:r>
          </w:p>
          <w:p>
            <w:pPr>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Xxx</w:t>
            </w:r>
          </w:p>
          <w:p>
            <w:pPr>
              <w:pStyle w:val="131"/>
            </w:pPr>
            <w:r>
              <w:t>FROM LPP-PDU-Definitions;</w:t>
            </w:r>
          </w:p>
          <w:p>
            <w:pPr>
              <w:jc w:val="both"/>
              <w:rPr>
                <w:rFonts w:ascii="Times New Roman" w:hAnsi="Times New Roman" w:cs="Times New Roman"/>
                <w:sz w:val="20"/>
                <w:szCs w:val="20"/>
              </w:rPr>
            </w:pPr>
            <w:r>
              <w:rPr>
                <w:rFonts w:ascii="Times New Roman" w:hAnsi="Times New Roman" w:cs="Times New Roman"/>
                <w:b/>
                <w:bCs/>
                <w:sz w:val="20"/>
                <w:szCs w:val="20"/>
              </w:rPr>
              <w:t>Proposal 3: We may import some IE definitions from LPP specification if needed.</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R2-2302885 also discussed to import IE definition from LPP as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spacing w:after="0"/>
              <w:jc w:val="both"/>
              <w:rPr>
                <w:rFonts w:ascii="Times New Roman" w:hAnsi="Times New Roman" w:cs="Times New Roman"/>
              </w:rPr>
            </w:pPr>
            <w:r>
              <w:rPr>
                <w:rFonts w:ascii="Times New Roman" w:hAnsi="Times New Roman" w:cs="Times New Roman"/>
                <w:b/>
                <w:bCs/>
              </w:rPr>
              <w:t>Proposal 6:</w:t>
            </w:r>
            <w:r>
              <w:rPr>
                <w:rFonts w:ascii="Times New Roman" w:hAnsi="Times New Roman" w:cs="Times New Roman"/>
              </w:rPr>
              <w:t xml:space="preserve"> Create SLPP ASN.1 as separate module and use IMPORT function for importing useful IEs, constants and LPP messages from the LPP module if deemed necessary.</w:t>
            </w:r>
          </w:p>
          <w:p>
            <w:pPr>
              <w:jc w:val="both"/>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pPr>
        <w:jc w:val="both"/>
        <w:rPr>
          <w:rFonts w:ascii="Times New Roman" w:hAnsi="Times New Roman" w:cs="Times New Roman"/>
          <w:sz w:val="20"/>
          <w:szCs w:val="20"/>
        </w:rPr>
      </w:pPr>
      <w:r>
        <w:rPr>
          <w:rFonts w:ascii="Times New Roman" w:hAnsi="Times New Roman" w:cs="Times New Roman"/>
          <w:b/>
          <w:bCs/>
          <w:sz w:val="20"/>
          <w:szCs w:val="20"/>
        </w:rPr>
        <w:t xml:space="preserve">Question 7:  Do companies agree that  we may import some IE definitions </w:t>
      </w:r>
      <w:ins w:id="0" w:author="Yi (Intel)" w:date="2023-04-19T09:39:00Z">
        <w:r>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pPr>
        <w:rPr>
          <w:lang w:eastAsia="en-GB"/>
        </w:rPr>
      </w:pPr>
      <w:r>
        <w:rPr>
          <w:rFonts w:ascii="Times New Roman" w:hAnsi="Times New Roman" w:cs="Times New Roman"/>
          <w:b/>
          <w:bCs/>
          <w:sz w:val="20"/>
          <w:szCs w:val="20"/>
        </w:rPr>
        <w:t xml:space="preserv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1350"/>
        <w:gridCol w:w="6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b/>
                <w:bCs/>
                <w:sz w:val="20"/>
                <w:szCs w:val="20"/>
              </w:rPr>
            </w:pPr>
            <w:r>
              <w:rPr>
                <w:rFonts w:ascii="Times New Roman" w:hAnsi="Times New Roman" w:cs="Times New Roman"/>
                <w:b/>
                <w:bCs/>
                <w:sz w:val="20"/>
                <w:szCs w:val="20"/>
              </w:rPr>
              <w:t>Company</w:t>
            </w:r>
          </w:p>
        </w:tc>
        <w:tc>
          <w:tcPr>
            <w:tcW w:w="1350" w:type="dxa"/>
          </w:tcPr>
          <w:p>
            <w:pPr>
              <w:jc w:val="both"/>
              <w:rPr>
                <w:rFonts w:ascii="Times New Roman" w:hAnsi="Times New Roman" w:cs="Times New Roman"/>
                <w:b/>
                <w:bCs/>
                <w:sz w:val="20"/>
                <w:szCs w:val="20"/>
              </w:rPr>
            </w:pPr>
            <w:r>
              <w:rPr>
                <w:rFonts w:ascii="Times New Roman" w:hAnsi="Times New Roman" w:cs="Times New Roman"/>
                <w:b/>
                <w:bCs/>
                <w:sz w:val="20"/>
                <w:szCs w:val="20"/>
              </w:rPr>
              <w:t xml:space="preserve">Yes/No </w:t>
            </w:r>
          </w:p>
        </w:tc>
        <w:tc>
          <w:tcPr>
            <w:tcW w:w="6318" w:type="dxa"/>
          </w:tcPr>
          <w:p>
            <w:pPr>
              <w:jc w:val="both"/>
              <w:rPr>
                <w:rFonts w:ascii="Times New Roman" w:hAnsi="Times New Roman" w:cs="Times New Roman"/>
                <w:b/>
                <w:bCs/>
                <w:sz w:val="20"/>
                <w:szCs w:val="20"/>
              </w:rPr>
            </w:pPr>
            <w:r>
              <w:rPr>
                <w:rFonts w:ascii="Times New Roman" w:hAnsi="Times New Roman" w:cs="Times New Roman"/>
                <w:b/>
                <w:bCs/>
                <w:sz w:val="20"/>
                <w:szCs w:val="2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H</w:t>
            </w:r>
            <w:r>
              <w:rPr>
                <w:rFonts w:ascii="Times New Roman" w:hAnsi="Times New Roman" w:cs="Times New Roman"/>
                <w:sz w:val="20"/>
                <w:szCs w:val="20"/>
                <w:lang w:eastAsia="zh-CN"/>
              </w:rPr>
              <w:t>uawei, HiSilicon</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e don’t need to duplicate IEs if they are already defined in the other 3GPP specs.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ascii="Times New Roman" w:hAnsi="Times New Roman" w:cs="Times New Roman"/>
                <w:sz w:val="20"/>
                <w:szCs w:val="20"/>
              </w:rPr>
              <w:t>Lenovo</w:t>
            </w:r>
          </w:p>
        </w:tc>
        <w:tc>
          <w:tcPr>
            <w:tcW w:w="1350" w:type="dxa"/>
          </w:tcPr>
          <w:p>
            <w:pPr>
              <w:jc w:val="both"/>
              <w:rPr>
                <w:rFonts w:ascii="Times New Roman" w:hAnsi="Times New Roman" w:cs="Times New Roman"/>
                <w:sz w:val="20"/>
                <w:szCs w:val="20"/>
              </w:rPr>
            </w:pPr>
            <w:r>
              <w:rPr>
                <w:rFonts w:ascii="Times New Roman" w:hAnsi="Times New Roman" w:cs="Times New Roman"/>
                <w:sz w:val="20"/>
                <w:szCs w:val="20"/>
              </w:rPr>
              <w:t>Yes (proponent)</w:t>
            </w:r>
          </w:p>
        </w:tc>
        <w:tc>
          <w:tcPr>
            <w:tcW w:w="6318" w:type="dxa"/>
          </w:tcPr>
          <w:p>
            <w:pPr>
              <w:jc w:val="both"/>
              <w:rPr>
                <w:rFonts w:ascii="Times New Roman" w:hAnsi="Times New Roman" w:cs="Times New Roman"/>
                <w:sz w:val="20"/>
                <w:szCs w:val="20"/>
              </w:rPr>
            </w:pPr>
            <w:r>
              <w:rPr>
                <w:rFonts w:ascii="Times New Roman" w:hAnsi="Times New Roman" w:cs="Times New Roman"/>
                <w:sz w:val="20"/>
                <w:szCs w:val="20"/>
              </w:rPr>
              <w:t>The question is not complete. We suggest to import “</w:t>
            </w:r>
            <w:r>
              <w:rPr>
                <w:rFonts w:ascii="Times New Roman" w:hAnsi="Times New Roman" w:cs="Times New Roman"/>
                <w:color w:val="FF0000"/>
                <w:sz w:val="20"/>
                <w:szCs w:val="20"/>
              </w:rPr>
              <w:t>constants</w:t>
            </w:r>
            <w:r>
              <w:rPr>
                <w:rFonts w:ascii="Times New Roman" w:hAnsi="Times New Roman" w:cs="Times New Roman"/>
                <w:sz w:val="20"/>
                <w:szCs w:val="20"/>
              </w:rPr>
              <w:t>“ from LPP specification as well if needed.</w:t>
            </w:r>
          </w:p>
          <w:p>
            <w:pPr>
              <w:jc w:val="both"/>
              <w:rPr>
                <w:rFonts w:ascii="Times New Roman" w:hAnsi="Times New Roman" w:cs="Times New Roman"/>
                <w:sz w:val="20"/>
                <w:szCs w:val="20"/>
              </w:rPr>
            </w:pPr>
            <w:r>
              <w:rPr>
                <w:rFonts w:ascii="Times New Roman" w:hAnsi="Times New Roman" w:cs="Times New Roman"/>
                <w:sz w:val="20"/>
                <w:szCs w:val="20"/>
              </w:rPr>
              <w:t>The key advantages of this two-module approach are:</w:t>
            </w:r>
          </w:p>
          <w:p>
            <w:pPr>
              <w:pStyle w:val="84"/>
              <w:numPr>
                <w:ilvl w:val="0"/>
                <w:numId w:val="18"/>
              </w:numPr>
              <w:jc w:val="both"/>
            </w:pPr>
            <w:r>
              <w:t xml:space="preserve">It allows easy extraction of SLPP ASN.1 code via automated methods and future extension of the SLPP ASN.1. </w:t>
            </w:r>
          </w:p>
          <w:p>
            <w:pPr>
              <w:pStyle w:val="84"/>
              <w:numPr>
                <w:ilvl w:val="0"/>
                <w:numId w:val="18"/>
              </w:numPr>
              <w:jc w:val="both"/>
            </w:pPr>
            <w:r>
              <w:t>Better maintenance of ASN.1, i.e., potential changes to SLPP ASN.1 will not impact LPP ASN.1.</w:t>
            </w:r>
          </w:p>
          <w:p>
            <w:pPr>
              <w:pStyle w:val="84"/>
              <w:numPr>
                <w:ilvl w:val="0"/>
                <w:numId w:val="18"/>
              </w:numPr>
              <w:jc w:val="both"/>
            </w:pPr>
            <w:r>
              <w:t>There will be no impacts to positioning UEs which do not support SL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ins w:id="1" w:author="Yi (Intel)" w:date="2023-04-19T09:39:00Z">
              <w:r>
                <w:rPr>
                  <w:rFonts w:ascii="Times New Roman" w:hAnsi="Times New Roman" w:cs="Times New Roman"/>
                  <w:sz w:val="20"/>
                  <w:szCs w:val="20"/>
                </w:rPr>
                <w:t>Intel</w:t>
              </w:r>
            </w:ins>
          </w:p>
        </w:tc>
        <w:tc>
          <w:tcPr>
            <w:tcW w:w="1350" w:type="dxa"/>
          </w:tcPr>
          <w:p>
            <w:pPr>
              <w:jc w:val="both"/>
              <w:rPr>
                <w:rFonts w:ascii="Times New Roman" w:hAnsi="Times New Roman" w:cs="Times New Roman"/>
                <w:sz w:val="20"/>
                <w:szCs w:val="20"/>
              </w:rPr>
            </w:pPr>
            <w:ins w:id="2" w:author="Yi (Intel)" w:date="2023-04-19T09:39:00Z">
              <w:r>
                <w:rPr>
                  <w:rFonts w:ascii="Times New Roman" w:hAnsi="Times New Roman" w:cs="Times New Roman"/>
                  <w:sz w:val="20"/>
                  <w:szCs w:val="20"/>
                </w:rPr>
                <w:t>Yes</w:t>
              </w:r>
            </w:ins>
          </w:p>
        </w:tc>
        <w:tc>
          <w:tcPr>
            <w:tcW w:w="6318" w:type="dxa"/>
          </w:tcPr>
          <w:p>
            <w:pPr>
              <w:jc w:val="both"/>
              <w:rPr>
                <w:rFonts w:ascii="Times New Roman" w:hAnsi="Times New Roman" w:cs="Times New Roman"/>
                <w:sz w:val="20"/>
                <w:szCs w:val="20"/>
              </w:rPr>
            </w:pPr>
            <w:ins w:id="3" w:author="Yi (Intel)" w:date="2023-04-19T09:39:00Z">
              <w:r>
                <w:rPr>
                  <w:rFonts w:ascii="Times New Roman" w:hAnsi="Times New Roman" w:cs="Times New Roman"/>
                  <w:sz w:val="20"/>
                  <w:szCs w:val="20"/>
                </w:rPr>
                <w:t>Added constants in the question.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CATT</w:t>
            </w:r>
          </w:p>
        </w:tc>
        <w:tc>
          <w:tcPr>
            <w:tcW w:w="1350"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Y</w:t>
            </w:r>
            <w:r>
              <w:rPr>
                <w:rFonts w:ascii="Times New Roman" w:hAnsi="Times New Roman" w:cs="Times New Roman"/>
                <w:sz w:val="20"/>
                <w:szCs w:val="20"/>
                <w:lang w:eastAsia="zh-CN"/>
              </w:rPr>
              <w:t>es</w:t>
            </w:r>
          </w:p>
        </w:tc>
        <w:tc>
          <w:tcPr>
            <w:tcW w:w="6318" w:type="dxa"/>
          </w:tcPr>
          <w:p>
            <w:pPr>
              <w:jc w:val="both"/>
              <w:rPr>
                <w:rFonts w:ascii="Times New Roman" w:hAnsi="Times New Roman" w:cs="Times New Roman"/>
                <w:sz w:val="20"/>
                <w:szCs w:val="20"/>
              </w:rPr>
            </w:pPr>
            <w:r>
              <w:rPr>
                <w:rFonts w:hint="eastAsia" w:ascii="Times New Roman" w:hAnsi="Times New Roman" w:cs="Times New Roman"/>
                <w:sz w:val="20"/>
                <w:szCs w:val="20"/>
                <w:lang w:eastAsia="zh-CN"/>
              </w:rPr>
              <w:t>It is unnecessary to define duplicated IEs. Import is legacy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v</w:t>
            </w:r>
            <w:r>
              <w:rPr>
                <w:rFonts w:ascii="Times New Roman" w:hAnsi="Times New Roman" w:cs="Times New Roman"/>
                <w:sz w:val="20"/>
                <w:szCs w:val="20"/>
                <w:lang w:eastAsia="zh-CN"/>
              </w:rPr>
              <w:t>ivo</w:t>
            </w:r>
          </w:p>
        </w:tc>
        <w:tc>
          <w:tcPr>
            <w:tcW w:w="1350"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w:t>
            </w:r>
            <w:r>
              <w:rPr>
                <w:rFonts w:ascii="Times New Roman" w:hAnsi="Times New Roman" w:cs="Times New Roman"/>
                <w:sz w:val="20"/>
                <w:szCs w:val="20"/>
                <w:lang w:eastAsia="zh-CN"/>
              </w:rPr>
              <w:t>ot sure</w:t>
            </w:r>
          </w:p>
        </w:tc>
        <w:tc>
          <w:tcPr>
            <w:tcW w:w="6318" w:type="dxa"/>
          </w:tcPr>
          <w:p>
            <w:pPr>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W</w:t>
            </w:r>
            <w:r>
              <w:rPr>
                <w:rFonts w:ascii="Times New Roman" w:hAnsi="Times New Roman" w:cs="Times New Roman"/>
                <w:sz w:val="20"/>
                <w:szCs w:val="20"/>
                <w:lang w:eastAsia="zh-CN"/>
              </w:rPr>
              <w:t xml:space="preserve">ithin one spec, the “import” scheme between different modules is OK. But we are not sure whether the “import” scheme </w:t>
            </w:r>
            <w:r>
              <w:rPr>
                <w:rFonts w:ascii="Times New Roman" w:hAnsi="Times New Roman" w:cs="Times New Roman"/>
                <w:sz w:val="20"/>
                <w:szCs w:val="20"/>
                <w:u w:val="single"/>
                <w:lang w:eastAsia="zh-CN"/>
              </w:rPr>
              <w:t>cross specs</w:t>
            </w:r>
            <w:r>
              <w:rPr>
                <w:rFonts w:ascii="Times New Roman" w:hAnsi="Times New Roman" w:cs="Times New Roman"/>
                <w:sz w:val="20"/>
                <w:szCs w:val="20"/>
                <w:lang w:eastAsia="zh-CN"/>
              </w:rPr>
              <w:t xml:space="preserve"> is feasible and beneficial. Moreover, the imported IE from LPP may cite some sub-IEs which are not directly imported by SLPP. It may be very difficult to get a whole and independent SLPP ASN</w:t>
            </w:r>
            <w:r>
              <w:rPr>
                <w:rFonts w:hint="eastAsia" w:ascii="Times New Roman" w:hAnsi="Times New Roman" w:cs="Times New Roman"/>
                <w:sz w:val="20"/>
                <w:szCs w:val="20"/>
                <w:lang w:eastAsia="zh-CN"/>
              </w:rPr>
              <w:t>.</w:t>
            </w:r>
            <w:r>
              <w:rPr>
                <w:rFonts w:ascii="Times New Roman" w:hAnsi="Times New Roman" w:cs="Times New Roman"/>
                <w:sz w:val="20"/>
                <w:szCs w:val="20"/>
                <w:lang w:eastAsia="zh-CN"/>
              </w:rPr>
              <w:t>1 code since there may be multiple levels of nesting for imported IEs. Also, the “import” scheme increases the couple between SLPP and LPP. The modification of imported IEs in LPP specification will impact the SLPP specification. For some cases, we may need to consider the impact on SLPP when we would enhance the coupled IEs in LPP.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Xiaomi</w:t>
            </w:r>
          </w:p>
        </w:tc>
        <w:tc>
          <w:tcPr>
            <w:tcW w:w="1350" w:type="dxa"/>
          </w:tcPr>
          <w:p>
            <w:pPr>
              <w:jc w:val="both"/>
              <w:rPr>
                <w:rFonts w:hint="eastAsia" w:ascii="Times New Roman" w:hAnsi="Times New Roman" w:cs="Times New Roman"/>
                <w:sz w:val="20"/>
                <w:szCs w:val="20"/>
                <w:lang w:eastAsia="zh-CN"/>
              </w:rPr>
            </w:pPr>
          </w:p>
        </w:tc>
        <w:tc>
          <w:tcPr>
            <w:tcW w:w="631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We share same concern as vivo. If SLPP is defined in a different spec from LPP, the IMPORT function of ASN.1 may not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ZTE</w:t>
            </w:r>
          </w:p>
        </w:tc>
        <w:tc>
          <w:tcPr>
            <w:tcW w:w="1350"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318" w:type="dxa"/>
          </w:tcPr>
          <w:p>
            <w:pPr>
              <w:jc w:val="both"/>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It can be allowed, depend on the usecases in the further investigation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pPr>
              <w:jc w:val="both"/>
              <w:rPr>
                <w:rFonts w:hint="eastAsia" w:ascii="Times New Roman" w:hAnsi="Times New Roman" w:cs="Times New Roman"/>
                <w:sz w:val="20"/>
                <w:szCs w:val="20"/>
                <w:lang w:val="en-US" w:eastAsia="zh-CN"/>
              </w:rPr>
            </w:pPr>
          </w:p>
        </w:tc>
        <w:tc>
          <w:tcPr>
            <w:tcW w:w="1350" w:type="dxa"/>
          </w:tcPr>
          <w:p>
            <w:pPr>
              <w:jc w:val="both"/>
              <w:rPr>
                <w:rFonts w:hint="eastAsia" w:ascii="Times New Roman" w:hAnsi="Times New Roman" w:cs="Times New Roman"/>
                <w:sz w:val="20"/>
                <w:szCs w:val="20"/>
                <w:lang w:eastAsia="zh-CN"/>
              </w:rPr>
            </w:pPr>
          </w:p>
        </w:tc>
        <w:tc>
          <w:tcPr>
            <w:tcW w:w="6318" w:type="dxa"/>
          </w:tcPr>
          <w:p>
            <w:pPr>
              <w:jc w:val="both"/>
              <w:rPr>
                <w:rFonts w:hint="eastAsia" w:ascii="Times New Roman" w:hAnsi="Times New Roman" w:cs="Times New Roman"/>
                <w:sz w:val="20"/>
                <w:szCs w:val="20"/>
                <w:lang w:val="en-US" w:eastAsia="zh-CN"/>
              </w:rPr>
            </w:pPr>
          </w:p>
        </w:tc>
      </w:tr>
    </w:tbl>
    <w:p>
      <w:pPr>
        <w:jc w:val="both"/>
        <w:rPr>
          <w:rFonts w:ascii="Times New Roman" w:hAnsi="Times New Roman" w:cs="Times New Roman"/>
          <w:b/>
          <w:bCs/>
          <w:sz w:val="20"/>
          <w:szCs w:val="20"/>
        </w:rPr>
      </w:pPr>
    </w:p>
    <w:p>
      <w:pPr>
        <w:pStyle w:val="5"/>
        <w:rPr>
          <w:rFonts w:eastAsia="MS Mincho"/>
          <w:lang w:eastAsia="ja-JP"/>
        </w:rPr>
      </w:pPr>
      <w:r>
        <w:rPr>
          <w:rFonts w:eastAsia="MS Mincho"/>
          <w:lang w:eastAsia="ja-JP"/>
        </w:rPr>
        <w:t>3.2.3</w:t>
      </w:r>
      <w:r>
        <w:rPr>
          <w:rFonts w:eastAsia="MS Mincho"/>
          <w:lang w:eastAsia="ja-JP"/>
        </w:rPr>
        <w:tab/>
      </w:r>
      <w:r>
        <w:rPr>
          <w:rFonts w:eastAsia="MS Mincho"/>
          <w:lang w:eastAsia="ja-JP"/>
        </w:rPr>
        <w:t>Too early to discuss</w:t>
      </w:r>
    </w:p>
    <w:p>
      <w:pPr>
        <w:jc w:val="both"/>
        <w:rPr>
          <w:rFonts w:ascii="Times New Roman" w:hAnsi="Times New Roman" w:cs="Times New Roman"/>
          <w:sz w:val="20"/>
          <w:szCs w:val="20"/>
        </w:rPr>
      </w:pPr>
      <w:r>
        <w:rPr>
          <w:rFonts w:ascii="Times New Roman" w:hAnsi="Times New Roman" w:cs="Times New Roman"/>
          <w:sz w:val="20"/>
          <w:szCs w:val="20"/>
        </w:rPr>
        <w:t xml:space="preserve">Following issues are valid, but Rapporteur think these issues should be discussed when the details are more clear, therefore no proposal on this. </w:t>
      </w:r>
    </w:p>
    <w:p>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pPr>
        <w:pStyle w:val="84"/>
        <w:numPr>
          <w:ilvl w:val="0"/>
          <w:numId w:val="19"/>
        </w:numPr>
        <w:jc w:val="both"/>
      </w:pPr>
      <w:r>
        <w:t>Proposal 5: Discuss and agree on the basic release mechanisms to support for session-based SLPP.</w:t>
      </w:r>
    </w:p>
    <w:p>
      <w:pPr>
        <w:jc w:val="both"/>
        <w:rPr>
          <w:rFonts w:ascii="Times New Roman" w:hAnsi="Times New Roman" w:cs="Times New Roman"/>
          <w:sz w:val="20"/>
          <w:szCs w:val="20"/>
          <w:lang w:val="fr-CA"/>
        </w:rPr>
      </w:pPr>
      <w:r>
        <w:rPr>
          <w:rFonts w:ascii="Times New Roman" w:hAnsi="Times New Roman" w:cs="Times New Roman"/>
          <w:sz w:val="20"/>
          <w:szCs w:val="20"/>
          <w:lang w:val="fr-CA"/>
        </w:rPr>
        <w:t>Issue 2: Message mode indication  (</w:t>
      </w:r>
      <w:r>
        <w:rPr>
          <w:rFonts w:ascii="Times New Roman" w:hAnsi="Times New Roman" w:cs="Times New Roman"/>
          <w:sz w:val="20"/>
          <w:lang w:val="fr-CA" w:eastAsia="en-GB"/>
        </w:rPr>
        <w:t>R2-2303591</w:t>
      </w:r>
      <w:r>
        <w:rPr>
          <w:rFonts w:ascii="Times New Roman" w:hAnsi="Times New Roman" w:cs="Times New Roman"/>
          <w:sz w:val="20"/>
          <w:szCs w:val="20"/>
          <w:lang w:val="fr-CA"/>
        </w:rPr>
        <w:t>)</w:t>
      </w:r>
    </w:p>
    <w:p>
      <w:pPr>
        <w:pStyle w:val="84"/>
        <w:numPr>
          <w:ilvl w:val="0"/>
          <w:numId w:val="19"/>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pPr>
        <w:pStyle w:val="84"/>
        <w:numPr>
          <w:ilvl w:val="0"/>
          <w:numId w:val="19"/>
        </w:numPr>
        <w:jc w:val="both"/>
      </w:pPr>
      <w:r>
        <w:t>•</w:t>
      </w:r>
      <w:r>
        <w:tab/>
      </w:r>
      <w:r>
        <w:t>Unicast transaction</w:t>
      </w:r>
    </w:p>
    <w:p>
      <w:pPr>
        <w:pStyle w:val="84"/>
        <w:numPr>
          <w:ilvl w:val="0"/>
          <w:numId w:val="19"/>
        </w:numPr>
        <w:jc w:val="both"/>
      </w:pPr>
      <w:r>
        <w:t>•</w:t>
      </w:r>
      <w:r>
        <w:tab/>
      </w:r>
      <w:r>
        <w:t>Group Transaction with Group Replies</w:t>
      </w:r>
    </w:p>
    <w:p>
      <w:pPr>
        <w:pStyle w:val="84"/>
        <w:numPr>
          <w:ilvl w:val="0"/>
          <w:numId w:val="19"/>
        </w:numPr>
        <w:jc w:val="both"/>
      </w:pPr>
      <w:r>
        <w:t>•</w:t>
      </w:r>
      <w:r>
        <w:tab/>
      </w:r>
      <w:r>
        <w:t>Group Transaction with Unicast Replies</w:t>
      </w:r>
    </w:p>
    <w:p>
      <w:pPr>
        <w:pStyle w:val="84"/>
        <w:numPr>
          <w:ilvl w:val="0"/>
          <w:numId w:val="19"/>
        </w:numPr>
        <w:jc w:val="both"/>
      </w:pPr>
      <w:r>
        <w:t>•</w:t>
      </w:r>
      <w:r>
        <w:tab/>
      </w:r>
      <w:r>
        <w:t>Broadcast Transaction.</w:t>
      </w: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p>
      <w:pPr>
        <w:rPr>
          <w:rFonts w:ascii="Times New Roman" w:hAnsi="Times New Roman" w:cs="Times New Roman"/>
          <w:b/>
          <w:bCs/>
          <w:sz w:val="20"/>
          <w:szCs w:val="20"/>
          <w:lang w:val="en-GB"/>
        </w:rPr>
      </w:pPr>
    </w:p>
    <w:p>
      <w:pPr>
        <w:pStyle w:val="2"/>
        <w:numPr>
          <w:ilvl w:val="0"/>
          <w:numId w:val="14"/>
        </w:numPr>
        <w:rPr>
          <w:rFonts w:ascii="Times New Roman" w:hAnsi="Times New Roman"/>
        </w:rPr>
      </w:pPr>
      <w:bookmarkStart w:id="12" w:name="_Ref434066290"/>
      <w:r>
        <w:rPr>
          <w:rFonts w:ascii="Times New Roman" w:hAnsi="Times New Roman"/>
        </w:rPr>
        <w:t>Reference</w:t>
      </w:r>
      <w:bookmarkEnd w:id="12"/>
    </w:p>
    <w:bookmarkEnd w:id="1"/>
    <w:p>
      <w:pPr>
        <w:pStyle w:val="73"/>
        <w:spacing w:after="60"/>
        <w:jc w:val="both"/>
        <w:rPr>
          <w:rFonts w:ascii="Times New Roman" w:hAnsi="Times New Roman" w:cs="Times New Roman"/>
          <w:sz w:val="20"/>
        </w:rPr>
      </w:pPr>
      <w:r>
        <w:rPr>
          <w:rFonts w:ascii="Times New Roman" w:hAnsi="Times New Roman" w:cs="Times New Roman"/>
          <w:sz w:val="20"/>
        </w:rPr>
        <w:t>[1] R2-2302738</w:t>
      </w:r>
      <w:r>
        <w:rPr>
          <w:rFonts w:ascii="Times New Roman" w:hAnsi="Times New Roman" w:cs="Times New Roman"/>
          <w:sz w:val="20"/>
        </w:rPr>
        <w:tab/>
      </w:r>
      <w:r>
        <w:rPr>
          <w:rFonts w:ascii="Times New Roman" w:hAnsi="Times New Roman" w:cs="Times New Roman"/>
          <w:sz w:val="20"/>
        </w:rPr>
        <w:t>Further considerations on SLPP specification</w:t>
      </w:r>
      <w:r>
        <w:rPr>
          <w:rFonts w:ascii="Times New Roman" w:hAnsi="Times New Roman" w:cs="Times New Roman"/>
          <w:sz w:val="20"/>
        </w:rPr>
        <w:tab/>
      </w:r>
      <w:r>
        <w:rPr>
          <w:rFonts w:ascii="Times New Roman" w:hAnsi="Times New Roman" w:cs="Times New Roman"/>
          <w:sz w:val="20"/>
        </w:rPr>
        <w:t>Intel Corporation</w:t>
      </w:r>
    </w:p>
    <w:p>
      <w:pPr>
        <w:pStyle w:val="73"/>
        <w:spacing w:after="60"/>
        <w:jc w:val="both"/>
        <w:rPr>
          <w:rFonts w:ascii="Times New Roman" w:hAnsi="Times New Roman" w:cs="Times New Roman"/>
          <w:sz w:val="20"/>
        </w:rPr>
      </w:pPr>
      <w:r>
        <w:rPr>
          <w:rFonts w:ascii="Times New Roman" w:hAnsi="Times New Roman" w:cs="Times New Roman"/>
          <w:sz w:val="20"/>
        </w:rPr>
        <w:t>[2] R2-2302739</w:t>
      </w:r>
      <w:r>
        <w:rPr>
          <w:rFonts w:ascii="Times New Roman" w:hAnsi="Times New Roman" w:cs="Times New Roman"/>
          <w:sz w:val="20"/>
        </w:rPr>
        <w:tab/>
      </w:r>
      <w:r>
        <w:rPr>
          <w:rFonts w:ascii="Times New Roman" w:hAnsi="Times New Roman" w:cs="Times New Roman"/>
          <w:sz w:val="20"/>
        </w:rPr>
        <w:t>TS 38.355 skeleton</w:t>
      </w:r>
      <w:r>
        <w:rPr>
          <w:rFonts w:ascii="Times New Roman" w:hAnsi="Times New Roman" w:cs="Times New Roman"/>
          <w:sz w:val="20"/>
        </w:rPr>
        <w:tab/>
      </w:r>
      <w:r>
        <w:rPr>
          <w:rFonts w:ascii="Times New Roman" w:hAnsi="Times New Roman" w:cs="Times New Roman"/>
          <w:sz w:val="20"/>
        </w:rPr>
        <w:t>Intel Corporation</w:t>
      </w:r>
    </w:p>
    <w:p>
      <w:pPr>
        <w:pStyle w:val="73"/>
        <w:spacing w:after="60"/>
        <w:jc w:val="both"/>
        <w:rPr>
          <w:rFonts w:ascii="Times New Roman" w:hAnsi="Times New Roman" w:cs="Times New Roman"/>
          <w:sz w:val="20"/>
        </w:rPr>
      </w:pPr>
      <w:r>
        <w:rPr>
          <w:rFonts w:ascii="Times New Roman" w:hAnsi="Times New Roman" w:cs="Times New Roman"/>
          <w:sz w:val="20"/>
        </w:rPr>
        <w:t>[3] R2-2302885</w:t>
      </w:r>
      <w:r>
        <w:rPr>
          <w:rFonts w:ascii="Times New Roman" w:hAnsi="Times New Roman" w:cs="Times New Roman"/>
          <w:sz w:val="20"/>
        </w:rPr>
        <w:tab/>
      </w:r>
      <w:r>
        <w:rPr>
          <w:rFonts w:ascii="Times New Roman" w:hAnsi="Times New Roman" w:cs="Times New Roman"/>
          <w:sz w:val="20"/>
        </w:rPr>
        <w:t>Discussion on further SLPP aspects</w:t>
      </w:r>
      <w:r>
        <w:rPr>
          <w:rFonts w:ascii="Times New Roman" w:hAnsi="Times New Roman" w:cs="Times New Roman"/>
          <w:sz w:val="20"/>
        </w:rPr>
        <w:tab/>
      </w:r>
      <w:r>
        <w:rPr>
          <w:rFonts w:ascii="Times New Roman" w:hAnsi="Times New Roman" w:cs="Times New Roman"/>
          <w:sz w:val="20"/>
        </w:rPr>
        <w:t>Lenovo</w:t>
      </w:r>
      <w:r>
        <w:rPr>
          <w:rFonts w:ascii="Times New Roman" w:hAnsi="Times New Roman" w:cs="Times New Roman"/>
          <w:sz w:val="20"/>
        </w:rPr>
        <w:tab/>
      </w:r>
      <w:r>
        <w:rPr>
          <w:rFonts w:ascii="Times New Roman" w:hAnsi="Times New Roman" w:cs="Times New Roman"/>
          <w:sz w:val="20"/>
        </w:rPr>
        <w:t>discussion</w:t>
      </w:r>
    </w:p>
    <w:p>
      <w:pPr>
        <w:pStyle w:val="73"/>
        <w:spacing w:after="60"/>
        <w:jc w:val="both"/>
        <w:rPr>
          <w:rFonts w:ascii="Times New Roman" w:hAnsi="Times New Roman" w:cs="Times New Roman"/>
          <w:sz w:val="20"/>
        </w:rPr>
      </w:pPr>
      <w:r>
        <w:rPr>
          <w:rFonts w:ascii="Times New Roman" w:hAnsi="Times New Roman" w:cs="Times New Roman"/>
          <w:sz w:val="20"/>
        </w:rPr>
        <w:t>[4] R2-2303591</w:t>
      </w:r>
      <w:r>
        <w:rPr>
          <w:rFonts w:ascii="Times New Roman" w:hAnsi="Times New Roman" w:cs="Times New Roman"/>
          <w:sz w:val="20"/>
        </w:rPr>
        <w:tab/>
      </w:r>
      <w:r>
        <w:rPr>
          <w:rFonts w:ascii="Times New Roman" w:hAnsi="Times New Roman" w:cs="Times New Roman"/>
          <w:sz w:val="20"/>
        </w:rPr>
        <w:t>Sidelink Positioning Protocol (SLPP) Signaling and Procedures</w:t>
      </w:r>
      <w:r>
        <w:rPr>
          <w:rFonts w:ascii="Times New Roman" w:hAnsi="Times New Roman" w:cs="Times New Roman"/>
          <w:sz w:val="20"/>
        </w:rPr>
        <w:tab/>
      </w:r>
      <w:r>
        <w:rPr>
          <w:rFonts w:ascii="Times New Roman" w:hAnsi="Times New Roman" w:cs="Times New Roman"/>
          <w:sz w:val="20"/>
        </w:rPr>
        <w:t>Qualcomm Incorporated</w:t>
      </w:r>
    </w:p>
    <w:p>
      <w:pPr>
        <w:rPr>
          <w:lang w:val="en-GB" w:eastAsia="en-GB"/>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S Mincho">
    <w:altName w:val="Yu Gothic UI"/>
    <w:panose1 w:val="02020609040205080304"/>
    <w:charset w:val="80"/>
    <w:family w:val="modern"/>
    <w:pitch w:val="default"/>
    <w:sig w:usb0="00000000" w:usb1="00000000" w:usb2="08000012" w:usb3="00000000" w:csb0="0002009F" w:csb1="00000000"/>
  </w:font>
  <w:font w:name="ZapfDingbats">
    <w:altName w:val="Wingdings"/>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4071"/>
    <w:multiLevelType w:val="multilevel"/>
    <w:tmpl w:val="0CDE4071"/>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0E6C769D"/>
    <w:multiLevelType w:val="multilevel"/>
    <w:tmpl w:val="0E6C769D"/>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F884C9A"/>
    <w:multiLevelType w:val="multilevel"/>
    <w:tmpl w:val="1F884C9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5">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3C490A71"/>
    <w:multiLevelType w:val="multilevel"/>
    <w:tmpl w:val="3C490A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A3391E"/>
    <w:multiLevelType w:val="multilevel"/>
    <w:tmpl w:val="49A3391E"/>
    <w:lvl w:ilvl="0" w:tentative="0">
      <w:start w:val="1"/>
      <w:numFmt w:val="decimal"/>
      <w:pStyle w:val="8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2">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3">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4">
    <w:nsid w:val="6AD71A60"/>
    <w:multiLevelType w:val="multilevel"/>
    <w:tmpl w:val="6AD71A60"/>
    <w:lvl w:ilvl="0" w:tentative="0">
      <w:start w:val="3"/>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8"/>
  </w:num>
  <w:num w:numId="3">
    <w:abstractNumId w:val="7"/>
  </w:num>
  <w:num w:numId="4">
    <w:abstractNumId w:val="12"/>
  </w:num>
  <w:num w:numId="5">
    <w:abstractNumId w:val="17"/>
  </w:num>
  <w:num w:numId="6">
    <w:abstractNumId w:val="9"/>
  </w:num>
  <w:num w:numId="7">
    <w:abstractNumId w:val="10"/>
  </w:num>
  <w:num w:numId="8">
    <w:abstractNumId w:val="15"/>
  </w:num>
  <w:num w:numId="9">
    <w:abstractNumId w:val="3"/>
  </w:num>
  <w:num w:numId="10">
    <w:abstractNumId w:val="11"/>
  </w:num>
  <w:num w:numId="11">
    <w:abstractNumId w:val="4"/>
  </w:num>
  <w:num w:numId="12">
    <w:abstractNumId w:val="13"/>
  </w:num>
  <w:num w:numId="13">
    <w:abstractNumId w:val="1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2"/>
  </w:num>
  <w:num w:numId="18">
    <w:abstractNumId w:val="0"/>
  </w:num>
  <w:num w:numId="19">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2szQ1MTC0NDMxNTNW0lEKTi0uzszPAykwrAUALVk+eiwAAAA="/>
    <w:docVar w:name="commondata" w:val="eyJoZGlkIjoiNThlMGFjMWNjMTQxZGRjZDBmMDU3M2M1MWJiYjlhNzEifQ=="/>
  </w:docVars>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56B"/>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753"/>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29B2"/>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86"/>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3402"/>
    <w:rsid w:val="002B43A2"/>
    <w:rsid w:val="002B4DED"/>
    <w:rsid w:val="002B4F06"/>
    <w:rsid w:val="002B525E"/>
    <w:rsid w:val="002B59AC"/>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C7C7B"/>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67B"/>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71C"/>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5B76"/>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4E4"/>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47F6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55"/>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4E44"/>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A69"/>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01C"/>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BA9"/>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1E3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585"/>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301A"/>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38A"/>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0CB"/>
    <w:rsid w:val="00D02D7D"/>
    <w:rsid w:val="00D02E33"/>
    <w:rsid w:val="00D02EC7"/>
    <w:rsid w:val="00D030D5"/>
    <w:rsid w:val="00D03154"/>
    <w:rsid w:val="00D03B09"/>
    <w:rsid w:val="00D04C11"/>
    <w:rsid w:val="00D04DD0"/>
    <w:rsid w:val="00D051A9"/>
    <w:rsid w:val="00D05395"/>
    <w:rsid w:val="00D06862"/>
    <w:rsid w:val="00D06B06"/>
    <w:rsid w:val="00D0735F"/>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A7FFA"/>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0A6"/>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477"/>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2D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2F50"/>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5BB6"/>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4AD"/>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9A061A8"/>
    <w:rsid w:val="5BB3A3A4"/>
    <w:rsid w:val="5E6AC89F"/>
    <w:rsid w:val="5F174DF0"/>
    <w:rsid w:val="6017B34E"/>
    <w:rsid w:val="608B40C1"/>
    <w:rsid w:val="60A23547"/>
    <w:rsid w:val="630A4853"/>
    <w:rsid w:val="63B7A086"/>
    <w:rsid w:val="63E360DE"/>
    <w:rsid w:val="645E028E"/>
    <w:rsid w:val="667CC15A"/>
    <w:rsid w:val="671247A2"/>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1"/>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2"/>
    <w:unhideWhenUsed/>
    <w:qFormat/>
    <w:uiPriority w:val="9"/>
    <w:pPr>
      <w:numPr>
        <w:numId w:val="0"/>
      </w:numPr>
      <w:pBdr>
        <w:top w:val="none" w:color="auto" w:sz="0" w:space="0"/>
      </w:pBdr>
      <w:spacing w:before="180"/>
      <w:outlineLvl w:val="1"/>
    </w:pPr>
    <w:rPr>
      <w:sz w:val="32"/>
    </w:rPr>
  </w:style>
  <w:style w:type="paragraph" w:styleId="5">
    <w:name w:val="heading 3"/>
    <w:basedOn w:val="4"/>
    <w:next w:val="1"/>
    <w:link w:val="63"/>
    <w:unhideWhenUsed/>
    <w:qFormat/>
    <w:uiPriority w:val="0"/>
    <w:pPr>
      <w:numPr>
        <w:ilvl w:val="2"/>
      </w:numPr>
      <w:spacing w:before="120"/>
      <w:outlineLvl w:val="2"/>
    </w:pPr>
    <w:rPr>
      <w:sz w:val="28"/>
    </w:rPr>
  </w:style>
  <w:style w:type="paragraph" w:styleId="6">
    <w:name w:val="heading 4"/>
    <w:basedOn w:val="1"/>
    <w:next w:val="1"/>
    <w:link w:val="64"/>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5"/>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6"/>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7"/>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8"/>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9"/>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70"/>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35"/>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qFormat/>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3"/>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qFormat/>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qFormat/>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60"/>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character" w:customStyle="1" w:styleId="60">
    <w:name w:val="批注框文本 字符"/>
    <w:basedOn w:val="52"/>
    <w:link w:val="38"/>
    <w:qFormat/>
    <w:uiPriority w:val="0"/>
    <w:rPr>
      <w:rFonts w:ascii="Segoe UI" w:hAnsi="Segoe UI" w:eastAsia="宋体" w:cs="Segoe UI"/>
      <w:sz w:val="18"/>
      <w:szCs w:val="18"/>
    </w:rPr>
  </w:style>
  <w:style w:type="character" w:customStyle="1" w:styleId="61">
    <w:name w:val="标题 1 字符"/>
    <w:basedOn w:val="52"/>
    <w:link w:val="2"/>
    <w:qFormat/>
    <w:uiPriority w:val="0"/>
    <w:rPr>
      <w:rFonts w:ascii="Arial" w:hAnsi="Arial" w:eastAsia="Arial" w:cs="Times New Roman"/>
      <w:sz w:val="36"/>
      <w:lang w:val="en-GB"/>
    </w:rPr>
  </w:style>
  <w:style w:type="character" w:customStyle="1" w:styleId="62">
    <w:name w:val="标题 2 字符"/>
    <w:basedOn w:val="52"/>
    <w:link w:val="4"/>
    <w:qFormat/>
    <w:uiPriority w:val="9"/>
    <w:rPr>
      <w:rFonts w:ascii="Arial" w:hAnsi="Arial" w:eastAsia="Arial" w:cs="Times New Roman"/>
      <w:sz w:val="32"/>
      <w:szCs w:val="20"/>
      <w:lang w:val="en-GB" w:eastAsia="zh-CN"/>
    </w:rPr>
  </w:style>
  <w:style w:type="character" w:customStyle="1" w:styleId="63">
    <w:name w:val="标题 3 字符"/>
    <w:basedOn w:val="52"/>
    <w:link w:val="5"/>
    <w:qFormat/>
    <w:uiPriority w:val="0"/>
    <w:rPr>
      <w:rFonts w:ascii="Arial" w:hAnsi="Arial" w:eastAsia="Arial" w:cs="Times New Roman"/>
      <w:sz w:val="28"/>
      <w:szCs w:val="20"/>
      <w:lang w:val="en-GB" w:eastAsia="zh-CN"/>
    </w:rPr>
  </w:style>
  <w:style w:type="character" w:customStyle="1" w:styleId="64">
    <w:name w:val="标题 4 字符"/>
    <w:basedOn w:val="52"/>
    <w:link w:val="6"/>
    <w:qFormat/>
    <w:uiPriority w:val="0"/>
    <w:rPr>
      <w:rFonts w:ascii="Calibri" w:hAnsi="Calibri" w:eastAsia="Times New Roman" w:cs="Times New Roman"/>
      <w:b/>
      <w:bCs/>
      <w:sz w:val="28"/>
      <w:szCs w:val="28"/>
      <w:lang w:val="zh-CN" w:eastAsia="zh-CN"/>
    </w:rPr>
  </w:style>
  <w:style w:type="character" w:customStyle="1" w:styleId="65">
    <w:name w:val="标题 5 字符"/>
    <w:basedOn w:val="52"/>
    <w:link w:val="7"/>
    <w:qFormat/>
    <w:uiPriority w:val="0"/>
    <w:rPr>
      <w:rFonts w:ascii="Cambria" w:hAnsi="Cambria" w:cs="Times New Roman"/>
      <w:color w:val="243F60"/>
      <w:lang w:val="zh-CN"/>
    </w:rPr>
  </w:style>
  <w:style w:type="character" w:customStyle="1" w:styleId="66">
    <w:name w:val="标题 6 字符"/>
    <w:basedOn w:val="52"/>
    <w:link w:val="8"/>
    <w:qFormat/>
    <w:uiPriority w:val="0"/>
    <w:rPr>
      <w:rFonts w:ascii="Calibri" w:hAnsi="Calibri" w:eastAsia="Times New Roman" w:cs="Times New Roman"/>
      <w:b/>
      <w:bCs/>
      <w:sz w:val="22"/>
      <w:szCs w:val="22"/>
      <w:lang w:val="zh-CN"/>
    </w:rPr>
  </w:style>
  <w:style w:type="character" w:customStyle="1" w:styleId="67">
    <w:name w:val="标题 7 字符"/>
    <w:basedOn w:val="52"/>
    <w:link w:val="9"/>
    <w:qFormat/>
    <w:uiPriority w:val="0"/>
    <w:rPr>
      <w:rFonts w:ascii="Calibri" w:hAnsi="Calibri" w:eastAsia="Times New Roman" w:cs="Times New Roman"/>
      <w:sz w:val="24"/>
      <w:szCs w:val="24"/>
      <w:lang w:val="zh-CN"/>
    </w:rPr>
  </w:style>
  <w:style w:type="character" w:customStyle="1" w:styleId="68">
    <w:name w:val="标题 8 字符"/>
    <w:basedOn w:val="52"/>
    <w:link w:val="10"/>
    <w:qFormat/>
    <w:uiPriority w:val="0"/>
    <w:rPr>
      <w:rFonts w:ascii="Calibri" w:hAnsi="Calibri" w:eastAsia="Times New Roman" w:cs="Times New Roman"/>
      <w:i/>
      <w:iCs/>
      <w:sz w:val="24"/>
      <w:szCs w:val="24"/>
      <w:lang w:val="zh-CN"/>
    </w:rPr>
  </w:style>
  <w:style w:type="character" w:customStyle="1" w:styleId="69">
    <w:name w:val="标题 9 字符"/>
    <w:basedOn w:val="52"/>
    <w:link w:val="11"/>
    <w:qFormat/>
    <w:uiPriority w:val="0"/>
    <w:rPr>
      <w:rFonts w:ascii="Calibri Light" w:hAnsi="Calibri Light" w:eastAsia="Times New Roman" w:cs="Times New Roman"/>
      <w:sz w:val="22"/>
      <w:szCs w:val="22"/>
      <w:lang w:val="zh-CN"/>
    </w:rPr>
  </w:style>
  <w:style w:type="character" w:customStyle="1" w:styleId="70">
    <w:name w:val="页眉 字符"/>
    <w:basedOn w:val="52"/>
    <w:link w:val="3"/>
    <w:qFormat/>
    <w:uiPriority w:val="0"/>
    <w:rPr>
      <w:rFonts w:ascii="Arial" w:hAnsi="Arial" w:eastAsia="宋体" w:cs="Times New Roman"/>
      <w:b/>
      <w:sz w:val="18"/>
      <w:szCs w:val="20"/>
    </w:rPr>
  </w:style>
  <w:style w:type="paragraph" w:customStyle="1" w:styleId="71">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2">
    <w:name w:val="Doc-title Char"/>
    <w:link w:val="73"/>
    <w:qFormat/>
    <w:locked/>
    <w:uiPriority w:val="0"/>
    <w:rPr>
      <w:rFonts w:ascii="Arial" w:hAnsi="Arial" w:eastAsia="MS Mincho" w:cs="Arial"/>
      <w:szCs w:val="24"/>
      <w:lang w:val="en-GB" w:eastAsia="en-GB"/>
    </w:rPr>
  </w:style>
  <w:style w:type="paragraph" w:customStyle="1" w:styleId="73">
    <w:name w:val="Doc-title"/>
    <w:basedOn w:val="1"/>
    <w:next w:val="1"/>
    <w:link w:val="72"/>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4">
    <w:name w:val="TH Char"/>
    <w:link w:val="75"/>
    <w:qFormat/>
    <w:locked/>
    <w:uiPriority w:val="0"/>
    <w:rPr>
      <w:rFonts w:ascii="Arial" w:hAnsi="Arial" w:cs="Arial"/>
      <w:b/>
      <w:lang w:val="en-GB"/>
    </w:rPr>
  </w:style>
  <w:style w:type="paragraph" w:customStyle="1" w:styleId="75">
    <w:name w:val="TH"/>
    <w:basedOn w:val="1"/>
    <w:link w:val="74"/>
    <w:qFormat/>
    <w:uiPriority w:val="0"/>
    <w:pPr>
      <w:keepNext/>
      <w:keepLines/>
      <w:spacing w:before="60" w:after="180" w:line="240" w:lineRule="auto"/>
      <w:jc w:val="center"/>
    </w:pPr>
    <w:rPr>
      <w:rFonts w:ascii="Arial" w:hAnsi="Arial" w:cs="Arial"/>
      <w:b/>
      <w:lang w:val="en-GB"/>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75"/>
    <w:link w:val="76"/>
    <w:qFormat/>
    <w:uiPriority w:val="0"/>
    <w:pPr>
      <w:keepNext w:val="0"/>
      <w:overflowPunct w:val="0"/>
      <w:autoSpaceDE w:val="0"/>
      <w:autoSpaceDN w:val="0"/>
      <w:adjustRightInd w:val="0"/>
      <w:spacing w:before="0" w:after="240"/>
    </w:pPr>
    <w:rPr>
      <w:rFonts w:eastAsia="Times New Roman"/>
      <w:lang w:eastAsia="ko-KR"/>
    </w:rPr>
  </w:style>
  <w:style w:type="paragraph" w:customStyle="1" w:styleId="78">
    <w:name w:val="Proposal"/>
    <w:basedOn w:val="1"/>
    <w:link w:val="79"/>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9">
    <w:name w:val="Proposal Char"/>
    <w:link w:val="78"/>
    <w:qFormat/>
    <w:uiPriority w:val="0"/>
    <w:rPr>
      <w:rFonts w:ascii="Times New Roman" w:hAnsi="Times New Roman" w:eastAsia="宋体" w:cs="Times New Roman"/>
      <w:sz w:val="20"/>
      <w:szCs w:val="20"/>
      <w:lang w:val="en-GB" w:eastAsia="zh-CN"/>
    </w:rPr>
  </w:style>
  <w:style w:type="paragraph" w:customStyle="1" w:styleId="80">
    <w:name w:val="observ."/>
    <w:basedOn w:val="78"/>
    <w:link w:val="81"/>
    <w:qFormat/>
    <w:uiPriority w:val="0"/>
    <w:pPr>
      <w:numPr>
        <w:ilvl w:val="0"/>
        <w:numId w:val="2"/>
      </w:numPr>
    </w:pPr>
  </w:style>
  <w:style w:type="character" w:customStyle="1" w:styleId="81">
    <w:name w:val="observ. Char"/>
    <w:link w:val="80"/>
    <w:qFormat/>
    <w:uiPriority w:val="0"/>
    <w:rPr>
      <w:rFonts w:ascii="Times New Roman" w:hAnsi="Times New Roman" w:cs="Times New Roman"/>
      <w:lang w:val="en-GB"/>
    </w:rPr>
  </w:style>
  <w:style w:type="paragraph" w:customStyle="1" w:styleId="82">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3">
    <w:name w:val="正文文本 字符"/>
    <w:basedOn w:val="52"/>
    <w:link w:val="31"/>
    <w:qFormat/>
    <w:uiPriority w:val="0"/>
    <w:rPr>
      <w:rFonts w:ascii="Times New Roman" w:hAnsi="Times New Roman" w:eastAsia="宋体" w:cs="Times New Roman"/>
      <w:sz w:val="20"/>
      <w:szCs w:val="20"/>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批注文字 字符"/>
    <w:basedOn w:val="52"/>
    <w:link w:val="29"/>
    <w:qFormat/>
    <w:uiPriority w:val="0"/>
    <w:rPr>
      <w:rFonts w:ascii="Times New Roman" w:hAnsi="Times New Roman" w:eastAsia="宋体" w:cs="Times New Roman"/>
      <w:sz w:val="20"/>
      <w:szCs w:val="20"/>
    </w:rPr>
  </w:style>
  <w:style w:type="character" w:customStyle="1" w:styleId="86">
    <w:name w:val="批注主题 字符"/>
    <w:basedOn w:val="85"/>
    <w:link w:val="49"/>
    <w:qFormat/>
    <w:uiPriority w:val="0"/>
    <w:rPr>
      <w:rFonts w:ascii="Times New Roman" w:hAnsi="Times New Roman" w:eastAsia="宋体" w:cs="Times New Roman"/>
      <w:b/>
      <w:bCs/>
      <w:sz w:val="20"/>
      <w:szCs w:val="20"/>
    </w:rPr>
  </w:style>
  <w:style w:type="character" w:customStyle="1" w:styleId="87">
    <w:name w:val="页脚 字符"/>
    <w:basedOn w:val="52"/>
    <w:link w:val="39"/>
    <w:qFormat/>
    <w:uiPriority w:val="0"/>
    <w:rPr>
      <w:rFonts w:ascii="Times New Roman" w:hAnsi="Times New Roman" w:eastAsia="宋体" w:cs="Times New Roman"/>
      <w:sz w:val="18"/>
      <w:szCs w:val="18"/>
    </w:rPr>
  </w:style>
  <w:style w:type="character" w:customStyle="1" w:styleId="88">
    <w:name w:val="列表段落 字符"/>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标题 字符"/>
    <w:basedOn w:val="52"/>
    <w:link w:val="48"/>
    <w:qFormat/>
    <w:uiPriority w:val="0"/>
    <w:rPr>
      <w:rFonts w:ascii="Arial" w:hAnsi="Arial" w:eastAsia="MS Mincho" w:cs="Times New Roman"/>
      <w:b/>
      <w:sz w:val="24"/>
      <w:szCs w:val="20"/>
      <w:lang w:val="de-DE"/>
    </w:rPr>
  </w:style>
  <w:style w:type="paragraph" w:customStyle="1" w:styleId="108">
    <w:name w:val="Observation"/>
    <w:basedOn w:val="78"/>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99"/>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脚注文本 字符"/>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文档结构图 字符"/>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1"/>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纯文本 字符"/>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3"/>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qFormat/>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qFormat/>
    <w:uiPriority w:val="99"/>
    <w:rPr>
      <w:color w:val="605E5C"/>
      <w:shd w:val="clear" w:color="auto" w:fill="E1DFDD"/>
    </w:rPr>
  </w:style>
  <w:style w:type="character" w:customStyle="1" w:styleId="199">
    <w:name w:val="Mention1"/>
    <w:basedOn w:val="52"/>
    <w:unhideWhenUsed/>
    <w:qFormat/>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
    <w:hidden/>
    <w:unhideWhenUsed/>
    <w:qFormat/>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qFormat/>
    <w:uiPriority w:val="99"/>
    <w:rPr>
      <w:color w:val="605E5C"/>
      <w:shd w:val="clear" w:color="auto" w:fill="E1DFDD"/>
    </w:rPr>
  </w:style>
  <w:style w:type="paragraph" w:customStyle="1" w:styleId="204">
    <w:name w:val="Heading 1 unnumbered"/>
    <w:basedOn w:val="2"/>
    <w:next w:val="31"/>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正文文本缩进 字符"/>
    <w:basedOn w:val="52"/>
    <w:link w:val="32"/>
    <w:qFormat/>
    <w:uiPriority w:val="0"/>
    <w:rPr>
      <w:rFonts w:ascii="Times New Roman" w:hAnsi="Times New Roman" w:eastAsia="MS Gothic" w:cs="Times New Roman"/>
      <w:sz w:val="24"/>
      <w:lang w:val="en-GB" w:eastAsia="ja-JP"/>
    </w:rPr>
  </w:style>
  <w:style w:type="paragraph" w:customStyle="1" w:styleId="206">
    <w:name w:val="lˆptext"/>
    <w:basedOn w:val="1"/>
    <w:qFormat/>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qFormat/>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正文文本缩进 2 字符"/>
    <w:basedOn w:val="52"/>
    <w:link w:val="37"/>
    <w:qFormat/>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qFormat/>
    <w:uiPriority w:val="0"/>
    <w:pPr>
      <w:spacing w:after="220" w:line="240" w:lineRule="auto"/>
    </w:pPr>
    <w:rPr>
      <w:rFonts w:ascii="Arial" w:hAnsi="Arial" w:eastAsia="MS Gothic" w:cs="Times New Roman"/>
      <w:b/>
      <w:szCs w:val="20"/>
      <w:lang w:val="en-GB" w:eastAsia="ja-JP"/>
    </w:rPr>
  </w:style>
  <w:style w:type="character" w:customStyle="1" w:styleId="211">
    <w:name w:val="正文文本 3 字符"/>
    <w:basedOn w:val="52"/>
    <w:link w:val="30"/>
    <w:qFormat/>
    <w:uiPriority w:val="0"/>
    <w:rPr>
      <w:rFonts w:ascii="Times New Roman" w:hAnsi="Times New Roman" w:eastAsia="MS Gothic" w:cs="Times New Roman"/>
      <w:sz w:val="24"/>
      <w:lang w:val="en-GB" w:eastAsia="ja-JP"/>
    </w:rPr>
  </w:style>
  <w:style w:type="paragraph" w:customStyle="1" w:styleId="212">
    <w:name w:val="Table_Text"/>
    <w:basedOn w:val="1"/>
    <w:qFormat/>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qFormat/>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qFormat/>
    <w:uiPriority w:val="0"/>
    <w:pPr>
      <w:numPr>
        <w:ilvl w:val="0"/>
        <w:numId w:val="12"/>
      </w:numPr>
      <w:spacing w:after="120"/>
    </w:pPr>
  </w:style>
  <w:style w:type="paragraph" w:customStyle="1" w:styleId="215">
    <w:name w:val="shortcode"/>
    <w:basedOn w:val="31"/>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qFormat/>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qFormat/>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9">
    <w:name w:val="図表番号 (文字)"/>
    <w:qFormat/>
    <w:uiPriority w:val="35"/>
    <w:rPr>
      <w:rFonts w:eastAsia="MS Gothic"/>
      <w:b/>
      <w:kern w:val="2"/>
      <w:sz w:val="24"/>
      <w:lang w:val="en-GB"/>
    </w:rPr>
  </w:style>
  <w:style w:type="paragraph" w:customStyle="1" w:styleId="220">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qFormat/>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qFormat/>
    <w:uiPriority w:val="99"/>
    <w:pPr>
      <w:spacing w:after="0" w:line="240" w:lineRule="auto"/>
    </w:pPr>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qFormat/>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qFormat/>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qFormat/>
    <w:uiPriority w:val="0"/>
    <w:rPr>
      <w:rFonts w:ascii="Times New Roman" w:hAnsi="Times New Roman" w:eastAsia="Malgun Gothic" w:cs="Batang"/>
      <w:lang w:val="en-GB" w:eastAsia="en-GB"/>
    </w:rPr>
  </w:style>
  <w:style w:type="paragraph" w:customStyle="1" w:styleId="231">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qFormat/>
    <w:uiPriority w:val="0"/>
    <w:pPr>
      <w:keepNext/>
      <w:spacing w:before="80" w:after="80"/>
      <w:jc w:val="center"/>
    </w:pPr>
    <w:rPr>
      <w:b/>
    </w:rPr>
  </w:style>
  <w:style w:type="character" w:customStyle="1" w:styleId="233">
    <w:name w:val="TAN Char"/>
    <w:link w:val="124"/>
    <w:qFormat/>
    <w:uiPriority w:val="0"/>
    <w:rPr>
      <w:rFonts w:ascii="Arial" w:hAnsi="Arial" w:eastAsia="Times New Roman" w:cs="Arial"/>
      <w:sz w:val="18"/>
      <w:szCs w:val="22"/>
      <w:lang w:eastAsia="en-US"/>
    </w:rPr>
  </w:style>
  <w:style w:type="paragraph" w:customStyle="1" w:styleId="234">
    <w:name w:val="TableText"/>
    <w:basedOn w:val="32"/>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Unresolved Mention5"/>
    <w:basedOn w:val="52"/>
    <w:unhideWhenUsed/>
    <w:qFormat/>
    <w:uiPriority w:val="99"/>
    <w:rPr>
      <w:color w:val="605E5C"/>
      <w:shd w:val="clear" w:color="auto" w:fill="E1DFDD"/>
    </w:rPr>
  </w:style>
  <w:style w:type="character" w:customStyle="1" w:styleId="236">
    <w:name w:val="cf01"/>
    <w:basedOn w:val="52"/>
    <w:qFormat/>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明显引用 字符"/>
    <w:basedOn w:val="52"/>
    <w:link w:val="237"/>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Mention2"/>
    <w:basedOn w:val="5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F07A0F-D470-41A8-AB73-B5E8AEFC61C0}">
  <ds:schemaRefs/>
</ds:datastoreItem>
</file>

<file path=customXml/itemProps3.xml><?xml version="1.0" encoding="utf-8"?>
<ds:datastoreItem xmlns:ds="http://schemas.openxmlformats.org/officeDocument/2006/customXml" ds:itemID="{3B0C6110-CF7C-49B1-BE5A-84A409B72652}">
  <ds:schemaRefs/>
</ds:datastoreItem>
</file>

<file path=customXml/itemProps4.xml><?xml version="1.0" encoding="utf-8"?>
<ds:datastoreItem xmlns:ds="http://schemas.openxmlformats.org/officeDocument/2006/customXml" ds:itemID="{78BF3983-B2EB-4477-869B-67DAB62517A3}">
  <ds:schemaRefs/>
</ds:datastoreItem>
</file>

<file path=customXml/itemProps5.xml><?xml version="1.0" encoding="utf-8"?>
<ds:datastoreItem xmlns:ds="http://schemas.openxmlformats.org/officeDocument/2006/customXml" ds:itemID="{0638DA51-DF07-4AD2-A4FE-CEDC67BBAC6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2475</Words>
  <Characters>13320</Characters>
  <Lines>113</Lines>
  <Paragraphs>31</Paragraphs>
  <TotalTime>0</TotalTime>
  <ScaleCrop>false</ScaleCrop>
  <LinksUpToDate>false</LinksUpToDate>
  <CharactersWithSpaces>15638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2023-04-19T02:38:00Z</dcterms:created>
  <dc:creator>Marta-r4</dc:creator>
  <cp:lastModifiedBy>ZTE - Yu Pan</cp:lastModifiedBy>
  <dcterms:modified xsi:type="dcterms:W3CDTF">2023-04-20T06:57:45Z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