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[AT121bis-e][422][POS]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[AT121bis-e][422][POS] SLPP specification baseline (Intel)</w:t>
      </w:r>
    </w:p>
    <w:p w14:paraId="1B3A9CA2" w14:textId="77777777" w:rsidR="007417DC" w:rsidRDefault="007417DC" w:rsidP="007417DC">
      <w:pPr>
        <w:pStyle w:val="EmailDiscussion2"/>
      </w:pPr>
      <w:r>
        <w:tab/>
        <w:t>Scope: Collect comments on R2-2302738 and R2-2302739 and attempt to converge to a baseline, taking into account also related contributions on SLPP structure.</w:t>
      </w:r>
    </w:p>
    <w:p w14:paraId="3297ACD9" w14:textId="77777777" w:rsidR="007417DC" w:rsidRDefault="007417DC" w:rsidP="007417DC">
      <w:pPr>
        <w:pStyle w:val="EmailDiscussion2"/>
      </w:pPr>
      <w:r>
        <w:tab/>
        <w:t xml:space="preserve">Intended outcome: Report and </w:t>
      </w:r>
      <w:proofErr w:type="spellStart"/>
      <w:r>
        <w:t>endorseable</w:t>
      </w:r>
      <w:proofErr w:type="spellEnd"/>
      <w:r>
        <w:t xml:space="preserv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00B24DA4" w14:textId="4F23D370" w:rsidR="007417DC" w:rsidRPr="00266845" w:rsidRDefault="007417DC" w:rsidP="007417DC">
      <w:pPr>
        <w:pStyle w:val="Heading3"/>
        <w:rPr>
          <w:rFonts w:asciiTheme="minorHAnsi" w:eastAsia="SimSun"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1333"/>
        <w:gridCol w:w="6138"/>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77777777" w:rsidR="005D5752" w:rsidRDefault="005D5752" w:rsidP="00C72D8D">
            <w:pPr>
              <w:jc w:val="both"/>
              <w:rPr>
                <w:sz w:val="20"/>
                <w:szCs w:val="20"/>
              </w:rPr>
            </w:pPr>
          </w:p>
        </w:tc>
        <w:tc>
          <w:tcPr>
            <w:tcW w:w="1350" w:type="dxa"/>
          </w:tcPr>
          <w:p w14:paraId="74754120" w14:textId="77777777" w:rsidR="005D5752" w:rsidRDefault="005D5752" w:rsidP="00C72D8D">
            <w:pPr>
              <w:jc w:val="both"/>
              <w:rPr>
                <w:sz w:val="20"/>
                <w:szCs w:val="20"/>
              </w:rPr>
            </w:pPr>
          </w:p>
        </w:tc>
        <w:tc>
          <w:tcPr>
            <w:tcW w:w="6318" w:type="dxa"/>
          </w:tcPr>
          <w:p w14:paraId="515064A1" w14:textId="77777777" w:rsidR="005D5752" w:rsidRDefault="005D5752" w:rsidP="00C72D8D">
            <w:pPr>
              <w:jc w:val="both"/>
              <w:rPr>
                <w:sz w:val="20"/>
                <w:szCs w:val="20"/>
              </w:rPr>
            </w:pPr>
          </w:p>
        </w:tc>
      </w:tr>
      <w:tr w:rsidR="005D5752" w14:paraId="7622E5E0" w14:textId="77777777" w:rsidTr="00C72D8D">
        <w:tc>
          <w:tcPr>
            <w:tcW w:w="1908" w:type="dxa"/>
          </w:tcPr>
          <w:p w14:paraId="46231552" w14:textId="77777777" w:rsidR="005D5752" w:rsidRDefault="005D5752" w:rsidP="00C72D8D">
            <w:pPr>
              <w:jc w:val="both"/>
              <w:rPr>
                <w:sz w:val="20"/>
                <w:szCs w:val="20"/>
              </w:rPr>
            </w:pPr>
          </w:p>
        </w:tc>
        <w:tc>
          <w:tcPr>
            <w:tcW w:w="1350" w:type="dxa"/>
          </w:tcPr>
          <w:p w14:paraId="4AF5C647" w14:textId="77777777" w:rsidR="005D5752" w:rsidRDefault="005D5752" w:rsidP="00C72D8D">
            <w:pPr>
              <w:jc w:val="both"/>
              <w:rPr>
                <w:sz w:val="20"/>
                <w:szCs w:val="20"/>
              </w:rPr>
            </w:pPr>
          </w:p>
        </w:tc>
        <w:tc>
          <w:tcPr>
            <w:tcW w:w="6318" w:type="dxa"/>
          </w:tcPr>
          <w:p w14:paraId="51C46350" w14:textId="77777777" w:rsidR="005D5752" w:rsidRDefault="005D5752"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Heading3"/>
        <w:rPr>
          <w:rFonts w:asciiTheme="minorHAnsi" w:eastAsia="SimSun" w:hAnsiTheme="minorHAnsi" w:cstheme="minorBidi"/>
          <w:lang w:eastAsia="en-US"/>
        </w:rPr>
      </w:pPr>
      <w:r>
        <w:t>3</w:t>
      </w:r>
      <w:r w:rsidRPr="00D458D8">
        <w:t>.</w:t>
      </w:r>
      <w:r>
        <w:t>2</w:t>
      </w:r>
      <w:r>
        <w:t xml:space="preserve"> </w:t>
      </w:r>
      <w:r>
        <w:t>Open issues for the TS38.355</w:t>
      </w:r>
    </w:p>
    <w:p w14:paraId="562A5A56" w14:textId="75D4A4DB" w:rsidR="00434963" w:rsidRPr="00FE1977" w:rsidRDefault="00434963" w:rsidP="00434963">
      <w:pPr>
        <w:pStyle w:val="Heading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t xml:space="preserve">To our understanding, </w:t>
            </w:r>
            <w:r>
              <w:rPr>
                <w:sz w:val="20"/>
                <w:szCs w:val="20"/>
              </w:rPr>
              <w:t xml:space="preserve">the principle used for PC5 RRC is to follow legacy RRC, i.e. Need code is applied if the PC5 RRC message is defined as downlink in legacy RRC, e.g. Need code is applied for </w:t>
            </w:r>
            <w:proofErr w:type="spellStart"/>
            <w:r w:rsidRPr="00F3608B">
              <w:rPr>
                <w:i/>
                <w:iCs/>
                <w:sz w:val="20"/>
                <w:szCs w:val="20"/>
              </w:rPr>
              <w:t>RRCReconfigurationSidelink</w:t>
            </w:r>
            <w:proofErr w:type="spellEnd"/>
            <w:r w:rsidRPr="00F3608B">
              <w:rPr>
                <w:sz w:val="20"/>
                <w:szCs w:val="20"/>
              </w:rPr>
              <w:t xml:space="preserve"> </w:t>
            </w:r>
            <w:r>
              <w:rPr>
                <w:sz w:val="20"/>
                <w:szCs w:val="20"/>
              </w:rPr>
              <w:t xml:space="preserve"> message, but not applied for </w:t>
            </w:r>
            <w:proofErr w:type="spellStart"/>
            <w:r w:rsidRPr="00F3608B">
              <w:rPr>
                <w:i/>
                <w:iCs/>
                <w:sz w:val="20"/>
                <w:szCs w:val="20"/>
              </w:rPr>
              <w:t>RRCReconfigurationCompleteSidelink</w:t>
            </w:r>
            <w:proofErr w:type="spellEnd"/>
            <w:r w:rsidRPr="00F3608B">
              <w:rPr>
                <w:sz w:val="20"/>
                <w:szCs w:val="20"/>
              </w:rPr>
              <w:t xml:space="preserve"> </w:t>
            </w:r>
            <w:r>
              <w:rPr>
                <w:sz w:val="20"/>
                <w:szCs w:val="20"/>
              </w:rPr>
              <w:t xml:space="preserve"> message. We can follow the same principle for SLPP message, i.e.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 xml:space="preserve">R2-2302738 </w:t>
      </w:r>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9"/>
        <w:gridCol w:w="1333"/>
        <w:gridCol w:w="6138"/>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77777777" w:rsidR="005D5752" w:rsidRDefault="005D5752" w:rsidP="00C72D8D">
            <w:pPr>
              <w:jc w:val="both"/>
              <w:rPr>
                <w:sz w:val="20"/>
                <w:szCs w:val="20"/>
              </w:rPr>
            </w:pPr>
          </w:p>
        </w:tc>
        <w:tc>
          <w:tcPr>
            <w:tcW w:w="1350" w:type="dxa"/>
          </w:tcPr>
          <w:p w14:paraId="1B40493A" w14:textId="77777777" w:rsidR="005D5752" w:rsidRDefault="005D5752" w:rsidP="00C72D8D">
            <w:pPr>
              <w:jc w:val="both"/>
              <w:rPr>
                <w:sz w:val="20"/>
                <w:szCs w:val="20"/>
              </w:rPr>
            </w:pPr>
          </w:p>
        </w:tc>
        <w:tc>
          <w:tcPr>
            <w:tcW w:w="6318" w:type="dxa"/>
          </w:tcPr>
          <w:p w14:paraId="0C45F9F5" w14:textId="77777777" w:rsidR="005D5752" w:rsidRDefault="005D5752" w:rsidP="00C72D8D">
            <w:pPr>
              <w:jc w:val="both"/>
              <w:rPr>
                <w:sz w:val="20"/>
                <w:szCs w:val="20"/>
              </w:rPr>
            </w:pPr>
          </w:p>
        </w:tc>
      </w:tr>
      <w:tr w:rsidR="005D5752" w14:paraId="4A3B3820" w14:textId="77777777" w:rsidTr="00C72D8D">
        <w:tc>
          <w:tcPr>
            <w:tcW w:w="1908" w:type="dxa"/>
          </w:tcPr>
          <w:p w14:paraId="67D5DDD9" w14:textId="77777777" w:rsidR="005D5752" w:rsidRDefault="005D5752" w:rsidP="00C72D8D">
            <w:pPr>
              <w:jc w:val="both"/>
              <w:rPr>
                <w:sz w:val="20"/>
                <w:szCs w:val="20"/>
              </w:rPr>
            </w:pPr>
          </w:p>
        </w:tc>
        <w:tc>
          <w:tcPr>
            <w:tcW w:w="1350" w:type="dxa"/>
          </w:tcPr>
          <w:p w14:paraId="12ACC7BE" w14:textId="77777777" w:rsidR="005D5752" w:rsidRDefault="005D5752" w:rsidP="00C72D8D">
            <w:pPr>
              <w:jc w:val="both"/>
              <w:rPr>
                <w:sz w:val="20"/>
                <w:szCs w:val="20"/>
              </w:rPr>
            </w:pPr>
          </w:p>
        </w:tc>
        <w:tc>
          <w:tcPr>
            <w:tcW w:w="6318" w:type="dxa"/>
          </w:tcPr>
          <w:p w14:paraId="09778BCF" w14:textId="77777777" w:rsidR="005D5752" w:rsidRDefault="005D5752" w:rsidP="00C72D8D">
            <w:pPr>
              <w:jc w:val="both"/>
              <w:rPr>
                <w:sz w:val="20"/>
                <w:szCs w:val="20"/>
              </w:rPr>
            </w:pP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r w:rsidRPr="002B0475">
              <w:t xml:space="preserve">SLPP </w:t>
            </w:r>
            <w:proofErr w:type="spellStart"/>
            <w:r w:rsidRPr="002B0475">
              <w:t>ProvideAssistanceData</w:t>
            </w:r>
            <w:proofErr w:type="spellEnd"/>
            <w:r w:rsidRPr="002B0475">
              <w:t xml:space="preserve">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Pr>
          <w:rFonts w:ascii="Times New Roman" w:hAnsi="Times New Roman" w:cs="Times New Roman"/>
          <w:b/>
          <w:bCs/>
          <w:sz w:val="20"/>
          <w:szCs w:val="20"/>
        </w:rPr>
        <w:t>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Pr>
          <w:rFonts w:ascii="Times New Roman" w:hAnsi="Times New Roman" w:cs="Times New Roman"/>
          <w:b/>
          <w:bCs/>
          <w:sz w:val="20"/>
          <w:szCs w:val="20"/>
        </w:rPr>
        <w:t>1</w:t>
      </w:r>
      <w:r>
        <w:rPr>
          <w:rFonts w:ascii="Times New Roman" w:hAnsi="Times New Roman" w:cs="Times New Roman"/>
          <w:b/>
          <w:bCs/>
          <w:sz w:val="20"/>
          <w:szCs w:val="20"/>
        </w:rPr>
        <w:t xml:space="preserve">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 xml:space="preserve">Delta signaling is applied for the unicast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1333"/>
        <w:gridCol w:w="6138"/>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77777777" w:rsidR="00434963" w:rsidRDefault="00434963" w:rsidP="005B738C">
            <w:pPr>
              <w:jc w:val="both"/>
              <w:rPr>
                <w:sz w:val="20"/>
                <w:szCs w:val="20"/>
              </w:rPr>
            </w:pPr>
          </w:p>
        </w:tc>
        <w:tc>
          <w:tcPr>
            <w:tcW w:w="1350" w:type="dxa"/>
          </w:tcPr>
          <w:p w14:paraId="3C6B8996" w14:textId="77777777" w:rsidR="00434963" w:rsidRDefault="00434963" w:rsidP="005B738C">
            <w:pPr>
              <w:jc w:val="both"/>
              <w:rPr>
                <w:sz w:val="20"/>
                <w:szCs w:val="20"/>
              </w:rPr>
            </w:pPr>
          </w:p>
        </w:tc>
        <w:tc>
          <w:tcPr>
            <w:tcW w:w="6318" w:type="dxa"/>
          </w:tcPr>
          <w:p w14:paraId="048A05DB" w14:textId="77777777" w:rsidR="00434963" w:rsidRDefault="00434963" w:rsidP="005B738C">
            <w:pPr>
              <w:jc w:val="both"/>
              <w:rPr>
                <w:sz w:val="20"/>
                <w:szCs w:val="20"/>
              </w:rPr>
            </w:pPr>
          </w:p>
        </w:tc>
      </w:tr>
      <w:tr w:rsidR="00434963" w14:paraId="40B9E106" w14:textId="77777777" w:rsidTr="005B738C">
        <w:tc>
          <w:tcPr>
            <w:tcW w:w="1908" w:type="dxa"/>
          </w:tcPr>
          <w:p w14:paraId="6ADDA60A" w14:textId="77777777" w:rsidR="00434963" w:rsidRDefault="00434963" w:rsidP="005B738C">
            <w:pPr>
              <w:jc w:val="both"/>
              <w:rPr>
                <w:sz w:val="20"/>
                <w:szCs w:val="20"/>
              </w:rPr>
            </w:pPr>
          </w:p>
        </w:tc>
        <w:tc>
          <w:tcPr>
            <w:tcW w:w="1350" w:type="dxa"/>
          </w:tcPr>
          <w:p w14:paraId="5437AD8A" w14:textId="77777777" w:rsidR="00434963" w:rsidRDefault="00434963" w:rsidP="005B738C">
            <w:pPr>
              <w:jc w:val="both"/>
              <w:rPr>
                <w:sz w:val="20"/>
                <w:szCs w:val="20"/>
              </w:rPr>
            </w:pPr>
          </w:p>
        </w:tc>
        <w:tc>
          <w:tcPr>
            <w:tcW w:w="6318" w:type="dxa"/>
          </w:tcPr>
          <w:p w14:paraId="77097427" w14:textId="77777777" w:rsidR="00434963" w:rsidRDefault="00434963"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w:t>
      </w:r>
      <w:r>
        <w:rPr>
          <w:rFonts w:ascii="Times New Roman" w:hAnsi="Times New Roman" w:cs="Times New Roman"/>
          <w:sz w:val="20"/>
          <w:lang w:val="en-GB" w:eastAsia="en-GB"/>
        </w:rPr>
        <w:t xml:space="preserve">also </w:t>
      </w:r>
      <w:r>
        <w:rPr>
          <w:rFonts w:ascii="Times New Roman" w:hAnsi="Times New Roman" w:cs="Times New Roman"/>
          <w:sz w:val="20"/>
          <w:lang w:val="en-GB" w:eastAsia="en-GB"/>
        </w:rPr>
        <w:t xml:space="preserve">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w:t>
      </w:r>
      <w:r>
        <w:rPr>
          <w:rFonts w:ascii="Times New Roman" w:hAnsi="Times New Roman" w:cs="Times New Roman"/>
          <w:sz w:val="20"/>
          <w:szCs w:val="20"/>
        </w:rPr>
        <w:t>groupcast/broadcast</w:t>
      </w:r>
      <w:r>
        <w:rPr>
          <w:rFonts w:ascii="Times New Roman" w:hAnsi="Times New Roman" w:cs="Times New Roman"/>
          <w:sz w:val="20"/>
          <w:szCs w:val="20"/>
        </w:rPr>
        <w:t xml:space="preserve"> transmission</w:t>
      </w:r>
    </w:p>
    <w:tbl>
      <w:tblPr>
        <w:tblStyle w:val="TableGrid"/>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r w:rsidRPr="002B0475">
              <w:t xml:space="preserve">SLPP </w:t>
            </w:r>
            <w:proofErr w:type="spellStart"/>
            <w:r w:rsidRPr="002B0475">
              <w:t>ProvideAssistanceData</w:t>
            </w:r>
            <w:proofErr w:type="spellEnd"/>
            <w:r w:rsidRPr="002B0475">
              <w:t xml:space="preserve">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r w:rsidRPr="002B0475">
              <w:t xml:space="preserve">SLPP </w:t>
            </w:r>
            <w:proofErr w:type="spellStart"/>
            <w:r w:rsidRPr="002B0475">
              <w:t>ProvideAssistanceData</w:t>
            </w:r>
            <w:proofErr w:type="spellEnd"/>
            <w:r w:rsidRPr="002B0475">
              <w:t xml:space="preserve">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Pr>
          <w:rFonts w:ascii="Times New Roman" w:hAnsi="Times New Roman" w:cs="Times New Roman"/>
          <w:b/>
          <w:bCs/>
          <w:sz w:val="20"/>
          <w:szCs w:val="20"/>
        </w:rPr>
        <w:t>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2 </w:t>
      </w:r>
      <w:r>
        <w:rPr>
          <w:rFonts w:ascii="Times New Roman" w:hAnsi="Times New Roman" w:cs="Times New Roman"/>
          <w:b/>
          <w:bCs/>
          <w:sz w:val="20"/>
          <w:szCs w:val="20"/>
        </w:rPr>
        <w:t xml:space="preserve">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t xml:space="preserve">Delta signaling may be applied for the 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TableGrid"/>
        <w:tblW w:w="0" w:type="auto"/>
        <w:tblLook w:val="04A0" w:firstRow="1" w:lastRow="0" w:firstColumn="1" w:lastColumn="0" w:noHBand="0" w:noVBand="1"/>
      </w:tblPr>
      <w:tblGrid>
        <w:gridCol w:w="1879"/>
        <w:gridCol w:w="1333"/>
        <w:gridCol w:w="6138"/>
      </w:tblGrid>
      <w:tr w:rsidR="00434963" w14:paraId="5E222D37" w14:textId="77777777" w:rsidTr="005B738C">
        <w:tc>
          <w:tcPr>
            <w:tcW w:w="1908"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5B738C">
        <w:tc>
          <w:tcPr>
            <w:tcW w:w="1908" w:type="dxa"/>
          </w:tcPr>
          <w:p w14:paraId="602D6EA5" w14:textId="77777777" w:rsidR="00434963" w:rsidRDefault="00434963" w:rsidP="005B738C">
            <w:pPr>
              <w:jc w:val="both"/>
              <w:rPr>
                <w:sz w:val="20"/>
                <w:szCs w:val="20"/>
              </w:rPr>
            </w:pPr>
          </w:p>
        </w:tc>
        <w:tc>
          <w:tcPr>
            <w:tcW w:w="1350" w:type="dxa"/>
          </w:tcPr>
          <w:p w14:paraId="49FAA92D" w14:textId="77777777" w:rsidR="00434963" w:rsidRDefault="00434963" w:rsidP="005B738C">
            <w:pPr>
              <w:jc w:val="both"/>
              <w:rPr>
                <w:sz w:val="20"/>
                <w:szCs w:val="20"/>
              </w:rPr>
            </w:pPr>
          </w:p>
        </w:tc>
        <w:tc>
          <w:tcPr>
            <w:tcW w:w="6318" w:type="dxa"/>
          </w:tcPr>
          <w:p w14:paraId="3038F924" w14:textId="77777777" w:rsidR="00434963" w:rsidRDefault="00434963" w:rsidP="005B738C">
            <w:pPr>
              <w:jc w:val="both"/>
              <w:rPr>
                <w:sz w:val="20"/>
                <w:szCs w:val="20"/>
              </w:rPr>
            </w:pPr>
          </w:p>
        </w:tc>
      </w:tr>
      <w:tr w:rsidR="00434963" w14:paraId="5D1B7D7E" w14:textId="77777777" w:rsidTr="005B738C">
        <w:tc>
          <w:tcPr>
            <w:tcW w:w="1908" w:type="dxa"/>
          </w:tcPr>
          <w:p w14:paraId="59757177" w14:textId="77777777" w:rsidR="00434963" w:rsidRDefault="00434963" w:rsidP="005B738C">
            <w:pPr>
              <w:jc w:val="both"/>
              <w:rPr>
                <w:sz w:val="20"/>
                <w:szCs w:val="20"/>
              </w:rPr>
            </w:pPr>
          </w:p>
        </w:tc>
        <w:tc>
          <w:tcPr>
            <w:tcW w:w="1350" w:type="dxa"/>
          </w:tcPr>
          <w:p w14:paraId="098EC298" w14:textId="77777777" w:rsidR="00434963" w:rsidRDefault="00434963" w:rsidP="005B738C">
            <w:pPr>
              <w:jc w:val="both"/>
              <w:rPr>
                <w:sz w:val="20"/>
                <w:szCs w:val="20"/>
              </w:rPr>
            </w:pPr>
          </w:p>
        </w:tc>
        <w:tc>
          <w:tcPr>
            <w:tcW w:w="6318" w:type="dxa"/>
          </w:tcPr>
          <w:p w14:paraId="44CBE4F6" w14:textId="77777777" w:rsidR="00434963" w:rsidRDefault="00434963" w:rsidP="005B738C">
            <w:pPr>
              <w:jc w:val="both"/>
              <w:rPr>
                <w:sz w:val="20"/>
                <w:szCs w:val="20"/>
              </w:rPr>
            </w:pP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Pr>
          <w:rFonts w:ascii="Times New Roman" w:hAnsi="Times New Roman" w:cs="Times New Roman"/>
          <w:b/>
          <w:bCs/>
          <w:sz w:val="20"/>
          <w:szCs w:val="20"/>
        </w:rPr>
        <w:t>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if supported.</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1333"/>
        <w:gridCol w:w="6138"/>
      </w:tblGrid>
      <w:tr w:rsidR="00434963" w14:paraId="01105845" w14:textId="77777777" w:rsidTr="005B738C">
        <w:tc>
          <w:tcPr>
            <w:tcW w:w="1908" w:type="dxa"/>
          </w:tcPr>
          <w:p w14:paraId="57790A2C" w14:textId="77777777" w:rsidR="00434963" w:rsidRPr="007B1A71" w:rsidRDefault="00434963" w:rsidP="005B738C">
            <w:pPr>
              <w:jc w:val="both"/>
              <w:rPr>
                <w:b/>
                <w:bCs/>
                <w:sz w:val="20"/>
                <w:szCs w:val="20"/>
              </w:rPr>
            </w:pPr>
            <w:r w:rsidRPr="007B1A71">
              <w:rPr>
                <w:b/>
                <w:bCs/>
                <w:sz w:val="20"/>
                <w:szCs w:val="20"/>
              </w:rPr>
              <w:lastRenderedPageBreak/>
              <w:t>Company</w:t>
            </w:r>
          </w:p>
        </w:tc>
        <w:tc>
          <w:tcPr>
            <w:tcW w:w="1350"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5B738C">
        <w:tc>
          <w:tcPr>
            <w:tcW w:w="1908" w:type="dxa"/>
          </w:tcPr>
          <w:p w14:paraId="6B16ED69" w14:textId="77777777" w:rsidR="00434963" w:rsidRDefault="00434963" w:rsidP="005B738C">
            <w:pPr>
              <w:jc w:val="both"/>
              <w:rPr>
                <w:sz w:val="20"/>
                <w:szCs w:val="20"/>
              </w:rPr>
            </w:pPr>
          </w:p>
        </w:tc>
        <w:tc>
          <w:tcPr>
            <w:tcW w:w="1350" w:type="dxa"/>
          </w:tcPr>
          <w:p w14:paraId="699EC4A3" w14:textId="77777777" w:rsidR="00434963" w:rsidRDefault="00434963" w:rsidP="005B738C">
            <w:pPr>
              <w:jc w:val="both"/>
              <w:rPr>
                <w:sz w:val="20"/>
                <w:szCs w:val="20"/>
              </w:rPr>
            </w:pPr>
          </w:p>
        </w:tc>
        <w:tc>
          <w:tcPr>
            <w:tcW w:w="6318" w:type="dxa"/>
          </w:tcPr>
          <w:p w14:paraId="0AEA9163" w14:textId="77777777" w:rsidR="00434963" w:rsidRDefault="00434963" w:rsidP="005B738C">
            <w:pPr>
              <w:jc w:val="both"/>
              <w:rPr>
                <w:sz w:val="20"/>
                <w:szCs w:val="20"/>
              </w:rPr>
            </w:pPr>
          </w:p>
        </w:tc>
      </w:tr>
      <w:tr w:rsidR="00434963" w14:paraId="2361CAD4" w14:textId="77777777" w:rsidTr="005B738C">
        <w:tc>
          <w:tcPr>
            <w:tcW w:w="1908" w:type="dxa"/>
          </w:tcPr>
          <w:p w14:paraId="7831C448" w14:textId="77777777" w:rsidR="00434963" w:rsidRDefault="00434963" w:rsidP="005B738C">
            <w:pPr>
              <w:jc w:val="both"/>
              <w:rPr>
                <w:sz w:val="20"/>
                <w:szCs w:val="20"/>
              </w:rPr>
            </w:pPr>
          </w:p>
        </w:tc>
        <w:tc>
          <w:tcPr>
            <w:tcW w:w="1350" w:type="dxa"/>
          </w:tcPr>
          <w:p w14:paraId="2843EF4D" w14:textId="77777777" w:rsidR="00434963" w:rsidRDefault="00434963" w:rsidP="005B738C">
            <w:pPr>
              <w:jc w:val="both"/>
              <w:rPr>
                <w:sz w:val="20"/>
                <w:szCs w:val="20"/>
              </w:rPr>
            </w:pPr>
          </w:p>
        </w:tc>
        <w:tc>
          <w:tcPr>
            <w:tcW w:w="6318" w:type="dxa"/>
          </w:tcPr>
          <w:p w14:paraId="51401B3D" w14:textId="77777777" w:rsidR="00434963" w:rsidRDefault="00434963" w:rsidP="005B738C">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 xml:space="preserve">If proposal 1, 2 and 3 in </w:t>
      </w:r>
      <w:r w:rsidRPr="00434963">
        <w:rPr>
          <w:rFonts w:ascii="Times New Roman" w:hAnsi="Times New Roman" w:cs="Times New Roman"/>
          <w:sz w:val="20"/>
          <w:lang w:val="en-GB" w:eastAsia="en-GB"/>
        </w:rPr>
        <w:t xml:space="preserve">R2-2302885 </w:t>
      </w:r>
      <w:r w:rsidRPr="00434963">
        <w:rPr>
          <w:rFonts w:ascii="Times New Roman" w:hAnsi="Times New Roman" w:cs="Times New Roman"/>
          <w:sz w:val="20"/>
          <w:lang w:val="en-GB" w:eastAsia="en-GB"/>
        </w:rPr>
        <w:t xml:space="preserve">are agreeable, </w:t>
      </w: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w:t>
      </w:r>
      <w:r>
        <w:rPr>
          <w:rFonts w:ascii="Times New Roman" w:hAnsi="Times New Roman" w:cs="Times New Roman"/>
          <w:sz w:val="20"/>
          <w:lang w:val="en-GB" w:eastAsia="en-GB"/>
        </w:rPr>
        <w:t xml:space="preserve">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Pr>
          <w:rFonts w:ascii="Times New Roman" w:hAnsi="Times New Roman" w:cs="Times New Roman"/>
          <w:b/>
          <w:bCs/>
          <w:sz w:val="20"/>
          <w:szCs w:val="20"/>
        </w:rPr>
        <w:t>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Pr>
          <w:rFonts w:ascii="Times New Roman" w:hAnsi="Times New Roman" w:cs="Times New Roman"/>
          <w:b/>
          <w:bCs/>
          <w:sz w:val="20"/>
          <w:szCs w:val="20"/>
        </w:rPr>
        <w:t>4</w:t>
      </w:r>
      <w:r>
        <w:rPr>
          <w:rFonts w:ascii="Times New Roman" w:hAnsi="Times New Roman" w:cs="Times New Roman"/>
          <w:b/>
          <w:bCs/>
          <w:sz w:val="20"/>
          <w:szCs w:val="20"/>
        </w:rPr>
        <w:t xml:space="preserve">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 xml:space="preserve">Consider full configuration signaling for the unicast/groupcast transmission of the SLPP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1333"/>
        <w:gridCol w:w="6138"/>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77777777" w:rsidR="00434963" w:rsidRDefault="00434963" w:rsidP="005B738C">
            <w:pPr>
              <w:jc w:val="both"/>
              <w:rPr>
                <w:sz w:val="20"/>
                <w:szCs w:val="20"/>
              </w:rPr>
            </w:pPr>
          </w:p>
        </w:tc>
        <w:tc>
          <w:tcPr>
            <w:tcW w:w="1350" w:type="dxa"/>
          </w:tcPr>
          <w:p w14:paraId="156FAD40" w14:textId="77777777" w:rsidR="00434963" w:rsidRDefault="00434963" w:rsidP="005B738C">
            <w:pPr>
              <w:jc w:val="both"/>
              <w:rPr>
                <w:sz w:val="20"/>
                <w:szCs w:val="20"/>
              </w:rPr>
            </w:pPr>
          </w:p>
        </w:tc>
        <w:tc>
          <w:tcPr>
            <w:tcW w:w="6318" w:type="dxa"/>
          </w:tcPr>
          <w:p w14:paraId="7856212D" w14:textId="77777777" w:rsidR="00434963" w:rsidRDefault="00434963" w:rsidP="005B738C">
            <w:pPr>
              <w:jc w:val="both"/>
              <w:rPr>
                <w:sz w:val="20"/>
                <w:szCs w:val="20"/>
              </w:rPr>
            </w:pPr>
          </w:p>
        </w:tc>
      </w:tr>
      <w:tr w:rsidR="00434963" w14:paraId="6C2EBD61" w14:textId="77777777" w:rsidTr="005B738C">
        <w:tc>
          <w:tcPr>
            <w:tcW w:w="1908" w:type="dxa"/>
          </w:tcPr>
          <w:p w14:paraId="0E42DBA2" w14:textId="77777777" w:rsidR="00434963" w:rsidRDefault="00434963" w:rsidP="005B738C">
            <w:pPr>
              <w:jc w:val="both"/>
              <w:rPr>
                <w:sz w:val="20"/>
                <w:szCs w:val="20"/>
              </w:rPr>
            </w:pPr>
          </w:p>
        </w:tc>
        <w:tc>
          <w:tcPr>
            <w:tcW w:w="1350" w:type="dxa"/>
          </w:tcPr>
          <w:p w14:paraId="35F09757" w14:textId="77777777" w:rsidR="00434963" w:rsidRDefault="00434963" w:rsidP="005B738C">
            <w:pPr>
              <w:jc w:val="both"/>
              <w:rPr>
                <w:sz w:val="20"/>
                <w:szCs w:val="20"/>
              </w:rPr>
            </w:pPr>
          </w:p>
        </w:tc>
        <w:tc>
          <w:tcPr>
            <w:tcW w:w="6318" w:type="dxa"/>
          </w:tcPr>
          <w:p w14:paraId="69EAB500" w14:textId="77777777" w:rsidR="00434963" w:rsidRDefault="00434963"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w:t>
      </w:r>
      <w:r>
        <w:rPr>
          <w:rFonts w:ascii="Times New Roman" w:hAnsi="Times New Roman" w:cs="Times New Roman"/>
          <w:sz w:val="20"/>
          <w:szCs w:val="20"/>
        </w:rPr>
        <w:t>also discussed whether import IE definition from LPP as</w:t>
      </w:r>
    </w:p>
    <w:tbl>
      <w:tblPr>
        <w:tblStyle w:val="TableGrid"/>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r>
              <w:rPr>
                <w:sz w:val="20"/>
                <w:szCs w:val="20"/>
              </w:rPr>
              <w:t>Similar to PC5 RRC, if some IE definitions from LPP can be reused for SLPP, we may simply import them from LPP specification, as</w:t>
            </w:r>
          </w:p>
          <w:p w14:paraId="2D130D2E" w14:textId="77777777" w:rsidR="00F007DD" w:rsidRPr="00F10B4F" w:rsidRDefault="00F007DD" w:rsidP="00F007DD">
            <w:pPr>
              <w:pStyle w:val="PL"/>
            </w:pPr>
            <w:r w:rsidRPr="00F10B4F">
              <w:t>IMPORTS</w:t>
            </w:r>
          </w:p>
          <w:p w14:paraId="4EED6411" w14:textId="77777777" w:rsidR="00F007DD" w:rsidRDefault="00F007DD" w:rsidP="00F007DD">
            <w:pPr>
              <w:jc w:val="both"/>
              <w:rPr>
                <w:sz w:val="20"/>
                <w:szCs w:val="20"/>
              </w:rPr>
            </w:pPr>
            <w:r>
              <w:rPr>
                <w:sz w:val="20"/>
                <w:szCs w:val="20"/>
              </w:rPr>
              <w:tab/>
            </w:r>
            <w:proofErr w:type="spellStart"/>
            <w:r>
              <w:rPr>
                <w:sz w:val="20"/>
                <w:szCs w:val="20"/>
              </w:rPr>
              <w:t>Xxx</w:t>
            </w:r>
            <w:proofErr w:type="spellEnd"/>
          </w:p>
          <w:p w14:paraId="0424CF86" w14:textId="77777777" w:rsidR="00F007DD" w:rsidRPr="00F10B4F" w:rsidRDefault="00F007DD" w:rsidP="00F007DD">
            <w:pPr>
              <w:pStyle w:val="PL"/>
            </w:pPr>
            <w:r w:rsidRPr="00F10B4F">
              <w:t xml:space="preserve">FROM </w:t>
            </w:r>
            <w:r w:rsidRPr="00D366D2">
              <w:t>LPP-PDU-Definitions</w:t>
            </w:r>
            <w:r w:rsidRPr="00F10B4F">
              <w:t>;</w:t>
            </w:r>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R2-2302885</w:t>
      </w:r>
      <w:r w:rsidRPr="00C2674A">
        <w:rPr>
          <w:rFonts w:ascii="Times New Roman" w:hAnsi="Times New Roman" w:cs="Times New Roman"/>
          <w:sz w:val="20"/>
          <w:szCs w:val="20"/>
        </w:rPr>
        <w:t xml:space="preserve"> </w:t>
      </w:r>
      <w:r>
        <w:rPr>
          <w:rFonts w:ascii="Times New Roman" w:hAnsi="Times New Roman" w:cs="Times New Roman"/>
          <w:sz w:val="20"/>
          <w:szCs w:val="20"/>
        </w:rPr>
        <w:t>also discussed to import IE definition from LPP as</w:t>
      </w:r>
    </w:p>
    <w:tbl>
      <w:tblPr>
        <w:tblStyle w:val="TableGrid"/>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0507AC35" w14:textId="1AF03D68"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w:t>
      </w:r>
      <w:r>
        <w:rPr>
          <w:rFonts w:ascii="Times New Roman" w:hAnsi="Times New Roman" w:cs="Times New Roman"/>
          <w:b/>
          <w:bCs/>
          <w:sz w:val="20"/>
          <w:szCs w:val="20"/>
        </w:rPr>
        <w:t>e may import some IE definitions 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1333"/>
        <w:gridCol w:w="6138"/>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lastRenderedPageBreak/>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77777777" w:rsidR="00F007DD" w:rsidRDefault="00F007DD" w:rsidP="005B738C">
            <w:pPr>
              <w:jc w:val="both"/>
              <w:rPr>
                <w:sz w:val="20"/>
                <w:szCs w:val="20"/>
              </w:rPr>
            </w:pPr>
          </w:p>
        </w:tc>
        <w:tc>
          <w:tcPr>
            <w:tcW w:w="1350" w:type="dxa"/>
          </w:tcPr>
          <w:p w14:paraId="7F562ADD" w14:textId="77777777" w:rsidR="00F007DD" w:rsidRDefault="00F007DD" w:rsidP="005B738C">
            <w:pPr>
              <w:jc w:val="both"/>
              <w:rPr>
                <w:sz w:val="20"/>
                <w:szCs w:val="20"/>
              </w:rPr>
            </w:pPr>
          </w:p>
        </w:tc>
        <w:tc>
          <w:tcPr>
            <w:tcW w:w="6318" w:type="dxa"/>
          </w:tcPr>
          <w:p w14:paraId="27B76715" w14:textId="77777777" w:rsidR="00F007DD" w:rsidRDefault="00F007DD" w:rsidP="005B738C">
            <w:pPr>
              <w:jc w:val="both"/>
              <w:rPr>
                <w:sz w:val="20"/>
                <w:szCs w:val="20"/>
              </w:rPr>
            </w:pPr>
          </w:p>
        </w:tc>
      </w:tr>
      <w:tr w:rsidR="00F007DD" w14:paraId="08B9EBDE" w14:textId="77777777" w:rsidTr="005B738C">
        <w:tc>
          <w:tcPr>
            <w:tcW w:w="1908" w:type="dxa"/>
          </w:tcPr>
          <w:p w14:paraId="3D85DE45" w14:textId="77777777" w:rsidR="00F007DD" w:rsidRDefault="00F007DD" w:rsidP="005B738C">
            <w:pPr>
              <w:jc w:val="both"/>
              <w:rPr>
                <w:sz w:val="20"/>
                <w:szCs w:val="20"/>
              </w:rPr>
            </w:pPr>
          </w:p>
        </w:tc>
        <w:tc>
          <w:tcPr>
            <w:tcW w:w="1350" w:type="dxa"/>
          </w:tcPr>
          <w:p w14:paraId="53ACC1C6" w14:textId="77777777" w:rsidR="00F007DD" w:rsidRDefault="00F007DD" w:rsidP="005B738C">
            <w:pPr>
              <w:jc w:val="both"/>
              <w:rPr>
                <w:sz w:val="20"/>
                <w:szCs w:val="20"/>
              </w:rPr>
            </w:pPr>
          </w:p>
        </w:tc>
        <w:tc>
          <w:tcPr>
            <w:tcW w:w="6318" w:type="dxa"/>
          </w:tcPr>
          <w:p w14:paraId="2592B86D" w14:textId="77777777" w:rsidR="00F007DD" w:rsidRDefault="00F007DD" w:rsidP="005B738C">
            <w:pPr>
              <w:jc w:val="both"/>
              <w:rPr>
                <w:sz w:val="20"/>
                <w:szCs w:val="20"/>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more clear,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030C3FA4" w14:textId="23640B4B" w:rsidR="00804BF0" w:rsidRPr="00804BF0" w:rsidRDefault="00804BF0" w:rsidP="00804BF0">
      <w:pPr>
        <w:pStyle w:val="ListParagraph"/>
        <w:numPr>
          <w:ilvl w:val="0"/>
          <w:numId w:val="21"/>
        </w:numPr>
        <w:jc w:val="both"/>
      </w:pPr>
      <w:r w:rsidRPr="00804BF0">
        <w:t>Proposal 5: Discuss and agree on the basic release mechanisms to support for session-based SLPP.</w:t>
      </w:r>
    </w:p>
    <w:p w14:paraId="000820C8" w14:textId="1018221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2: Message mode indication  (</w:t>
      </w:r>
      <w:r w:rsidRPr="00804BF0">
        <w:rPr>
          <w:rFonts w:ascii="Times New Roman" w:hAnsi="Times New Roman" w:cs="Times New Roman"/>
          <w:sz w:val="20"/>
          <w:lang w:val="en-GB" w:eastAsia="en-GB"/>
        </w:rPr>
        <w:t>R2-2303591</w:t>
      </w:r>
      <w:r>
        <w:rPr>
          <w:rFonts w:ascii="Times New Roman" w:hAnsi="Times New Roman" w:cs="Times New Roman"/>
          <w:sz w:val="20"/>
          <w:szCs w:val="20"/>
        </w:rPr>
        <w:t>)</w:t>
      </w:r>
    </w:p>
    <w:p w14:paraId="457467E1" w14:textId="77777777" w:rsidR="00804BF0" w:rsidRDefault="00804BF0" w:rsidP="00804BF0">
      <w:pPr>
        <w:pStyle w:val="ListParagraph"/>
        <w:numPr>
          <w:ilvl w:val="0"/>
          <w:numId w:val="21"/>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ListParagraph"/>
        <w:numPr>
          <w:ilvl w:val="0"/>
          <w:numId w:val="21"/>
        </w:numPr>
        <w:jc w:val="both"/>
      </w:pPr>
      <w:r>
        <w:t>•</w:t>
      </w:r>
      <w:r>
        <w:tab/>
        <w:t>Unicast transaction</w:t>
      </w:r>
    </w:p>
    <w:p w14:paraId="3800548C" w14:textId="77777777" w:rsidR="00804BF0" w:rsidRDefault="00804BF0" w:rsidP="00804BF0">
      <w:pPr>
        <w:pStyle w:val="ListParagraph"/>
        <w:numPr>
          <w:ilvl w:val="0"/>
          <w:numId w:val="21"/>
        </w:numPr>
        <w:jc w:val="both"/>
      </w:pPr>
      <w:r>
        <w:t>•</w:t>
      </w:r>
      <w:r>
        <w:tab/>
        <w:t>Group Transaction with Group Replies</w:t>
      </w:r>
    </w:p>
    <w:p w14:paraId="7FB857B9" w14:textId="77777777" w:rsidR="00804BF0" w:rsidRDefault="00804BF0" w:rsidP="00804BF0">
      <w:pPr>
        <w:pStyle w:val="ListParagraph"/>
        <w:numPr>
          <w:ilvl w:val="0"/>
          <w:numId w:val="21"/>
        </w:numPr>
        <w:jc w:val="both"/>
      </w:pPr>
      <w:r>
        <w:t>•</w:t>
      </w:r>
      <w:r>
        <w:tab/>
        <w:t>Group Transaction with Unicast Replies</w:t>
      </w:r>
    </w:p>
    <w:p w14:paraId="5D7F2D79" w14:textId="5E0A3E61" w:rsidR="00804BF0" w:rsidRPr="00804BF0" w:rsidRDefault="00804BF0" w:rsidP="00804BF0">
      <w:pPr>
        <w:pStyle w:val="ListParagraph"/>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2" w:name="_Ref434066290"/>
      <w:r>
        <w:rPr>
          <w:rFonts w:ascii="Times New Roman" w:hAnsi="Times New Roman"/>
        </w:rPr>
        <w:t>Reference</w:t>
      </w:r>
      <w:bookmarkEnd w:id="12"/>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Pr="00434963">
        <w:rPr>
          <w:rFonts w:ascii="Times New Roman" w:hAnsi="Times New Roman" w:cs="Times New Roman"/>
          <w:sz w:val="20"/>
        </w:rPr>
        <w:t>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Pr="00804BF0">
        <w:rPr>
          <w:rFonts w:ascii="Times New Roman" w:hAnsi="Times New Roman" w:cs="Times New Roman"/>
          <w:sz w:val="20"/>
        </w:rPr>
        <w:t>R2-2303591</w:t>
      </w:r>
      <w:r w:rsidRPr="00804BF0">
        <w:rPr>
          <w:rFonts w:ascii="Times New Roman" w:hAnsi="Times New Roman" w:cs="Times New Roman"/>
          <w:sz w:val="20"/>
        </w:rPr>
        <w:tab/>
      </w:r>
      <w:proofErr w:type="spellStart"/>
      <w:r w:rsidRPr="00804BF0">
        <w:rPr>
          <w:rFonts w:ascii="Times New Roman" w:hAnsi="Times New Roman" w:cs="Times New Roman"/>
          <w:sz w:val="20"/>
        </w:rPr>
        <w:t>Sidelink</w:t>
      </w:r>
      <w:proofErr w:type="spellEnd"/>
      <w:r w:rsidRPr="00804BF0">
        <w:rPr>
          <w:rFonts w:ascii="Times New Roman" w:hAnsi="Times New Roman" w:cs="Times New Roman"/>
          <w:sz w:val="20"/>
        </w:rPr>
        <w:t xml:space="preserve"> Positioning Protocol (SLPP) </w:t>
      </w:r>
      <w:proofErr w:type="spellStart"/>
      <w:r w:rsidRPr="00804BF0">
        <w:rPr>
          <w:rFonts w:ascii="Times New Roman" w:hAnsi="Times New Roman" w:cs="Times New Roman"/>
          <w:sz w:val="20"/>
        </w:rPr>
        <w:t>Signaling</w:t>
      </w:r>
      <w:proofErr w:type="spellEnd"/>
      <w:r w:rsidRPr="00804BF0">
        <w:rPr>
          <w:rFonts w:ascii="Times New Roman" w:hAnsi="Times New Roman" w:cs="Times New Roman"/>
          <w:sz w:val="20"/>
        </w:rPr>
        <w:t xml:space="preserve">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607E" w14:textId="77777777" w:rsidR="00446FCA" w:rsidRDefault="00446FCA" w:rsidP="008A375A">
      <w:pPr>
        <w:spacing w:after="0" w:line="240" w:lineRule="auto"/>
      </w:pPr>
      <w:r>
        <w:separator/>
      </w:r>
    </w:p>
  </w:endnote>
  <w:endnote w:type="continuationSeparator" w:id="0">
    <w:p w14:paraId="524C2C5D" w14:textId="77777777" w:rsidR="00446FCA" w:rsidRDefault="00446FCA" w:rsidP="008A375A">
      <w:pPr>
        <w:spacing w:after="0" w:line="240" w:lineRule="auto"/>
      </w:pPr>
      <w:r>
        <w:continuationSeparator/>
      </w:r>
    </w:p>
  </w:endnote>
  <w:endnote w:type="continuationNotice" w:id="1">
    <w:p w14:paraId="1B2BA65F" w14:textId="77777777" w:rsidR="00446FCA" w:rsidRDefault="00446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8313" w14:textId="77777777" w:rsidR="00446FCA" w:rsidRDefault="00446FCA" w:rsidP="008A375A">
      <w:pPr>
        <w:spacing w:after="0" w:line="240" w:lineRule="auto"/>
      </w:pPr>
      <w:r>
        <w:separator/>
      </w:r>
    </w:p>
  </w:footnote>
  <w:footnote w:type="continuationSeparator" w:id="0">
    <w:p w14:paraId="58AC8C85" w14:textId="77777777" w:rsidR="00446FCA" w:rsidRDefault="00446FCA" w:rsidP="008A375A">
      <w:pPr>
        <w:spacing w:after="0" w:line="240" w:lineRule="auto"/>
      </w:pPr>
      <w:r>
        <w:continuationSeparator/>
      </w:r>
    </w:p>
  </w:footnote>
  <w:footnote w:type="continuationNotice" w:id="1">
    <w:p w14:paraId="4C4A6FA4" w14:textId="77777777" w:rsidR="00446FCA" w:rsidRDefault="00446F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1016140">
    <w:abstractNumId w:val="6"/>
  </w:num>
  <w:num w:numId="2" w16cid:durableId="615602733">
    <w:abstractNumId w:val="8"/>
  </w:num>
  <w:num w:numId="3" w16cid:durableId="1406881613">
    <w:abstractNumId w:val="7"/>
  </w:num>
  <w:num w:numId="4" w16cid:durableId="1904757879">
    <w:abstractNumId w:val="13"/>
  </w:num>
  <w:num w:numId="5" w16cid:durableId="723335436">
    <w:abstractNumId w:val="19"/>
  </w:num>
  <w:num w:numId="6" w16cid:durableId="461459704">
    <w:abstractNumId w:val="10"/>
  </w:num>
  <w:num w:numId="7" w16cid:durableId="275796971">
    <w:abstractNumId w:val="11"/>
  </w:num>
  <w:num w:numId="8" w16cid:durableId="920481216">
    <w:abstractNumId w:val="17"/>
  </w:num>
  <w:num w:numId="9" w16cid:durableId="2060398152">
    <w:abstractNumId w:val="3"/>
  </w:num>
  <w:num w:numId="10" w16cid:durableId="1201362250">
    <w:abstractNumId w:val="12"/>
  </w:num>
  <w:num w:numId="11" w16cid:durableId="354305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14"/>
  </w:num>
  <w:num w:numId="13" w16cid:durableId="378632407">
    <w:abstractNumId w:val="5"/>
  </w:num>
  <w:num w:numId="14" w16cid:durableId="1971126414">
    <w:abstractNumId w:val="18"/>
  </w:num>
  <w:num w:numId="15" w16cid:durableId="856579914">
    <w:abstractNumId w:val="9"/>
  </w:num>
  <w:num w:numId="16" w16cid:durableId="1634599906">
    <w:abstractNumId w:val="1"/>
  </w:num>
  <w:num w:numId="17" w16cid:durableId="85854713">
    <w:abstractNumId w:val="16"/>
  </w:num>
  <w:num w:numId="18" w16cid:durableId="1585915148">
    <w:abstractNumId w:val="0"/>
  </w:num>
  <w:num w:numId="19" w16cid:durableId="375811365">
    <w:abstractNumId w:val="2"/>
  </w:num>
  <w:num w:numId="20" w16cid:durableId="1476216695">
    <w:abstractNumId w:val="4"/>
  </w:num>
  <w:num w:numId="21" w16cid:durableId="21404125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2462</TotalTime>
  <Pages>5</Pages>
  <Words>925</Words>
  <Characters>5274</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Yi1 (Intel)</cp:lastModifiedBy>
  <cp:revision>271</cp:revision>
  <dcterms:created xsi:type="dcterms:W3CDTF">2022-04-20T16:19:00Z</dcterms:created>
  <dcterms:modified xsi:type="dcterms:W3CDTF">2023-04-18T07:52:00Z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