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Heading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 xml:space="preserve">This is for the following offline </w:t>
      </w:r>
      <w:proofErr w:type="gramStart"/>
      <w:r>
        <w:rPr>
          <w:rFonts w:eastAsia="SimSun" w:cs="Arial"/>
          <w:szCs w:val="20"/>
          <w:lang w:eastAsia="zh-CN"/>
        </w:rPr>
        <w:t>discussion</w:t>
      </w:r>
      <w:proofErr w:type="gramEnd"/>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 xml:space="preserve">Intended outcome: Report to CB session and </w:t>
      </w:r>
      <w:proofErr w:type="spellStart"/>
      <w:r>
        <w:t>endorseable</w:t>
      </w:r>
      <w:proofErr w:type="spellEnd"/>
      <w:r>
        <w:t xml:space="preserve"> CR </w:t>
      </w:r>
      <w:proofErr w:type="gramStart"/>
      <w:r>
        <w:t>baseline</w:t>
      </w:r>
      <w:proofErr w:type="gramEnd"/>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Heading1"/>
      </w:pPr>
      <w:r>
        <w:t>Discussion</w:t>
      </w:r>
    </w:p>
    <w:p w14:paraId="056C23AE" w14:textId="77777777" w:rsidR="002379B4" w:rsidRDefault="00D33968">
      <w:pPr>
        <w:pStyle w:val="Heading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67DB681C" w14:textId="77777777">
        <w:tc>
          <w:tcPr>
            <w:tcW w:w="1809"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tc>
          <w:tcPr>
            <w:tcW w:w="1809"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tc>
          <w:tcPr>
            <w:tcW w:w="1809"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85"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tc>
          <w:tcPr>
            <w:tcW w:w="1809"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85"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6043"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tc>
          <w:tcPr>
            <w:tcW w:w="1809"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tc>
          <w:tcPr>
            <w:tcW w:w="1809"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85"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tc>
          <w:tcPr>
            <w:tcW w:w="1809"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85"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6043"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tc>
          <w:tcPr>
            <w:tcW w:w="1809" w:type="dxa"/>
            <w:shd w:val="clear" w:color="auto" w:fill="auto"/>
          </w:tcPr>
          <w:p w14:paraId="003BAF7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85"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6043"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tc>
          <w:tcPr>
            <w:tcW w:w="1809"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85"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6043"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tc>
          <w:tcPr>
            <w:tcW w:w="1809"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85"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tc>
          <w:tcPr>
            <w:tcW w:w="1809"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85"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6043"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tc>
          <w:tcPr>
            <w:tcW w:w="1809"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85"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tc>
          <w:tcPr>
            <w:tcW w:w="1809"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85"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6043"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tc>
          <w:tcPr>
            <w:tcW w:w="1809" w:type="dxa"/>
            <w:shd w:val="clear" w:color="auto" w:fill="auto"/>
          </w:tcPr>
          <w:p w14:paraId="69A0A079" w14:textId="599BDC32" w:rsidR="00FA3105" w:rsidRDefault="00FA3105">
            <w:pPr>
              <w:pStyle w:val="Doc-text2"/>
              <w:ind w:left="0" w:firstLine="0"/>
              <w:rPr>
                <w:rFonts w:eastAsia="Malgun Gothic"/>
                <w:lang w:val="en-US" w:eastAsia="ko-KR"/>
              </w:rPr>
            </w:pPr>
            <w:r w:rsidRPr="00FA3105">
              <w:rPr>
                <w:rFonts w:eastAsia="Malgun Gothic" w:hint="eastAsia"/>
                <w:lang w:val="en-US" w:eastAsia="ko-KR"/>
              </w:rPr>
              <w:t>NEC</w:t>
            </w:r>
          </w:p>
        </w:tc>
        <w:tc>
          <w:tcPr>
            <w:tcW w:w="1985" w:type="dxa"/>
            <w:shd w:val="clear" w:color="auto" w:fill="auto"/>
          </w:tcPr>
          <w:p w14:paraId="52393B91" w14:textId="6C0525BA" w:rsidR="00FA3105" w:rsidRDefault="00FA3105">
            <w:pPr>
              <w:pStyle w:val="Doc-text2"/>
              <w:ind w:left="0" w:firstLine="0"/>
              <w:rPr>
                <w:rFonts w:eastAsia="Malgun Gothic"/>
                <w:lang w:val="en-US" w:eastAsia="ko-KR"/>
              </w:rPr>
            </w:pPr>
            <w:r w:rsidRPr="00FA3105">
              <w:rPr>
                <w:rFonts w:eastAsia="Malgun Gothic" w:hint="eastAsia"/>
                <w:lang w:val="en-US" w:eastAsia="ko-KR"/>
              </w:rPr>
              <w:t>Yes</w:t>
            </w:r>
          </w:p>
        </w:tc>
        <w:tc>
          <w:tcPr>
            <w:tcW w:w="6043" w:type="dxa"/>
            <w:shd w:val="clear" w:color="auto" w:fill="auto"/>
          </w:tcPr>
          <w:p w14:paraId="78AEFBF2" w14:textId="77777777" w:rsidR="00FA3105" w:rsidRDefault="00FA3105">
            <w:pPr>
              <w:pStyle w:val="Doc-text2"/>
              <w:ind w:left="0" w:firstLine="0"/>
              <w:rPr>
                <w:rFonts w:eastAsia="Malgun Gothic"/>
                <w:lang w:eastAsia="ko-KR"/>
              </w:rPr>
            </w:pPr>
          </w:p>
        </w:tc>
      </w:tr>
      <w:tr w:rsidR="00A612C8" w14:paraId="26BF9318" w14:textId="77777777">
        <w:tc>
          <w:tcPr>
            <w:tcW w:w="1809" w:type="dxa"/>
            <w:shd w:val="clear" w:color="auto" w:fill="auto"/>
          </w:tcPr>
          <w:p w14:paraId="65035F24" w14:textId="12CB5350" w:rsidR="00A612C8" w:rsidRPr="00FA3105" w:rsidRDefault="00A612C8">
            <w:pPr>
              <w:pStyle w:val="Doc-text2"/>
              <w:ind w:left="0" w:firstLine="0"/>
              <w:rPr>
                <w:rFonts w:eastAsia="Malgun Gothic" w:hint="eastAsia"/>
                <w:lang w:val="en-US" w:eastAsia="ko-KR"/>
              </w:rPr>
            </w:pPr>
            <w:r>
              <w:rPr>
                <w:rFonts w:eastAsia="Malgun Gothic"/>
                <w:lang w:val="en-US" w:eastAsia="ko-KR"/>
              </w:rPr>
              <w:t>Apple</w:t>
            </w:r>
          </w:p>
        </w:tc>
        <w:tc>
          <w:tcPr>
            <w:tcW w:w="1985" w:type="dxa"/>
            <w:shd w:val="clear" w:color="auto" w:fill="auto"/>
          </w:tcPr>
          <w:p w14:paraId="4D65E462" w14:textId="433DD40C" w:rsidR="00A612C8" w:rsidRPr="00FA3105" w:rsidRDefault="00A612C8">
            <w:pPr>
              <w:pStyle w:val="Doc-text2"/>
              <w:ind w:left="0" w:firstLine="0"/>
              <w:rPr>
                <w:rFonts w:eastAsia="Malgun Gothic" w:hint="eastAsia"/>
                <w:lang w:val="en-US" w:eastAsia="ko-KR"/>
              </w:rPr>
            </w:pPr>
            <w:r>
              <w:rPr>
                <w:rFonts w:eastAsia="Malgun Gothic"/>
                <w:lang w:val="en-US" w:eastAsia="ko-KR"/>
              </w:rPr>
              <w:t>Yes</w:t>
            </w:r>
          </w:p>
        </w:tc>
        <w:tc>
          <w:tcPr>
            <w:tcW w:w="6043" w:type="dxa"/>
            <w:shd w:val="clear" w:color="auto" w:fill="auto"/>
          </w:tcPr>
          <w:p w14:paraId="58F76A8D" w14:textId="77777777" w:rsidR="00A612C8" w:rsidRDefault="00A612C8">
            <w:pPr>
              <w:pStyle w:val="Doc-text2"/>
              <w:ind w:left="0" w:firstLine="0"/>
              <w:rPr>
                <w:rFonts w:eastAsia="Malgun Gothic"/>
                <w:lang w:eastAsia="ko-KR"/>
              </w:rPr>
            </w:pP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Heading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I2D and I2I path switching, and intra-I2I path switching is introduced [2]. In the case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path switching, RAN2 can follow the RAN3 decision about which </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will select path type and target relay UE. The procedure for path switching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can be added by the RAN3 side. However, the service continuity procedure for intra-i2i path switching can be added by the RAN2 side. We propose that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are added to the intra-</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without making a new sub-clause in the current sub-clause: switching from direct to indirect path (16.12.6.1 in TS 38.300) and switching from direct to indirect path (16.12.6.2 in TS 38.300). For the description of the intra/inter-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I2I procedures, a new sub-clause is needed to be </w:t>
      </w:r>
      <w:proofErr w:type="gramStart"/>
      <w:r>
        <w:rPr>
          <w:rFonts w:ascii="Times New Roman" w:eastAsia="Batang" w:hAnsi="Times New Roman"/>
          <w:lang w:eastAsia="ko-KR"/>
        </w:rPr>
        <w:t>made:</w:t>
      </w:r>
      <w:proofErr w:type="gramEnd"/>
      <w:r>
        <w:rPr>
          <w:rFonts w:ascii="Times New Roman" w:eastAsia="Batang" w:hAnsi="Times New Roman"/>
          <w:lang w:eastAsia="ko-KR"/>
        </w:rPr>
        <w:t xml:space="preserve"> switching from indirect to indirect path (16.12.6.x in TS 38.300).</w:t>
      </w:r>
    </w:p>
    <w:p w14:paraId="55E4E2F6" w14:textId="77777777" w:rsidR="002379B4" w:rsidRDefault="00D33968">
      <w:pPr>
        <w:rPr>
          <w:b/>
          <w:lang w:eastAsia="ko-KR"/>
        </w:rPr>
      </w:pPr>
      <w:r>
        <w:rPr>
          <w:b/>
          <w:lang w:eastAsia="ko-KR"/>
        </w:rPr>
        <w:t>Proposal 3: RAN3 can put the description of inter-</w:t>
      </w:r>
      <w:proofErr w:type="spellStart"/>
      <w:r>
        <w:rPr>
          <w:b/>
          <w:lang w:eastAsia="ko-KR"/>
        </w:rPr>
        <w:t>gNB</w:t>
      </w:r>
      <w:proofErr w:type="spellEnd"/>
      <w:r>
        <w:rPr>
          <w:b/>
          <w:lang w:eastAsia="ko-KR"/>
        </w:rPr>
        <w:t xml:space="preserve"> d2i, i2d, and i2i path-switching procedures in the 38.300 draft spec.</w:t>
      </w:r>
    </w:p>
    <w:p w14:paraId="48E3E729" w14:textId="77777777" w:rsidR="002379B4" w:rsidRDefault="00D33968">
      <w:pPr>
        <w:rPr>
          <w:b/>
          <w:lang w:eastAsia="ko-KR"/>
        </w:rPr>
      </w:pPr>
      <w:r>
        <w:rPr>
          <w:b/>
          <w:lang w:eastAsia="ko-KR"/>
        </w:rPr>
        <w:t xml:space="preserve">Proposal 4: For the description of rel-18 service continuity enhancement, a new sub-clause can be made for the description of inter/intra i2i path switching procedure: Switching from </w:t>
      </w:r>
      <w:proofErr w:type="gramStart"/>
      <w:r>
        <w:rPr>
          <w:b/>
          <w:lang w:eastAsia="ko-KR"/>
        </w:rPr>
        <w:t>indirect to indirect</w:t>
      </w:r>
      <w:proofErr w:type="gramEnd"/>
      <w:r>
        <w:rPr>
          <w:b/>
          <w:lang w:eastAsia="ko-KR"/>
        </w:rPr>
        <w:t xml:space="preserve"> path (16.12.6.x in TS 38.300).</w:t>
      </w:r>
    </w:p>
    <w:p w14:paraId="6A27EA08" w14:textId="77777777" w:rsidR="002379B4" w:rsidRDefault="00D33968">
      <w:pPr>
        <w:rPr>
          <w:b/>
          <w:lang w:eastAsia="ko-KR"/>
        </w:rPr>
      </w:pPr>
      <w:r>
        <w:rPr>
          <w:b/>
          <w:lang w:eastAsia="ko-KR"/>
        </w:rPr>
        <w:lastRenderedPageBreak/>
        <w:t>Proposal 5: For the description of rel-18 service continuity enhancement, the description of inter-</w:t>
      </w:r>
      <w:proofErr w:type="spellStart"/>
      <w:r>
        <w:rPr>
          <w:b/>
          <w:lang w:eastAsia="ko-KR"/>
        </w:rPr>
        <w:t>gNB</w:t>
      </w:r>
      <w:proofErr w:type="spellEnd"/>
      <w:r>
        <w:rPr>
          <w:b/>
          <w:lang w:eastAsia="ko-KR"/>
        </w:rPr>
        <w:t xml:space="preserve"> d2i, i2d and i2i path switching procedures can be added in the service continuity part for intra-</w:t>
      </w:r>
      <w:proofErr w:type="spellStart"/>
      <w:r>
        <w:rPr>
          <w:b/>
          <w:lang w:eastAsia="ko-KR"/>
        </w:rPr>
        <w:t>gNB</w:t>
      </w:r>
      <w:proofErr w:type="spellEnd"/>
      <w:r>
        <w:rPr>
          <w:b/>
          <w:lang w:eastAsia="ko-KR"/>
        </w:rPr>
        <w:t xml:space="preserve">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w:t>
      </w:r>
      <w:proofErr w:type="spellStart"/>
      <w:r>
        <w:rPr>
          <w:rFonts w:eastAsia="Malgun Gothic"/>
          <w:lang w:eastAsia="ko-KR"/>
        </w:rPr>
        <w:t>gNB</w:t>
      </w:r>
      <w:proofErr w:type="spellEnd"/>
      <w:r>
        <w:rPr>
          <w:rFonts w:eastAsia="Malgun Gothic"/>
          <w:lang w:eastAsia="ko-KR"/>
        </w:rPr>
        <w:t xml:space="preserve">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06961186" w14:textId="77777777">
        <w:tc>
          <w:tcPr>
            <w:tcW w:w="1809"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tc>
          <w:tcPr>
            <w:tcW w:w="1809"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tc>
          <w:tcPr>
            <w:tcW w:w="1809"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85"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tc>
          <w:tcPr>
            <w:tcW w:w="1809"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85"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6043"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tc>
          <w:tcPr>
            <w:tcW w:w="1809"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tc>
          <w:tcPr>
            <w:tcW w:w="1809"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85"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tc>
          <w:tcPr>
            <w:tcW w:w="1809"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85"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6043"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tc>
          <w:tcPr>
            <w:tcW w:w="1809" w:type="dxa"/>
            <w:shd w:val="clear" w:color="auto" w:fill="auto"/>
          </w:tcPr>
          <w:p w14:paraId="56CD40DC"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85"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6043"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tc>
          <w:tcPr>
            <w:tcW w:w="1809"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85"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tc>
          <w:tcPr>
            <w:tcW w:w="1809"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85"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6043"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tc>
          <w:tcPr>
            <w:tcW w:w="1809"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85"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tc>
          <w:tcPr>
            <w:tcW w:w="1809"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85"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6043"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tc>
          <w:tcPr>
            <w:tcW w:w="1809" w:type="dxa"/>
            <w:shd w:val="clear" w:color="auto" w:fill="auto"/>
          </w:tcPr>
          <w:p w14:paraId="40B7ACFF" w14:textId="749CB815"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85" w:type="dxa"/>
            <w:shd w:val="clear" w:color="auto" w:fill="auto"/>
          </w:tcPr>
          <w:p w14:paraId="617492F2" w14:textId="3B4EFB5C"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6043" w:type="dxa"/>
            <w:shd w:val="clear" w:color="auto" w:fill="auto"/>
          </w:tcPr>
          <w:p w14:paraId="50363ED5" w14:textId="77777777" w:rsidR="00FA3105" w:rsidRDefault="00FA3105" w:rsidP="00FA3105">
            <w:pPr>
              <w:pStyle w:val="Doc-text2"/>
              <w:ind w:left="0" w:firstLine="0"/>
              <w:rPr>
                <w:rFonts w:eastAsia="Malgun Gothic"/>
                <w:lang w:eastAsia="ko-KR"/>
              </w:rPr>
            </w:pPr>
          </w:p>
        </w:tc>
      </w:tr>
      <w:tr w:rsidR="00A612C8" w14:paraId="6AA7B66D" w14:textId="77777777">
        <w:tc>
          <w:tcPr>
            <w:tcW w:w="1809" w:type="dxa"/>
            <w:shd w:val="clear" w:color="auto" w:fill="auto"/>
          </w:tcPr>
          <w:p w14:paraId="0F54AF8F" w14:textId="3348AFD0" w:rsidR="00A612C8" w:rsidRPr="00FA3105" w:rsidRDefault="00A612C8" w:rsidP="00FA3105">
            <w:pPr>
              <w:pStyle w:val="Doc-text2"/>
              <w:ind w:left="0" w:firstLine="0"/>
              <w:rPr>
                <w:rFonts w:eastAsia="Malgun Gothic" w:hint="eastAsia"/>
                <w:lang w:val="en-US" w:eastAsia="ko-KR"/>
              </w:rPr>
            </w:pPr>
            <w:r>
              <w:rPr>
                <w:rFonts w:eastAsia="Malgun Gothic"/>
                <w:lang w:val="en-US" w:eastAsia="ko-KR"/>
              </w:rPr>
              <w:t>Apple</w:t>
            </w:r>
          </w:p>
        </w:tc>
        <w:tc>
          <w:tcPr>
            <w:tcW w:w="1985" w:type="dxa"/>
            <w:shd w:val="clear" w:color="auto" w:fill="auto"/>
          </w:tcPr>
          <w:p w14:paraId="3EDFB7DF" w14:textId="1599C0D4" w:rsidR="00A612C8" w:rsidRPr="00FA3105" w:rsidRDefault="00A612C8" w:rsidP="00FA3105">
            <w:pPr>
              <w:pStyle w:val="Doc-text2"/>
              <w:ind w:left="0" w:firstLine="0"/>
              <w:rPr>
                <w:rFonts w:eastAsia="Malgun Gothic" w:hint="eastAsia"/>
                <w:lang w:val="en-US" w:eastAsia="ko-KR"/>
              </w:rPr>
            </w:pPr>
            <w:r>
              <w:rPr>
                <w:rFonts w:eastAsia="Malgun Gothic"/>
                <w:lang w:val="en-US" w:eastAsia="ko-KR"/>
              </w:rPr>
              <w:t>Yes</w:t>
            </w:r>
          </w:p>
        </w:tc>
        <w:tc>
          <w:tcPr>
            <w:tcW w:w="6043" w:type="dxa"/>
            <w:shd w:val="clear" w:color="auto" w:fill="auto"/>
          </w:tcPr>
          <w:p w14:paraId="279DC553" w14:textId="77777777" w:rsidR="00A612C8" w:rsidRDefault="00A612C8" w:rsidP="00FA3105">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 xml:space="preserve">Switching from indirect to direct </w:t>
            </w:r>
            <w:proofErr w:type="gramStart"/>
            <w:r>
              <w:rPr>
                <w:rFonts w:eastAsia="Yu Mincho"/>
                <w:sz w:val="24"/>
                <w:lang w:eastAsia="ja-JP"/>
              </w:rPr>
              <w:t>path</w:t>
            </w:r>
            <w:bookmarkEnd w:id="13"/>
            <w:proofErr w:type="gramEnd"/>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 xml:space="preserve">Switching from direct to indirect </w:t>
            </w:r>
            <w:proofErr w:type="gramStart"/>
            <w:r>
              <w:rPr>
                <w:rFonts w:eastAsia="Times New Roman"/>
                <w:sz w:val="24"/>
              </w:rPr>
              <w:t>path</w:t>
            </w:r>
            <w:bookmarkEnd w:id="14"/>
            <w:proofErr w:type="gramEnd"/>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 xml:space="preserve">Switching from </w:t>
            </w:r>
            <w:proofErr w:type="gramStart"/>
            <w:r>
              <w:rPr>
                <w:rFonts w:eastAsia="Times New Roman"/>
                <w:color w:val="0070C0"/>
                <w:sz w:val="24"/>
              </w:rPr>
              <w:t>indirect to indirect</w:t>
            </w:r>
            <w:proofErr w:type="gramEnd"/>
            <w:r>
              <w:rPr>
                <w:rFonts w:eastAsia="Times New Roman"/>
                <w:color w:val="0070C0"/>
                <w:sz w:val="24"/>
              </w:rPr>
              <w:t xml:space="preserve">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2B0EA52E" w14:textId="77777777">
        <w:tc>
          <w:tcPr>
            <w:tcW w:w="1809"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tc>
          <w:tcPr>
            <w:tcW w:w="1809"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tc>
          <w:tcPr>
            <w:tcW w:w="1809"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85"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tc>
          <w:tcPr>
            <w:tcW w:w="1809"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85"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6043"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tc>
          <w:tcPr>
            <w:tcW w:w="1809"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tc>
          <w:tcPr>
            <w:tcW w:w="1809"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85"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tc>
          <w:tcPr>
            <w:tcW w:w="1809"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85"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6043"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tc>
          <w:tcPr>
            <w:tcW w:w="1809" w:type="dxa"/>
            <w:shd w:val="clear" w:color="auto" w:fill="auto"/>
          </w:tcPr>
          <w:p w14:paraId="31627FE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85"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6043"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tc>
          <w:tcPr>
            <w:tcW w:w="1809"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85"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6043"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tc>
          <w:tcPr>
            <w:tcW w:w="1809"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85"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tc>
          <w:tcPr>
            <w:tcW w:w="1809"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85"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6043"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tc>
          <w:tcPr>
            <w:tcW w:w="1809"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85"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tc>
          <w:tcPr>
            <w:tcW w:w="1809"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85"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6043"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tc>
          <w:tcPr>
            <w:tcW w:w="1809" w:type="dxa"/>
            <w:shd w:val="clear" w:color="auto" w:fill="auto"/>
          </w:tcPr>
          <w:p w14:paraId="3D85089A" w14:textId="5A5AEBEE"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85" w:type="dxa"/>
            <w:shd w:val="clear" w:color="auto" w:fill="auto"/>
          </w:tcPr>
          <w:p w14:paraId="33A7D51C" w14:textId="6D19E70B"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6043" w:type="dxa"/>
            <w:shd w:val="clear" w:color="auto" w:fill="auto"/>
          </w:tcPr>
          <w:p w14:paraId="48A772DB" w14:textId="77777777" w:rsidR="00FA3105" w:rsidRDefault="00FA3105" w:rsidP="00FA3105">
            <w:pPr>
              <w:pStyle w:val="Doc-text2"/>
              <w:ind w:left="0" w:firstLine="0"/>
              <w:rPr>
                <w:rFonts w:eastAsia="Malgun Gothic"/>
                <w:lang w:eastAsia="ko-KR"/>
              </w:rPr>
            </w:pPr>
          </w:p>
        </w:tc>
      </w:tr>
      <w:tr w:rsidR="00A612C8" w14:paraId="7E2DF21B" w14:textId="77777777">
        <w:tc>
          <w:tcPr>
            <w:tcW w:w="1809" w:type="dxa"/>
            <w:shd w:val="clear" w:color="auto" w:fill="auto"/>
          </w:tcPr>
          <w:p w14:paraId="778A3788" w14:textId="43DB2056" w:rsidR="00A612C8" w:rsidRPr="00FA3105" w:rsidRDefault="00A612C8" w:rsidP="00FA3105">
            <w:pPr>
              <w:pStyle w:val="Doc-text2"/>
              <w:ind w:left="0" w:firstLine="0"/>
              <w:rPr>
                <w:rFonts w:eastAsia="Malgun Gothic" w:hint="eastAsia"/>
                <w:lang w:val="en-US" w:eastAsia="ko-KR"/>
              </w:rPr>
            </w:pPr>
            <w:r>
              <w:rPr>
                <w:rFonts w:eastAsia="Malgun Gothic"/>
                <w:lang w:val="en-US" w:eastAsia="ko-KR"/>
              </w:rPr>
              <w:t>Apple</w:t>
            </w:r>
          </w:p>
        </w:tc>
        <w:tc>
          <w:tcPr>
            <w:tcW w:w="1985" w:type="dxa"/>
            <w:shd w:val="clear" w:color="auto" w:fill="auto"/>
          </w:tcPr>
          <w:p w14:paraId="0C81659A" w14:textId="3CC0CE70" w:rsidR="00A612C8" w:rsidRPr="00FA3105" w:rsidRDefault="00A612C8" w:rsidP="00FA3105">
            <w:pPr>
              <w:pStyle w:val="Doc-text2"/>
              <w:ind w:left="0" w:firstLine="0"/>
              <w:rPr>
                <w:rFonts w:eastAsia="Malgun Gothic" w:hint="eastAsia"/>
                <w:lang w:val="en-US" w:eastAsia="ko-KR"/>
              </w:rPr>
            </w:pPr>
            <w:r>
              <w:rPr>
                <w:rFonts w:eastAsia="Malgun Gothic"/>
                <w:lang w:val="en-US" w:eastAsia="ko-KR"/>
              </w:rPr>
              <w:t>Yes</w:t>
            </w:r>
          </w:p>
        </w:tc>
        <w:tc>
          <w:tcPr>
            <w:tcW w:w="6043" w:type="dxa"/>
            <w:shd w:val="clear" w:color="auto" w:fill="auto"/>
          </w:tcPr>
          <w:p w14:paraId="5B238EE6" w14:textId="77777777" w:rsidR="00A612C8" w:rsidRDefault="00A612C8" w:rsidP="00FA3105">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6: New clause different from a sidelink relay (16.12 in TS 38.300) can be made for the multi-path relay: </w:t>
      </w:r>
      <w:proofErr w:type="gramStart"/>
      <w:r>
        <w:rPr>
          <w:rFonts w:ascii="Times New Roman" w:eastAsia="Batang" w:hAnsi="Times New Roman"/>
          <w:b/>
          <w:lang w:eastAsia="ko-KR"/>
        </w:rPr>
        <w:t>Multi-path</w:t>
      </w:r>
      <w:proofErr w:type="gramEnd"/>
      <w:r>
        <w:rPr>
          <w:rFonts w:ascii="Times New Roman" w:eastAsia="Batang" w:hAnsi="Times New Roman"/>
          <w:b/>
          <w:lang w:eastAsia="ko-KR"/>
        </w:rPr>
        <w:t xml:space="preserve">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501337D7" w14:textId="77777777">
        <w:tc>
          <w:tcPr>
            <w:tcW w:w="1809"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tc>
          <w:tcPr>
            <w:tcW w:w="1809"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tc>
          <w:tcPr>
            <w:tcW w:w="1809"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85"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6043"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tc>
          <w:tcPr>
            <w:tcW w:w="1809"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85"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6043"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tc>
          <w:tcPr>
            <w:tcW w:w="1809"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6043"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tc>
          <w:tcPr>
            <w:tcW w:w="1809"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85"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6043"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tc>
          <w:tcPr>
            <w:tcW w:w="1809"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85"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6043"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xml:space="preserve">) </w:t>
            </w:r>
            <w:proofErr w:type="gramStart"/>
            <w:r>
              <w:rPr>
                <w:rFonts w:eastAsia="DengXian"/>
                <w:lang w:eastAsia="zh-CN"/>
              </w:rPr>
              <w:t>under</w:t>
            </w:r>
            <w:proofErr w:type="gramEnd"/>
            <w:r>
              <w:rPr>
                <w:rFonts w:eastAsia="DengXian"/>
                <w:lang w:eastAsia="zh-CN"/>
              </w:rPr>
              <w:t xml:space="preserve"> the current sidelink relay (clause 16.12 in TS 38.300), which seems clearer.</w:t>
            </w:r>
          </w:p>
        </w:tc>
      </w:tr>
      <w:tr w:rsidR="002379B4" w14:paraId="6F3331E9" w14:textId="77777777">
        <w:tc>
          <w:tcPr>
            <w:tcW w:w="1809" w:type="dxa"/>
            <w:shd w:val="clear" w:color="auto" w:fill="auto"/>
          </w:tcPr>
          <w:p w14:paraId="05AAB21E"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85"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6043"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lastRenderedPageBreak/>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tc>
          <w:tcPr>
            <w:tcW w:w="1809"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85"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6043"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tc>
          <w:tcPr>
            <w:tcW w:w="1809"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85"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6043"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tc>
          <w:tcPr>
            <w:tcW w:w="1809"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85"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6043"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w:t>
            </w:r>
            <w:proofErr w:type="gramStart"/>
            <w:r>
              <w:rPr>
                <w:rFonts w:ascii="Times New Roman" w:hAnsi="Times New Roman"/>
                <w:szCs w:val="24"/>
                <w:lang w:val="en-US"/>
              </w:rPr>
              <w:t>UE to UE</w:t>
            </w:r>
            <w:proofErr w:type="gramEnd"/>
            <w:r>
              <w:rPr>
                <w:rFonts w:ascii="Times New Roman" w:hAnsi="Times New Roman"/>
                <w:szCs w:val="24"/>
                <w:lang w:val="en-US"/>
              </w:rPr>
              <w:t xml:space="preserve"> link is non-3gpp interface, which is different from scenario 1. So, adding new clause is more clear. </w:t>
            </w:r>
          </w:p>
        </w:tc>
      </w:tr>
      <w:tr w:rsidR="006D33E2" w14:paraId="7870E924" w14:textId="77777777">
        <w:tc>
          <w:tcPr>
            <w:tcW w:w="1809"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85"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6043"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tc>
          <w:tcPr>
            <w:tcW w:w="1809"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85"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6043"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tc>
          <w:tcPr>
            <w:tcW w:w="1809" w:type="dxa"/>
            <w:shd w:val="clear" w:color="auto" w:fill="auto"/>
          </w:tcPr>
          <w:p w14:paraId="1DB7CE45" w14:textId="26BBE13A"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t>N</w:t>
            </w:r>
            <w:r w:rsidRPr="003C3FA4">
              <w:rPr>
                <w:rFonts w:eastAsia="DengXian"/>
                <w:lang w:eastAsia="zh-CN"/>
              </w:rPr>
              <w:t>EC</w:t>
            </w:r>
          </w:p>
        </w:tc>
        <w:tc>
          <w:tcPr>
            <w:tcW w:w="1985" w:type="dxa"/>
            <w:shd w:val="clear" w:color="auto" w:fill="auto"/>
          </w:tcPr>
          <w:p w14:paraId="2F70EAF5" w14:textId="10BC30C2" w:rsidR="00FA3105" w:rsidRDefault="00FA3105" w:rsidP="00FA3105">
            <w:pPr>
              <w:pStyle w:val="Doc-text2"/>
              <w:ind w:left="0" w:firstLine="0"/>
              <w:rPr>
                <w:rFonts w:ascii="Times New Roman" w:eastAsia="Malgun Gothic" w:hAnsi="Times New Roman"/>
                <w:lang w:val="en-US" w:eastAsia="ko-KR"/>
              </w:rPr>
            </w:pPr>
            <w:proofErr w:type="gramStart"/>
            <w:r w:rsidRPr="003C3FA4">
              <w:rPr>
                <w:rFonts w:eastAsia="DengXian" w:hint="eastAsia"/>
                <w:lang w:eastAsia="zh-CN"/>
              </w:rPr>
              <w:t>Yes</w:t>
            </w:r>
            <w:proofErr w:type="gramEnd"/>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6043"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 xml:space="preserve">s according to </w:t>
            </w:r>
            <w:proofErr w:type="spellStart"/>
            <w:r>
              <w:rPr>
                <w:rFonts w:eastAsia="DengXian"/>
              </w:rPr>
              <w:t>tow</w:t>
            </w:r>
            <w:proofErr w:type="spellEnd"/>
            <w:r>
              <w:rPr>
                <w:rFonts w:eastAsia="DengXian"/>
              </w:rPr>
              <w:t xml:space="preserve">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tc>
          <w:tcPr>
            <w:tcW w:w="1809" w:type="dxa"/>
            <w:shd w:val="clear" w:color="auto" w:fill="auto"/>
          </w:tcPr>
          <w:p w14:paraId="7AFFE279" w14:textId="6088C2DC" w:rsidR="00A612C8" w:rsidRPr="003C3FA4" w:rsidRDefault="00A612C8" w:rsidP="00FA3105">
            <w:pPr>
              <w:pStyle w:val="Doc-text2"/>
              <w:ind w:left="0" w:firstLine="0"/>
              <w:rPr>
                <w:rFonts w:eastAsia="DengXian" w:hint="eastAsia"/>
                <w:lang w:eastAsia="zh-CN"/>
              </w:rPr>
            </w:pPr>
            <w:r>
              <w:rPr>
                <w:rFonts w:eastAsia="DengXian"/>
                <w:lang w:eastAsia="zh-CN"/>
              </w:rPr>
              <w:t>Apple</w:t>
            </w:r>
          </w:p>
        </w:tc>
        <w:tc>
          <w:tcPr>
            <w:tcW w:w="1985" w:type="dxa"/>
            <w:shd w:val="clear" w:color="auto" w:fill="auto"/>
          </w:tcPr>
          <w:p w14:paraId="45A03A83" w14:textId="585A2C25" w:rsidR="00A612C8" w:rsidRPr="003C3FA4" w:rsidRDefault="00A612C8" w:rsidP="00FA3105">
            <w:pPr>
              <w:pStyle w:val="Doc-text2"/>
              <w:ind w:left="0" w:firstLine="0"/>
              <w:rPr>
                <w:rFonts w:eastAsia="DengXian" w:hint="eastAsia"/>
                <w:lang w:eastAsia="zh-CN"/>
              </w:rPr>
            </w:pPr>
            <w:r>
              <w:rPr>
                <w:rFonts w:eastAsia="DengXian"/>
                <w:lang w:eastAsia="zh-CN"/>
              </w:rPr>
              <w:t>Yes</w:t>
            </w:r>
          </w:p>
        </w:tc>
        <w:tc>
          <w:tcPr>
            <w:tcW w:w="6043"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Heading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Heading1"/>
      </w:pPr>
      <w:bookmarkStart w:id="15" w:name="_In-sequence_SDU_delivery"/>
      <w:bookmarkStart w:id="16" w:name="_Ref189809556"/>
      <w:bookmarkStart w:id="17" w:name="_Ref174151459"/>
      <w:bookmarkStart w:id="18" w:name="_Ref450865335"/>
      <w:bookmarkEnd w:id="15"/>
      <w:r>
        <w:rPr>
          <w:rFonts w:hint="eastAsia"/>
        </w:rPr>
        <w:lastRenderedPageBreak/>
        <w:t>Reference</w:t>
      </w:r>
      <w:bookmarkEnd w:id="16"/>
      <w:bookmarkEnd w:id="17"/>
      <w:bookmarkEnd w:id="18"/>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 xml:space="preserve">-221262, “Revised WID on NR sidelink relay enhancements,” LG Electronics, </w:t>
      </w:r>
      <w:proofErr w:type="gramStart"/>
      <w:r>
        <w:t>June,</w:t>
      </w:r>
      <w:proofErr w:type="gramEnd"/>
      <w:r>
        <w:t xml:space="preserv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187A" w14:textId="77777777" w:rsidR="00BB2D8B" w:rsidRDefault="00BB2D8B">
      <w:pPr>
        <w:spacing w:line="240" w:lineRule="auto"/>
      </w:pPr>
      <w:r>
        <w:separator/>
      </w:r>
    </w:p>
  </w:endnote>
  <w:endnote w:type="continuationSeparator" w:id="0">
    <w:p w14:paraId="56A6E86B" w14:textId="77777777" w:rsidR="00BB2D8B" w:rsidRDefault="00BB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D22" w14:textId="6ECBF099" w:rsidR="002379B4" w:rsidRDefault="00D33968">
    <w:pPr>
      <w:pStyle w:val="Footer"/>
      <w:tabs>
        <w:tab w:val="center" w:pos="4820"/>
        <w:tab w:val="right" w:pos="9639"/>
      </w:tabs>
      <w:jc w:val="left"/>
    </w:pPr>
    <w:r>
      <w:tab/>
    </w:r>
    <w:r>
      <w:fldChar w:fldCharType="begin"/>
    </w:r>
    <w:r>
      <w:rPr>
        <w:rStyle w:val="PageNumber"/>
      </w:rPr>
      <w:instrText xml:space="preserve"> PAGE </w:instrText>
    </w:r>
    <w:r>
      <w:fldChar w:fldCharType="separate"/>
    </w:r>
    <w:r w:rsidR="00FA3105">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FA3105">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871C" w14:textId="77777777" w:rsidR="00BB2D8B" w:rsidRDefault="00BB2D8B">
      <w:pPr>
        <w:spacing w:after="0" w:line="240" w:lineRule="auto"/>
      </w:pPr>
      <w:r>
        <w:separator/>
      </w:r>
    </w:p>
  </w:footnote>
  <w:footnote w:type="continuationSeparator" w:id="0">
    <w:p w14:paraId="642FAF75" w14:textId="77777777" w:rsidR="00BB2D8B" w:rsidRDefault="00BB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91751351">
    <w:abstractNumId w:val="0"/>
  </w:num>
  <w:num w:numId="2" w16cid:durableId="161438102">
    <w:abstractNumId w:val="2"/>
  </w:num>
  <w:num w:numId="3" w16cid:durableId="203686054">
    <w:abstractNumId w:val="9"/>
  </w:num>
  <w:num w:numId="4" w16cid:durableId="845902068">
    <w:abstractNumId w:val="5"/>
  </w:num>
  <w:num w:numId="5" w16cid:durableId="1639217310">
    <w:abstractNumId w:val="1"/>
  </w:num>
  <w:num w:numId="6" w16cid:durableId="1586451239">
    <w:abstractNumId w:val="4"/>
  </w:num>
  <w:num w:numId="7" w16cid:durableId="243615869">
    <w:abstractNumId w:val="8"/>
  </w:num>
  <w:num w:numId="8" w16cid:durableId="1971520709">
    <w:abstractNumId w:val="3"/>
  </w:num>
  <w:num w:numId="9" w16cid:durableId="978458127">
    <w:abstractNumId w:val="14"/>
  </w:num>
  <w:num w:numId="10" w16cid:durableId="619989716">
    <w:abstractNumId w:val="7"/>
  </w:num>
  <w:num w:numId="11" w16cid:durableId="275454494">
    <w:abstractNumId w:val="13"/>
  </w:num>
  <w:num w:numId="12" w16cid:durableId="1847478671">
    <w:abstractNumId w:val="12"/>
  </w:num>
  <w:num w:numId="13" w16cid:durableId="61102053">
    <w:abstractNumId w:val="6"/>
  </w:num>
  <w:num w:numId="14" w16cid:durableId="2073848340">
    <w:abstractNumId w:val="10"/>
  </w:num>
  <w:num w:numId="15" w16cid:durableId="963122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Normal"/>
    <w:next w:val="Caption"/>
    <w:qFormat/>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qFormat/>
    <w:rPr>
      <w:rFonts w:ascii="Arial" w:hAnsi="Arial"/>
      <w:lang w:val="en-GB"/>
    </w:rPr>
  </w:style>
  <w:style w:type="character" w:customStyle="1" w:styleId="CommentTextChar">
    <w:name w:val="Comment Text Char"/>
    <w:link w:val="CommentText"/>
    <w:uiPriority w:val="99"/>
    <w:semiHidden/>
    <w:qFormat/>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qFormat/>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44</TotalTime>
  <Pages>6</Pages>
  <Words>1341</Words>
  <Characters>7644</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8</cp:revision>
  <cp:lastPrinted>2008-02-01T21:09:00Z</cp:lastPrinted>
  <dcterms:created xsi:type="dcterms:W3CDTF">2023-04-19T01:27:00Z</dcterms:created>
  <dcterms:modified xsi:type="dcterms:W3CDTF">2023-04-19T21:55:00Z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