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w:t>
      </w:r>
      <w:proofErr w:type="gramStart"/>
      <w:r w:rsidR="00411705" w:rsidRPr="00411705">
        <w:rPr>
          <w:rFonts w:ascii="Arial" w:eastAsia="Times New Roman" w:hAnsi="Arial" w:cs="Arial"/>
          <w:b/>
          <w:bCs/>
          <w:color w:val="auto"/>
          <w:sz w:val="24"/>
          <w:lang w:eastAsia="en-US"/>
        </w:rPr>
        <w:t>121][</w:t>
      </w:r>
      <w:proofErr w:type="gramEnd"/>
      <w:r w:rsidR="00411705" w:rsidRPr="00411705">
        <w:rPr>
          <w:rFonts w:ascii="Arial" w:eastAsia="Times New Roman" w:hAnsi="Arial" w:cs="Arial"/>
          <w:b/>
          <w:bCs/>
          <w:color w:val="auto"/>
          <w:sz w:val="24"/>
          <w:lang w:eastAsia="en-US"/>
        </w:rPr>
        <w:t>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D95EBE"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ListParagraph"/>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proofErr w:type="gramStart"/>
            <w:r>
              <w:rPr>
                <w:rFonts w:eastAsiaTheme="minorEastAsia"/>
                <w:bCs/>
                <w:lang w:eastAsia="zh-CN"/>
              </w:rPr>
              <w:t>So</w:t>
            </w:r>
            <w:proofErr w:type="gramEnd"/>
            <w:r>
              <w:rPr>
                <w:rFonts w:eastAsiaTheme="minorEastAsia"/>
                <w:bCs/>
                <w:lang w:eastAsia="zh-CN"/>
              </w:rPr>
              <w:t xml:space="preserve">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hint="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ListParagraph"/>
              <w:numPr>
                <w:ilvl w:val="0"/>
                <w:numId w:val="14"/>
              </w:numPr>
              <w:spacing w:before="100" w:beforeAutospacing="1" w:after="0"/>
              <w:ind w:firstLineChars="0"/>
            </w:pPr>
            <w:r>
              <w:t>SON is not included.</w:t>
            </w:r>
          </w:p>
          <w:p w14:paraId="1B94465C" w14:textId="77777777" w:rsidR="006F3A13" w:rsidRDefault="006F3A13" w:rsidP="00D95EBE">
            <w:pPr>
              <w:pStyle w:val="ListParagraph"/>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ListParagraph"/>
              <w:numPr>
                <w:ilvl w:val="0"/>
                <w:numId w:val="14"/>
              </w:numPr>
              <w:spacing w:before="100" w:beforeAutospacing="1" w:after="0"/>
              <w:ind w:firstLineChars="0"/>
            </w:pPr>
            <w:r>
              <w:rPr>
                <w:rFonts w:eastAsia="等线"/>
              </w:rPr>
              <w:t xml:space="preserve">For the terminated entity, the current content is misleading that </w:t>
            </w:r>
            <w:proofErr w:type="spellStart"/>
            <w:r>
              <w:rPr>
                <w:rFonts w:eastAsia="等线"/>
              </w:rPr>
              <w:t>gNB</w:t>
            </w:r>
            <w:proofErr w:type="spellEnd"/>
            <w:r>
              <w:rPr>
                <w:rFonts w:eastAsia="等线"/>
              </w:rPr>
              <w:t xml:space="preserve">/LMF can provide data to </w:t>
            </w:r>
            <w:proofErr w:type="spellStart"/>
            <w:r>
              <w:rPr>
                <w:rFonts w:eastAsia="等线"/>
              </w:rPr>
              <w:t>gNB</w:t>
            </w:r>
            <w:proofErr w:type="spellEnd"/>
            <w:r>
              <w:rPr>
                <w:rFonts w:eastAsia="等线"/>
              </w:rPr>
              <w:t xml:space="preserve">. We </w:t>
            </w:r>
            <w:proofErr w:type="spellStart"/>
            <w:r>
              <w:rPr>
                <w:rFonts w:eastAsia="等线"/>
              </w:rPr>
              <w:t>supporse</w:t>
            </w:r>
            <w:proofErr w:type="spellEnd"/>
            <w:r>
              <w:rPr>
                <w:rFonts w:eastAsia="等线"/>
              </w:rPr>
              <w:t xml:space="preserve"> it shall be ‘TCE, LMF or </w:t>
            </w:r>
            <w:proofErr w:type="spellStart"/>
            <w:r>
              <w:rPr>
                <w:rFonts w:eastAsia="等线"/>
              </w:rPr>
              <w:t>gNB</w:t>
            </w:r>
            <w:proofErr w:type="spellEnd"/>
            <w:r>
              <w:rPr>
                <w:rFonts w:eastAsia="等线"/>
              </w:rPr>
              <w:t>’, rather than ‘between UE and xxx’</w:t>
            </w:r>
          </w:p>
          <w:p w14:paraId="778E3EF2" w14:textId="77777777" w:rsidR="006F3A13" w:rsidRDefault="006F3A13" w:rsidP="00D95EBE">
            <w:pPr>
              <w:pStyle w:val="ListParagraph"/>
              <w:numPr>
                <w:ilvl w:val="0"/>
                <w:numId w:val="14"/>
              </w:numPr>
              <w:spacing w:before="100" w:beforeAutospacing="1" w:after="0"/>
              <w:ind w:firstLineChars="0"/>
            </w:pPr>
            <w:r>
              <w:rPr>
                <w:rFonts w:eastAsia="等线" w:hint="eastAsia"/>
              </w:rPr>
              <w:t>F</w:t>
            </w:r>
            <w:r>
              <w:rPr>
                <w:rFonts w:eastAsia="等线"/>
              </w:rPr>
              <w:t xml:space="preserve">or the allowed payload, LPP is transferred as NAS-PDU container in RRC message. </w:t>
            </w:r>
            <w:proofErr w:type="gramStart"/>
            <w:r>
              <w:rPr>
                <w:rFonts w:eastAsia="等线"/>
              </w:rPr>
              <w:t>So</w:t>
            </w:r>
            <w:proofErr w:type="gramEnd"/>
            <w:r>
              <w:rPr>
                <w:rFonts w:eastAsia="等线"/>
              </w:rPr>
              <w:t xml:space="preserve"> we preferred to split it into ‘allowed payload size per message’ and ‘allowed total payload with segments’</w:t>
            </w:r>
          </w:p>
          <w:p w14:paraId="2711D0B6" w14:textId="77777777" w:rsidR="006F3A13" w:rsidRDefault="006F3A13" w:rsidP="00D95EBE">
            <w:pPr>
              <w:pStyle w:val="ListParagraph"/>
              <w:numPr>
                <w:ilvl w:val="0"/>
                <w:numId w:val="14"/>
              </w:numPr>
              <w:spacing w:before="100" w:beforeAutospacing="1" w:after="0"/>
              <w:ind w:firstLineChars="0"/>
            </w:pPr>
            <w:r>
              <w:rPr>
                <w:rFonts w:eastAsia="等线" w:hint="eastAsia"/>
              </w:rPr>
              <w:t>F</w:t>
            </w:r>
            <w:r>
              <w:rPr>
                <w:rFonts w:eastAsia="等线"/>
              </w:rPr>
              <w:t>or the latency, it can also split into ‘latency to generate the data’ and ‘latency to report the data after generated’</w:t>
            </w:r>
          </w:p>
          <w:p w14:paraId="7180A743" w14:textId="77777777" w:rsidR="006F3A13" w:rsidRDefault="006F3A13" w:rsidP="006F3A13">
            <w:r>
              <w:rPr>
                <w:rFonts w:eastAsia="等线" w:hint="eastAsia"/>
              </w:rPr>
              <w:t>F</w:t>
            </w:r>
            <w:r>
              <w:rPr>
                <w:rFonts w:eastAsia="等线"/>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DF6D86" w:rsidRPr="00CE0FE0" w14:paraId="27E3D7C1" w14:textId="77777777" w:rsidTr="00534C4F">
        <w:trPr>
          <w:trHeight w:val="127"/>
        </w:trPr>
        <w:tc>
          <w:tcPr>
            <w:tcW w:w="1271" w:type="dxa"/>
            <w:shd w:val="clear" w:color="auto" w:fill="auto"/>
          </w:tcPr>
          <w:p w14:paraId="0C33C15E" w14:textId="4B60A529" w:rsidR="00DF6D86" w:rsidRDefault="00DF6D86" w:rsidP="005020F3">
            <w:pPr>
              <w:spacing w:after="0"/>
              <w:rPr>
                <w:rFonts w:eastAsiaTheme="minorEastAsia"/>
                <w:bCs/>
                <w:lang w:eastAsia="zh-CN"/>
              </w:rPr>
            </w:pPr>
          </w:p>
        </w:tc>
        <w:tc>
          <w:tcPr>
            <w:tcW w:w="4394" w:type="dxa"/>
          </w:tcPr>
          <w:p w14:paraId="388DEC9F" w14:textId="77777777" w:rsidR="00DF6D86" w:rsidRDefault="00DF6D86" w:rsidP="00CD4A2D">
            <w:pPr>
              <w:spacing w:after="0"/>
            </w:pPr>
          </w:p>
        </w:tc>
        <w:tc>
          <w:tcPr>
            <w:tcW w:w="4191" w:type="dxa"/>
          </w:tcPr>
          <w:p w14:paraId="37BB4F74" w14:textId="77777777" w:rsidR="00DF6D86" w:rsidRPr="00CE0FE0" w:rsidRDefault="00DF6D86" w:rsidP="005020F3">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lastRenderedPageBreak/>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lastRenderedPageBreak/>
                    <w:t xml:space="preserve">Min: </w:t>
                  </w:r>
                  <w:r>
                    <w:rPr>
                      <w:lang w:eastAsia="zh-CN"/>
                    </w:rPr>
                    <w:t>120ms</w:t>
                  </w:r>
                </w:p>
                <w:p w14:paraId="0E41188A" w14:textId="77777777" w:rsidR="00E46B61" w:rsidRDefault="00E46B61" w:rsidP="00E46B61">
                  <w:pPr>
                    <w:rPr>
                      <w:lang w:val="en-GB"/>
                    </w:rPr>
                  </w:pPr>
                  <w:r>
                    <w:rPr>
                      <w:lang w:eastAsia="zh-CN"/>
                    </w:rPr>
                    <w:lastRenderedPageBreak/>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lastRenderedPageBreak/>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 xml:space="preserve">Min: 4 </w:t>
                  </w:r>
                  <w:proofErr w:type="gramStart"/>
                  <w:r>
                    <w:rPr>
                      <w:lang w:val="en-GB"/>
                    </w:rPr>
                    <w:t>slot</w:t>
                  </w:r>
                  <w:proofErr w:type="gramEnd"/>
                </w:p>
                <w:p w14:paraId="25DC79D0" w14:textId="77777777" w:rsidR="00E46B61" w:rsidRDefault="00E46B61" w:rsidP="00E46B61">
                  <w:pPr>
                    <w:rPr>
                      <w:lang w:val="en-GB"/>
                    </w:rPr>
                  </w:pPr>
                  <w:r>
                    <w:rPr>
                      <w:lang w:val="en-GB"/>
                    </w:rPr>
                    <w:t xml:space="preserve">Max: 320 </w:t>
                  </w:r>
                  <w:proofErr w:type="gramStart"/>
                  <w:r>
                    <w:rPr>
                      <w:lang w:val="en-GB"/>
                    </w:rPr>
                    <w:t>slot</w:t>
                  </w:r>
                  <w:proofErr w:type="gramEnd"/>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 xml:space="preserve">Min: 4 </w:t>
                  </w:r>
                  <w:proofErr w:type="gramStart"/>
                  <w:r>
                    <w:rPr>
                      <w:lang w:val="en-GB"/>
                    </w:rPr>
                    <w:t>slot</w:t>
                  </w:r>
                  <w:proofErr w:type="gramEnd"/>
                </w:p>
                <w:p w14:paraId="229B4C65" w14:textId="77777777" w:rsidR="00E46B61" w:rsidRDefault="00E46B61" w:rsidP="00E46B61">
                  <w:pPr>
                    <w:rPr>
                      <w:lang w:val="en-GB"/>
                    </w:rPr>
                  </w:pPr>
                  <w:r>
                    <w:rPr>
                      <w:lang w:val="en-GB"/>
                    </w:rPr>
                    <w:t xml:space="preserve">Max: 320 </w:t>
                  </w:r>
                  <w:proofErr w:type="gramStart"/>
                  <w:r>
                    <w:rPr>
                      <w:lang w:val="en-GB"/>
                    </w:rPr>
                    <w:t>slot</w:t>
                  </w:r>
                  <w:proofErr w:type="gramEnd"/>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ListParagraph"/>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w:t>
            </w:r>
            <w:r>
              <w:rPr>
                <w:rFonts w:eastAsiaTheme="minorEastAsia"/>
                <w:lang w:eastAsia="zh-CN"/>
              </w:rPr>
              <w:lastRenderedPageBreak/>
              <w:t>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 xml:space="preserve">Since the data collection framework will be anyway used in specific LCM in specific use cases, it may be good to also analyze them as well. However, we do not have strong views to add them for now, as we do think that we have listed quite a lot of frameworks here. </w:t>
            </w:r>
            <w:proofErr w:type="gramStart"/>
            <w:r w:rsidRPr="004410C9">
              <w:rPr>
                <w:rFonts w:eastAsiaTheme="minorEastAsia"/>
                <w:bCs/>
                <w:lang w:eastAsia="zh-CN"/>
              </w:rPr>
              <w:t>So</w:t>
            </w:r>
            <w:proofErr w:type="gramEnd"/>
            <w:r w:rsidRPr="004410C9">
              <w:rPr>
                <w:rFonts w:eastAsiaTheme="minorEastAsia"/>
                <w:bCs/>
                <w:lang w:eastAsia="zh-CN"/>
              </w:rPr>
              <w:t xml:space="preserve">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proofErr w:type="spellStart"/>
                  <w:r>
                    <w:t>Etc</w:t>
                  </w:r>
                  <w:proofErr w:type="spellEnd"/>
                  <w:r>
                    <w: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ListParagraph"/>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BodyText"/>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BodyText"/>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lastRenderedPageBreak/>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bookmarkStart w:id="1" w:name="_GoBack"/>
            <w:bookmarkEnd w:id="1"/>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hint="eastAsia"/>
                <w:bCs/>
                <w:lang w:eastAsia="zh-CN"/>
              </w:rPr>
            </w:pPr>
            <w:r>
              <w:rPr>
                <w:rFonts w:eastAsiaTheme="minorEastAsia"/>
                <w:bCs/>
                <w:lang w:eastAsia="zh-CN"/>
              </w:rPr>
              <w:t>vivo</w:t>
            </w:r>
          </w:p>
        </w:tc>
        <w:tc>
          <w:tcPr>
            <w:tcW w:w="5644" w:type="dxa"/>
          </w:tcPr>
          <w:p w14:paraId="66C57FF8" w14:textId="436A3E24" w:rsidR="006F3A13" w:rsidRDefault="006F3A13" w:rsidP="006F3A13">
            <w:pPr>
              <w:rPr>
                <w:rFonts w:hint="eastAsia"/>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61A0A" w14:textId="77777777" w:rsidR="00D95EBE" w:rsidRDefault="00D95EBE">
      <w:r>
        <w:separator/>
      </w:r>
    </w:p>
    <w:p w14:paraId="56E1E3BF" w14:textId="77777777" w:rsidR="00D95EBE" w:rsidRDefault="00D95EBE"/>
  </w:endnote>
  <w:endnote w:type="continuationSeparator" w:id="0">
    <w:p w14:paraId="7DBD8852" w14:textId="77777777" w:rsidR="00D95EBE" w:rsidRDefault="00D95EBE">
      <w:r>
        <w:continuationSeparator/>
      </w:r>
    </w:p>
    <w:p w14:paraId="6B23A88C" w14:textId="77777777" w:rsidR="00D95EBE" w:rsidRDefault="00D9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EFA4" w14:textId="77777777" w:rsidR="00D95EBE" w:rsidRDefault="00D95EBE">
      <w:r>
        <w:separator/>
      </w:r>
    </w:p>
    <w:p w14:paraId="26125074" w14:textId="77777777" w:rsidR="00D95EBE" w:rsidRDefault="00D95EBE"/>
  </w:footnote>
  <w:footnote w:type="continuationSeparator" w:id="0">
    <w:p w14:paraId="0969A47E" w14:textId="77777777" w:rsidR="00D95EBE" w:rsidRDefault="00D95EBE">
      <w:r>
        <w:continuationSeparator/>
      </w:r>
    </w:p>
    <w:p w14:paraId="34D82115" w14:textId="77777777" w:rsidR="00D95EBE" w:rsidRDefault="00D95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2"/>
  </w:num>
  <w:num w:numId="4">
    <w:abstractNumId w:val="0"/>
  </w:num>
  <w:num w:numId="5">
    <w:abstractNumId w:val="6"/>
  </w:num>
  <w:num w:numId="6">
    <w:abstractNumId w:val="7"/>
  </w:num>
  <w:num w:numId="7">
    <w:abstractNumId w:val="9"/>
  </w:num>
  <w:num w:numId="8">
    <w:abstractNumId w:val="3"/>
  </w:num>
  <w:num w:numId="9">
    <w:abstractNumId w:val="10"/>
  </w:num>
  <w:num w:numId="10">
    <w:abstractNumId w:val="4"/>
  </w:num>
  <w:num w:numId="11">
    <w:abstractNumId w:val="5"/>
  </w:num>
  <w:num w:numId="12">
    <w:abstractNumId w:val="2"/>
  </w:num>
  <w:num w:numId="13">
    <w:abstractNumId w:val="11"/>
  </w:num>
  <w:num w:numId="14">
    <w:abstractNumId w:val="1"/>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99"/>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styleId="UnresolvedMention">
    <w:name w:val="Unresolved Mention"/>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F2D6-63FA-4903-A7AD-E046599B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14801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vivo(Boubacar)</cp:lastModifiedBy>
  <cp:revision>4</cp:revision>
  <cp:lastPrinted>2017-03-22T08:13:00Z</cp:lastPrinted>
  <dcterms:created xsi:type="dcterms:W3CDTF">2023-03-02T12:30:00Z</dcterms:created>
  <dcterms:modified xsi:type="dcterms:W3CDTF">2023-03-02T13:25:00Z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