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773AE" w14:textId="1567B4EB" w:rsidR="00377D1A" w:rsidRDefault="00377D1A" w:rsidP="00377D1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sidR="00FD62DD">
        <w:rPr>
          <w:rFonts w:cs="Arial"/>
          <w:b/>
          <w:noProof/>
          <w:sz w:val="24"/>
          <w:lang w:eastAsia="zh-CN"/>
        </w:rPr>
        <w:t>20</w:t>
      </w:r>
      <w:r w:rsidRPr="000246EA">
        <w:rPr>
          <w:rFonts w:cs="Arial"/>
          <w:b/>
          <w:noProof/>
          <w:sz w:val="24"/>
          <w:lang w:eastAsia="zh-CN"/>
        </w:rPr>
        <w:tab/>
      </w:r>
      <w:r w:rsidR="00073A77" w:rsidRPr="00073A77">
        <w:rPr>
          <w:rFonts w:cs="Arial"/>
          <w:b/>
          <w:noProof/>
          <w:sz w:val="24"/>
          <w:lang w:eastAsia="zh-CN"/>
        </w:rPr>
        <w:t>R2-2213277</w:t>
      </w:r>
    </w:p>
    <w:p w14:paraId="286D32D6" w14:textId="0C57F698" w:rsidR="000246EA" w:rsidRPr="000246EA" w:rsidRDefault="00FD62DD" w:rsidP="003B7C7A">
      <w:pPr>
        <w:pStyle w:val="CRCoverPage"/>
        <w:tabs>
          <w:tab w:val="right" w:pos="9639"/>
        </w:tabs>
        <w:rPr>
          <w:rFonts w:cs="Arial"/>
          <w:b/>
          <w:noProof/>
          <w:sz w:val="24"/>
          <w:lang w:eastAsia="zh-CN"/>
        </w:rPr>
      </w:pPr>
      <w:r>
        <w:rPr>
          <w:b/>
          <w:sz w:val="24"/>
        </w:rPr>
        <w:t>Toulouse</w:t>
      </w:r>
      <w:r w:rsidR="00B371F0">
        <w:rPr>
          <w:b/>
          <w:sz w:val="24"/>
        </w:rPr>
        <w:t>,</w:t>
      </w:r>
      <w:r>
        <w:rPr>
          <w:b/>
          <w:sz w:val="24"/>
        </w:rPr>
        <w:t xml:space="preserve"> France</w:t>
      </w:r>
      <w:r w:rsidR="00B371F0">
        <w:rPr>
          <w:b/>
          <w:sz w:val="24"/>
        </w:rPr>
        <w:t xml:space="preserve"> 1</w:t>
      </w:r>
      <w:r>
        <w:rPr>
          <w:b/>
          <w:sz w:val="24"/>
        </w:rPr>
        <w:t>4</w:t>
      </w:r>
      <w:r w:rsidR="00B371F0">
        <w:rPr>
          <w:b/>
          <w:sz w:val="24"/>
        </w:rPr>
        <w:t>-1</w:t>
      </w:r>
      <w:r>
        <w:rPr>
          <w:b/>
          <w:sz w:val="24"/>
        </w:rPr>
        <w:t>8</w:t>
      </w:r>
      <w:r w:rsidR="00B371F0">
        <w:rPr>
          <w:b/>
          <w:sz w:val="24"/>
        </w:rPr>
        <w:t xml:space="preserve"> </w:t>
      </w:r>
      <w:r>
        <w:rPr>
          <w:b/>
          <w:sz w:val="24"/>
        </w:rPr>
        <w:t>Novem</w:t>
      </w:r>
      <w:r w:rsidR="00B371F0">
        <w:rPr>
          <w:b/>
          <w:sz w:val="24"/>
        </w:rPr>
        <w:t>ber</w:t>
      </w:r>
      <w:r w:rsidR="00B371F0">
        <w:fldChar w:fldCharType="begin"/>
      </w:r>
      <w:r w:rsidR="00B371F0">
        <w:instrText xml:space="preserve"> DOCPROPERTY  Country  \* MERGEFORMAT </w:instrText>
      </w:r>
      <w:r w:rsidR="00B371F0">
        <w:fldChar w:fldCharType="end"/>
      </w:r>
      <w:r w:rsidR="00B371F0">
        <w:rPr>
          <w:b/>
          <w:sz w:val="24"/>
        </w:rPr>
        <w:t xml:space="preserve"> 2022</w:t>
      </w:r>
      <w:r w:rsidR="000246EA">
        <w:rPr>
          <w:b/>
          <w:sz w:val="24"/>
          <w:szCs w:val="24"/>
          <w:lang w:eastAsia="zh-CN"/>
        </w:rPr>
        <w:tab/>
      </w:r>
    </w:p>
    <w:p w14:paraId="62DE9EFF" w14:textId="77777777" w:rsidR="0037119B" w:rsidRPr="000246EA" w:rsidRDefault="0037119B" w:rsidP="003B7C7A">
      <w:pPr>
        <w:pStyle w:val="ab"/>
        <w:ind w:rightChars="-212" w:right="-424"/>
        <w:jc w:val="both"/>
        <w:rPr>
          <w:rFonts w:ascii="Times New Roman" w:eastAsia="宋体" w:hAnsi="Times New Roman"/>
          <w:b w:val="0"/>
          <w:i w:val="0"/>
          <w:noProof w:val="0"/>
          <w:sz w:val="24"/>
          <w:lang w:eastAsia="zh-CN"/>
        </w:rPr>
      </w:pPr>
    </w:p>
    <w:p w14:paraId="71B21301" w14:textId="46B2D7D5"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FD62DD">
        <w:rPr>
          <w:rFonts w:ascii="Arial" w:hAnsi="Arial" w:cs="Arial"/>
          <w:b/>
          <w:sz w:val="22"/>
        </w:rPr>
        <w:t xml:space="preserve">Huawei, </w:t>
      </w:r>
      <w:proofErr w:type="spellStart"/>
      <w:r w:rsidR="00FD62DD">
        <w:rPr>
          <w:rFonts w:ascii="Arial" w:hAnsi="Arial" w:cs="Arial"/>
          <w:b/>
          <w:sz w:val="22"/>
        </w:rPr>
        <w:t>HiSilicon</w:t>
      </w:r>
      <w:proofErr w:type="spellEnd"/>
    </w:p>
    <w:p w14:paraId="578FF164" w14:textId="3CC1666C" w:rsidR="00101C82" w:rsidRPr="00AC6F32" w:rsidRDefault="00101C82" w:rsidP="00033200">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033200">
        <w:rPr>
          <w:rFonts w:ascii="Arial" w:hAnsi="Arial" w:cs="Arial"/>
          <w:b/>
          <w:sz w:val="22"/>
        </w:rPr>
        <w:t xml:space="preserve">         </w:t>
      </w:r>
      <w:r w:rsidR="00073A77">
        <w:rPr>
          <w:rFonts w:ascii="Arial" w:hAnsi="Arial" w:cs="Arial"/>
          <w:b/>
          <w:sz w:val="22"/>
        </w:rPr>
        <w:t>Summary of offline 017 on intra-band ENDC combination</w:t>
      </w:r>
      <w:bookmarkStart w:id="1" w:name="_GoBack"/>
      <w:bookmarkEnd w:id="1"/>
    </w:p>
    <w:p w14:paraId="482C760D" w14:textId="2C982273"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877C07">
        <w:rPr>
          <w:rFonts w:ascii="Arial" w:hAnsi="Arial" w:cs="Arial"/>
          <w:b/>
          <w:sz w:val="22"/>
        </w:rPr>
        <w:t xml:space="preserve">Discussion and </w:t>
      </w:r>
      <w:r w:rsidR="00AD5D33" w:rsidRPr="00476B15">
        <w:rPr>
          <w:rFonts w:ascii="Arial" w:eastAsia="MS Mincho" w:hAnsi="Arial" w:cs="Arial"/>
          <w:b/>
          <w:sz w:val="22"/>
          <w:szCs w:val="22"/>
        </w:rPr>
        <w:t>Decision</w:t>
      </w:r>
    </w:p>
    <w:p w14:paraId="6CB999B3" w14:textId="0A294D86" w:rsidR="00101C82" w:rsidRPr="00033200" w:rsidRDefault="00101C82" w:rsidP="00CE5F55">
      <w:pPr>
        <w:rPr>
          <w:rFonts w:ascii="Arial" w:hAnsi="Arial" w:cs="Arial"/>
          <w:b/>
          <w:sz w:val="22"/>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C72AF">
        <w:rPr>
          <w:rFonts w:ascii="Arial" w:hAnsi="Arial" w:cs="Arial"/>
          <w:b/>
          <w:sz w:val="22"/>
        </w:rPr>
        <w:t>6.0.2.1</w:t>
      </w:r>
    </w:p>
    <w:p w14:paraId="5D86AEA4" w14:textId="4DD41461" w:rsidR="00030120" w:rsidRPr="001B1434" w:rsidRDefault="00712AA2" w:rsidP="00B70975">
      <w:pPr>
        <w:pStyle w:val="1"/>
        <w:numPr>
          <w:ilvl w:val="0"/>
          <w:numId w:val="26"/>
        </w:numPr>
        <w:rPr>
          <w:rFonts w:eastAsia="宋体" w:cs="Arial"/>
          <w:lang w:eastAsia="zh-CN"/>
        </w:rPr>
      </w:pPr>
      <w:r w:rsidRPr="00677958">
        <w:rPr>
          <w:rFonts w:eastAsia="宋体" w:cs="Arial"/>
          <w:lang w:eastAsia="zh-CN"/>
        </w:rPr>
        <w:t>Introduction</w:t>
      </w:r>
      <w:bookmarkEnd w:id="0"/>
    </w:p>
    <w:p w14:paraId="0C7B3863" w14:textId="03340BA5" w:rsidR="00877C07" w:rsidRPr="00877C07" w:rsidRDefault="00B371F0" w:rsidP="00877C07">
      <w:pPr>
        <w:spacing w:before="120" w:after="120"/>
        <w:rPr>
          <w:rFonts w:eastAsiaTheme="minorEastAsia"/>
          <w:bCs/>
          <w:sz w:val="22"/>
          <w:szCs w:val="22"/>
          <w:lang w:eastAsia="ja-JP"/>
        </w:rPr>
      </w:pPr>
      <w:r>
        <w:rPr>
          <w:rFonts w:eastAsiaTheme="minorEastAsia"/>
          <w:bCs/>
          <w:sz w:val="22"/>
          <w:szCs w:val="22"/>
          <w:lang w:eastAsia="ja-JP"/>
        </w:rPr>
        <w:t xml:space="preserve">This document provides a summary for the following </w:t>
      </w:r>
      <w:r w:rsidR="00877C07">
        <w:rPr>
          <w:rFonts w:eastAsiaTheme="minorEastAsia"/>
          <w:bCs/>
          <w:sz w:val="22"/>
          <w:szCs w:val="22"/>
          <w:lang w:eastAsia="ja-JP"/>
        </w:rPr>
        <w:t>offline</w:t>
      </w:r>
      <w:r>
        <w:rPr>
          <w:rFonts w:eastAsiaTheme="minorEastAsia"/>
          <w:bCs/>
          <w:sz w:val="22"/>
          <w:szCs w:val="22"/>
          <w:lang w:eastAsia="ja-JP"/>
        </w:rPr>
        <w:t xml:space="preserve"> discussion.</w:t>
      </w:r>
    </w:p>
    <w:p w14:paraId="096EBAF7" w14:textId="77777777" w:rsidR="00073A77" w:rsidRDefault="00674ACB" w:rsidP="00073A77">
      <w:pPr>
        <w:pStyle w:val="Doc-title"/>
      </w:pPr>
      <w:hyperlink r:id="rId8" w:tooltip="C:UsersjohanOneDriveDokument3GPPtsg_ranWG2_RL2RAN2DocsR2-2212583.zip" w:history="1">
        <w:r w:rsidR="00073A77" w:rsidRPr="007B352B">
          <w:rPr>
            <w:rStyle w:val="ac"/>
          </w:rPr>
          <w:t>R2-2212583</w:t>
        </w:r>
      </w:hyperlink>
      <w:r w:rsidR="00073A77" w:rsidRPr="00AE511F">
        <w:tab/>
        <w:t>Discussion on intra-band EN-DC combination</w:t>
      </w:r>
      <w:r w:rsidR="00073A77" w:rsidRPr="00AE511F">
        <w:tab/>
        <w:t>Huawei, HiSilicon</w:t>
      </w:r>
      <w:r w:rsidR="00073A77" w:rsidRPr="00AE511F">
        <w:tab/>
        <w:t>discussion</w:t>
      </w:r>
      <w:r w:rsidR="00073A77" w:rsidRPr="00AE511F">
        <w:tab/>
        <w:t>Rel-17</w:t>
      </w:r>
      <w:r w:rsidR="00073A77" w:rsidRPr="00AE511F">
        <w:tab/>
        <w:t>TEI17</w:t>
      </w:r>
    </w:p>
    <w:p w14:paraId="780750EC" w14:textId="77777777" w:rsidR="00073A77" w:rsidRPr="009D3811" w:rsidRDefault="00073A77" w:rsidP="00073A77">
      <w:pPr>
        <w:pStyle w:val="Doc-text2"/>
        <w:rPr>
          <w:lang w:eastAsia="zh-CN"/>
        </w:rPr>
      </w:pPr>
      <w:r w:rsidRPr="009D3811">
        <w:rPr>
          <w:rFonts w:hint="eastAsia"/>
          <w:lang w:eastAsia="zh-CN"/>
        </w:rPr>
        <w:t>O</w:t>
      </w:r>
      <w:r w:rsidRPr="009D3811">
        <w:rPr>
          <w:lang w:eastAsia="zh-CN"/>
        </w:rPr>
        <w:t xml:space="preserve">bservation 1: </w:t>
      </w:r>
      <w:r>
        <w:rPr>
          <w:lang w:eastAsia="zh-CN"/>
        </w:rPr>
        <w:t>The cases agreed to be valid by RAN4 cannot be supported by current RAN2 signalling.</w:t>
      </w:r>
    </w:p>
    <w:p w14:paraId="4BB85A9B" w14:textId="77777777" w:rsidR="00073A77" w:rsidRPr="004666DB" w:rsidRDefault="00073A77" w:rsidP="00073A77">
      <w:pPr>
        <w:pStyle w:val="Doc-text2"/>
        <w:rPr>
          <w:lang w:eastAsia="zh-CN"/>
        </w:rPr>
      </w:pPr>
      <w:r w:rsidRPr="0069343D">
        <w:rPr>
          <w:lang w:eastAsia="zh-CN"/>
        </w:rPr>
        <w:t xml:space="preserve">Observation </w:t>
      </w:r>
      <w:r>
        <w:rPr>
          <w:lang w:eastAsia="zh-CN"/>
        </w:rPr>
        <w:t>2</w:t>
      </w:r>
      <w:r w:rsidRPr="0069343D">
        <w:rPr>
          <w:lang w:eastAsia="zh-CN"/>
        </w:rPr>
        <w:t xml:space="preserve">: </w:t>
      </w:r>
      <w:r>
        <w:rPr>
          <w:lang w:eastAsia="zh-CN"/>
        </w:rPr>
        <w:t>The valid cases</w:t>
      </w:r>
      <w:r w:rsidRPr="0069343D">
        <w:rPr>
          <w:lang w:eastAsia="zh-CN"/>
        </w:rPr>
        <w:t xml:space="preserve"> don’t break the </w:t>
      </w:r>
      <w:proofErr w:type="spellStart"/>
      <w:r w:rsidRPr="0069343D">
        <w:rPr>
          <w:lang w:eastAsia="zh-CN"/>
        </w:rPr>
        <w:t>fallback</w:t>
      </w:r>
      <w:proofErr w:type="spellEnd"/>
      <w:r w:rsidRPr="0069343D">
        <w:rPr>
          <w:lang w:eastAsia="zh-CN"/>
        </w:rPr>
        <w:t xml:space="preserve"> rule in RAN2 since DL and UL are separately configured.</w:t>
      </w:r>
    </w:p>
    <w:p w14:paraId="7A78C34C" w14:textId="77777777" w:rsidR="00073A77" w:rsidRDefault="00073A77" w:rsidP="00073A77">
      <w:pPr>
        <w:pStyle w:val="Doc-text2"/>
        <w:rPr>
          <w:lang w:val="en-US" w:eastAsia="zh-CN"/>
        </w:rPr>
      </w:pPr>
      <w:r w:rsidRPr="001B4FB4">
        <w:rPr>
          <w:lang w:val="en-US" w:eastAsia="zh-CN"/>
        </w:rPr>
        <w:t xml:space="preserve">Proposal </w:t>
      </w:r>
      <w:r>
        <w:rPr>
          <w:lang w:val="en-US" w:eastAsia="zh-CN"/>
        </w:rPr>
        <w:t>1</w:t>
      </w:r>
      <w:r w:rsidRPr="001B4FB4">
        <w:rPr>
          <w:lang w:val="en-US" w:eastAsia="zh-CN"/>
        </w:rPr>
        <w:t xml:space="preserve">: </w:t>
      </w:r>
      <w:r>
        <w:rPr>
          <w:lang w:val="en-US" w:eastAsia="zh-CN"/>
        </w:rPr>
        <w:t>RAN2 i</w:t>
      </w:r>
      <w:r w:rsidRPr="001B4FB4">
        <w:rPr>
          <w:lang w:val="en-US" w:eastAsia="zh-CN"/>
        </w:rPr>
        <w:t>ntroduce</w:t>
      </w:r>
      <w:r>
        <w:rPr>
          <w:lang w:val="en-US" w:eastAsia="zh-CN"/>
        </w:rPr>
        <w:t>s</w:t>
      </w:r>
      <w:r w:rsidRPr="001B4FB4">
        <w:rPr>
          <w:lang w:val="en-US" w:eastAsia="zh-CN"/>
        </w:rPr>
        <w:t xml:space="preserve"> new capabilities to indicate </w:t>
      </w:r>
      <w:r>
        <w:rPr>
          <w:lang w:val="en-US" w:eastAsia="zh-CN"/>
        </w:rPr>
        <w:t>the contiguous</w:t>
      </w:r>
      <w:r w:rsidRPr="001B4FB4">
        <w:rPr>
          <w:lang w:val="en-US" w:eastAsia="zh-CN"/>
        </w:rPr>
        <w:t xml:space="preserve"> capability for intra-band EN-DC DL and UL separately. </w:t>
      </w:r>
    </w:p>
    <w:p w14:paraId="05E93665" w14:textId="77777777" w:rsidR="00073A77" w:rsidRPr="00D43EF9" w:rsidRDefault="00073A77" w:rsidP="00073A77">
      <w:pPr>
        <w:pStyle w:val="Doc-text2"/>
        <w:rPr>
          <w:lang w:val="en-US" w:eastAsia="zh-CN"/>
        </w:rPr>
      </w:pPr>
      <w:r>
        <w:rPr>
          <w:lang w:val="en-US" w:eastAsia="zh-CN"/>
        </w:rPr>
        <w:t xml:space="preserve">Proposal 2: </w:t>
      </w:r>
      <w:r w:rsidRPr="001B4FB4">
        <w:rPr>
          <w:lang w:val="en-US" w:eastAsia="zh-CN"/>
        </w:rPr>
        <w:t xml:space="preserve">The new capabilities are only </w:t>
      </w:r>
      <w:r>
        <w:rPr>
          <w:lang w:val="en-US" w:eastAsia="zh-CN"/>
        </w:rPr>
        <w:t>included</w:t>
      </w:r>
      <w:r w:rsidRPr="001B4FB4">
        <w:rPr>
          <w:lang w:val="en-US" w:eastAsia="zh-CN"/>
        </w:rPr>
        <w:t xml:space="preserve"> when there is a difference between DL and UL, and the</w:t>
      </w:r>
      <w:r>
        <w:rPr>
          <w:lang w:val="en-US" w:eastAsia="zh-CN"/>
        </w:rPr>
        <w:t xml:space="preserve"> upgraded</w:t>
      </w:r>
      <w:r w:rsidRPr="001B4FB4">
        <w:rPr>
          <w:lang w:val="en-US" w:eastAsia="zh-CN"/>
        </w:rPr>
        <w:t xml:space="preserve"> networ</w:t>
      </w:r>
      <w:r>
        <w:rPr>
          <w:lang w:val="en-US" w:eastAsia="zh-CN"/>
        </w:rPr>
        <w:t>k shall ignore the legacy field</w:t>
      </w:r>
      <w:r w:rsidRPr="001B4FB4">
        <w:rPr>
          <w:lang w:val="en-US" w:eastAsia="zh-CN"/>
        </w:rPr>
        <w:t xml:space="preserve"> if the new capability fields are </w:t>
      </w:r>
      <w:r>
        <w:rPr>
          <w:lang w:val="en-US" w:eastAsia="zh-CN"/>
        </w:rPr>
        <w:t>included</w:t>
      </w:r>
      <w:r w:rsidRPr="001B4FB4">
        <w:rPr>
          <w:lang w:val="en-US" w:eastAsia="zh-CN"/>
        </w:rPr>
        <w:t>.</w:t>
      </w:r>
    </w:p>
    <w:p w14:paraId="3ECA56DD" w14:textId="77777777" w:rsidR="00073A77" w:rsidRDefault="00073A77" w:rsidP="00073A77">
      <w:pPr>
        <w:pStyle w:val="Doc-text2"/>
        <w:ind w:left="0" w:firstLine="0"/>
      </w:pPr>
    </w:p>
    <w:p w14:paraId="73732590" w14:textId="77777777" w:rsidR="00073A77" w:rsidRDefault="00073A77" w:rsidP="00073A77">
      <w:pPr>
        <w:pStyle w:val="ComeBack"/>
      </w:pPr>
      <w:r>
        <w:t>Offline 017, work on acceptable way forward (for potentially tech endorsed CRs).</w:t>
      </w:r>
    </w:p>
    <w:p w14:paraId="01BD5001" w14:textId="2A12E730" w:rsidR="00614D3B" w:rsidRPr="00073A77" w:rsidRDefault="00614D3B" w:rsidP="00614D3B">
      <w:pPr>
        <w:spacing w:after="0"/>
        <w:ind w:left="1622"/>
        <w:rPr>
          <w:sz w:val="22"/>
          <w:szCs w:val="22"/>
        </w:rPr>
      </w:pPr>
    </w:p>
    <w:p w14:paraId="2CE4D91F" w14:textId="77777777" w:rsidR="00B371F0" w:rsidRDefault="00B371F0" w:rsidP="00304AB1">
      <w:pPr>
        <w:spacing w:before="120" w:after="120"/>
        <w:rPr>
          <w:rFonts w:eastAsiaTheme="minorEastAsia"/>
          <w:bCs/>
          <w:sz w:val="22"/>
          <w:szCs w:val="22"/>
          <w:lang w:eastAsia="ja-JP"/>
        </w:rPr>
      </w:pPr>
    </w:p>
    <w:p w14:paraId="7871D6CF" w14:textId="301CC948" w:rsidR="00364332" w:rsidRPr="00B70975" w:rsidRDefault="00014ADF" w:rsidP="00014ADF">
      <w:pPr>
        <w:pStyle w:val="1"/>
        <w:numPr>
          <w:ilvl w:val="0"/>
          <w:numId w:val="26"/>
        </w:numPr>
        <w:rPr>
          <w:sz w:val="28"/>
        </w:rPr>
      </w:pPr>
      <w:r>
        <w:rPr>
          <w:rFonts w:eastAsia="等线" w:hint="eastAsia"/>
          <w:sz w:val="28"/>
          <w:lang w:eastAsia="zh-CN"/>
        </w:rPr>
        <w:t>D</w:t>
      </w:r>
      <w:r>
        <w:rPr>
          <w:rFonts w:eastAsia="等线"/>
          <w:sz w:val="28"/>
          <w:lang w:eastAsia="zh-CN"/>
        </w:rPr>
        <w:t>iscussion</w:t>
      </w:r>
    </w:p>
    <w:p w14:paraId="5F6C198E" w14:textId="53B0A3A8" w:rsidR="00033200" w:rsidRDefault="009B2C80" w:rsidP="00BE33C0">
      <w:pPr>
        <w:rPr>
          <w:rFonts w:eastAsiaTheme="minorEastAsia"/>
          <w:sz w:val="22"/>
          <w:szCs w:val="22"/>
          <w:lang w:eastAsia="ja-JP"/>
        </w:rPr>
      </w:pPr>
      <w:r>
        <w:rPr>
          <w:rFonts w:eastAsiaTheme="minorEastAsia"/>
          <w:sz w:val="22"/>
          <w:szCs w:val="22"/>
          <w:lang w:eastAsia="ja-JP"/>
        </w:rPr>
        <w:t>T</w:t>
      </w:r>
      <w:r w:rsidR="00033200">
        <w:rPr>
          <w:rFonts w:eastAsiaTheme="minorEastAsia"/>
          <w:sz w:val="22"/>
          <w:szCs w:val="22"/>
          <w:lang w:eastAsia="ja-JP"/>
        </w:rPr>
        <w:t xml:space="preserve">he </w:t>
      </w:r>
      <w:r w:rsidR="00073A77">
        <w:rPr>
          <w:rFonts w:eastAsiaTheme="minorEastAsia"/>
          <w:sz w:val="22"/>
          <w:szCs w:val="22"/>
          <w:lang w:eastAsia="ja-JP"/>
        </w:rPr>
        <w:t>signalling solution</w:t>
      </w:r>
      <w:r w:rsidR="00033200">
        <w:rPr>
          <w:rFonts w:eastAsiaTheme="minorEastAsia"/>
          <w:sz w:val="22"/>
          <w:szCs w:val="22"/>
          <w:lang w:eastAsia="ja-JP"/>
        </w:rPr>
        <w:t xml:space="preserve"> was further </w:t>
      </w:r>
      <w:r>
        <w:rPr>
          <w:rFonts w:eastAsiaTheme="minorEastAsia"/>
          <w:sz w:val="22"/>
          <w:szCs w:val="22"/>
          <w:lang w:eastAsia="ja-JP"/>
        </w:rPr>
        <w:t>described</w:t>
      </w:r>
      <w:r w:rsidR="00033200">
        <w:rPr>
          <w:rFonts w:eastAsiaTheme="minorEastAsia"/>
          <w:sz w:val="22"/>
          <w:szCs w:val="22"/>
          <w:lang w:eastAsia="ja-JP"/>
        </w:rPr>
        <w:t xml:space="preserve"> as below:</w:t>
      </w:r>
    </w:p>
    <w:p w14:paraId="2FD77B16" w14:textId="147539D6" w:rsidR="009B2C80" w:rsidRPr="009B2C80" w:rsidRDefault="009B2C80" w:rsidP="00BE33C0">
      <w:pPr>
        <w:rPr>
          <w:rFonts w:eastAsiaTheme="minorEastAsia"/>
          <w:b/>
          <w:sz w:val="22"/>
          <w:szCs w:val="22"/>
          <w:lang w:eastAsia="ja-JP"/>
        </w:rPr>
      </w:pPr>
      <w:r w:rsidRPr="009B2C80">
        <w:rPr>
          <w:rFonts w:eastAsiaTheme="minorEastAsia"/>
          <w:b/>
          <w:sz w:val="22"/>
          <w:szCs w:val="22"/>
          <w:lang w:eastAsia="ja-JP"/>
        </w:rPr>
        <w:t>Solution description:</w:t>
      </w:r>
    </w:p>
    <w:p w14:paraId="0DF08D4D" w14:textId="12F6475B" w:rsidR="00BE33C0" w:rsidRPr="00BE33C0" w:rsidRDefault="00A57772" w:rsidP="00BE33C0">
      <w:pPr>
        <w:rPr>
          <w:rFonts w:eastAsiaTheme="minorEastAsia"/>
          <w:sz w:val="22"/>
          <w:szCs w:val="22"/>
          <w:lang w:eastAsia="ja-JP"/>
        </w:rPr>
      </w:pPr>
      <w:r>
        <w:rPr>
          <w:rFonts w:eastAsiaTheme="minorEastAsia"/>
          <w:sz w:val="22"/>
          <w:szCs w:val="22"/>
          <w:lang w:eastAsia="ja-JP"/>
        </w:rPr>
        <w:t xml:space="preserve">1. </w:t>
      </w:r>
      <w:r w:rsidR="00BE33C0" w:rsidRPr="00BE33C0">
        <w:rPr>
          <w:rFonts w:eastAsiaTheme="minorEastAsia"/>
          <w:sz w:val="22"/>
          <w:szCs w:val="22"/>
          <w:lang w:eastAsia="ja-JP"/>
        </w:rPr>
        <w:t>New capabilities to indicate intra-band ENDC contiguous/non-contiguous support for DL and UL separately, with a per BC level;</w:t>
      </w:r>
    </w:p>
    <w:p w14:paraId="60697B51" w14:textId="2E9E9ABA" w:rsidR="00BE33C0" w:rsidRPr="00BE33C0" w:rsidRDefault="00A57772" w:rsidP="00BE33C0">
      <w:pPr>
        <w:rPr>
          <w:rFonts w:eastAsiaTheme="minorEastAsia"/>
          <w:sz w:val="22"/>
          <w:szCs w:val="22"/>
          <w:lang w:eastAsia="ja-JP"/>
        </w:rPr>
      </w:pPr>
      <w:r>
        <w:rPr>
          <w:rFonts w:eastAsiaTheme="minorEastAsia"/>
          <w:sz w:val="22"/>
          <w:szCs w:val="22"/>
          <w:lang w:eastAsia="ja-JP"/>
        </w:rPr>
        <w:t xml:space="preserve">2. </w:t>
      </w:r>
      <w:r w:rsidR="00BE33C0" w:rsidRPr="00BE33C0">
        <w:rPr>
          <w:rFonts w:eastAsiaTheme="minorEastAsia"/>
          <w:sz w:val="22"/>
          <w:szCs w:val="22"/>
          <w:lang w:eastAsia="ja-JP"/>
        </w:rPr>
        <w:t>The new capabilities introduced would only be present if the support of contiguous/non-contiguous is different between the DL and the UL;</w:t>
      </w:r>
    </w:p>
    <w:p w14:paraId="49ACC30B" w14:textId="5E123A05" w:rsidR="00BE33C0" w:rsidRDefault="00A57772" w:rsidP="00BE33C0">
      <w:pPr>
        <w:rPr>
          <w:rFonts w:eastAsiaTheme="minorEastAsia"/>
          <w:sz w:val="22"/>
          <w:szCs w:val="22"/>
          <w:lang w:eastAsia="ja-JP"/>
        </w:rPr>
      </w:pPr>
      <w:r>
        <w:rPr>
          <w:rFonts w:eastAsiaTheme="minorEastAsia"/>
          <w:sz w:val="22"/>
          <w:szCs w:val="22"/>
          <w:lang w:eastAsia="ja-JP"/>
        </w:rPr>
        <w:t xml:space="preserve">3. </w:t>
      </w:r>
      <w:r w:rsidR="00BE33C0" w:rsidRPr="00BE33C0">
        <w:rPr>
          <w:rFonts w:eastAsiaTheme="minorEastAsia"/>
          <w:sz w:val="22"/>
          <w:szCs w:val="22"/>
          <w:lang w:eastAsia="ja-JP"/>
        </w:rPr>
        <w:t>The absence of the new capabilities means that by default contiguous is supported.</w:t>
      </w:r>
    </w:p>
    <w:p w14:paraId="0ECA8E5D" w14:textId="2B6E52FF" w:rsidR="009B2C80" w:rsidRPr="00BE33C0" w:rsidRDefault="009B2C80" w:rsidP="00BE33C0">
      <w:pPr>
        <w:rPr>
          <w:rFonts w:eastAsiaTheme="minorEastAsia"/>
          <w:sz w:val="22"/>
          <w:szCs w:val="22"/>
          <w:lang w:eastAsia="ja-JP"/>
        </w:rPr>
      </w:pPr>
      <w:r>
        <w:rPr>
          <w:rFonts w:eastAsiaTheme="minorEastAsia"/>
          <w:sz w:val="22"/>
          <w:szCs w:val="22"/>
          <w:lang w:eastAsia="ja-JP"/>
        </w:rPr>
        <w:t xml:space="preserve">The corresponding CRs to show how the above solution work are provided in </w:t>
      </w:r>
      <w:r w:rsidRPr="009B2C80">
        <w:rPr>
          <w:rFonts w:eastAsiaTheme="minorEastAsia"/>
          <w:sz w:val="22"/>
          <w:szCs w:val="22"/>
          <w:lang w:eastAsia="ja-JP"/>
        </w:rPr>
        <w:t>R2-2213262</w:t>
      </w:r>
      <w:r>
        <w:rPr>
          <w:rFonts w:eastAsiaTheme="minorEastAsia"/>
          <w:sz w:val="22"/>
          <w:szCs w:val="22"/>
          <w:lang w:eastAsia="ja-JP"/>
        </w:rPr>
        <w:t xml:space="preserve"> and R2-2213263.</w:t>
      </w:r>
    </w:p>
    <w:p w14:paraId="4472F3F6" w14:textId="07446395" w:rsidR="009B2C80" w:rsidRPr="009B2C80" w:rsidRDefault="009B2C80" w:rsidP="00BE33C0">
      <w:pPr>
        <w:rPr>
          <w:rFonts w:eastAsia="等线"/>
          <w:b/>
          <w:sz w:val="22"/>
          <w:szCs w:val="22"/>
          <w:lang w:val="en-US" w:eastAsia="zh-CN"/>
        </w:rPr>
      </w:pPr>
      <w:r w:rsidRPr="009B2C80">
        <w:rPr>
          <w:rFonts w:eastAsia="等线"/>
          <w:b/>
          <w:sz w:val="22"/>
          <w:szCs w:val="22"/>
          <w:lang w:val="en-US" w:eastAsia="zh-CN"/>
        </w:rPr>
        <w:t>Aspects discussed:</w:t>
      </w:r>
    </w:p>
    <w:p w14:paraId="680A49E8" w14:textId="184D4B65" w:rsidR="00A57772" w:rsidRDefault="00A57772" w:rsidP="00BE33C0">
      <w:pPr>
        <w:rPr>
          <w:rFonts w:eastAsia="等线"/>
          <w:sz w:val="22"/>
          <w:szCs w:val="22"/>
          <w:lang w:val="en-US" w:eastAsia="zh-CN"/>
        </w:rPr>
      </w:pPr>
      <w:r>
        <w:rPr>
          <w:rFonts w:eastAsia="等线"/>
          <w:sz w:val="22"/>
          <w:szCs w:val="22"/>
          <w:lang w:val="en-US" w:eastAsia="zh-CN"/>
        </w:rPr>
        <w:t>During offline discussion, Nokia supports the TP. OPPO still suggested to wait for RAN4</w:t>
      </w:r>
      <w:r w:rsidR="001F561A">
        <w:rPr>
          <w:rFonts w:eastAsia="等线"/>
          <w:sz w:val="22"/>
          <w:szCs w:val="22"/>
          <w:lang w:val="en-US" w:eastAsia="zh-CN"/>
        </w:rPr>
        <w:t xml:space="preserve"> and asked from which release to potentially have the signaling solution</w:t>
      </w:r>
      <w:r>
        <w:rPr>
          <w:rFonts w:eastAsia="等线"/>
          <w:sz w:val="22"/>
          <w:szCs w:val="22"/>
          <w:lang w:val="en-US" w:eastAsia="zh-CN"/>
        </w:rPr>
        <w:t>. Qualcomm asked how the solution works for inter-operability.</w:t>
      </w:r>
    </w:p>
    <w:p w14:paraId="69D73D89" w14:textId="5E6EECA0" w:rsidR="001F561A" w:rsidRDefault="001F561A" w:rsidP="00BE33C0">
      <w:pPr>
        <w:rPr>
          <w:rFonts w:eastAsia="等线"/>
          <w:sz w:val="22"/>
          <w:szCs w:val="22"/>
          <w:lang w:val="en-US" w:eastAsia="zh-CN"/>
        </w:rPr>
      </w:pPr>
      <w:r>
        <w:rPr>
          <w:rFonts w:eastAsia="等线"/>
          <w:sz w:val="22"/>
          <w:szCs w:val="22"/>
          <w:lang w:val="en-US" w:eastAsia="zh-CN"/>
        </w:rPr>
        <w:t>It is clarified dur</w:t>
      </w:r>
      <w:r w:rsidR="009B2C80">
        <w:rPr>
          <w:rFonts w:eastAsia="等线"/>
          <w:sz w:val="22"/>
          <w:szCs w:val="22"/>
          <w:lang w:val="en-US" w:eastAsia="zh-CN"/>
        </w:rPr>
        <w:t>ing the offline discussion that the intention is not to approve any RAN2 signaling solution, but to check whether from RAN2 perspective the signaling solution can address case 3 and case 4 raised by RAN4. For which release to have the signaling solution is up to RAN4.</w:t>
      </w:r>
    </w:p>
    <w:p w14:paraId="6D67F23D" w14:textId="2BEA26B7" w:rsidR="009B2C80" w:rsidRDefault="009B2C80" w:rsidP="00BE33C0">
      <w:pPr>
        <w:rPr>
          <w:rFonts w:eastAsia="等线"/>
          <w:sz w:val="22"/>
          <w:szCs w:val="22"/>
          <w:lang w:val="en-US" w:eastAsia="zh-CN"/>
        </w:rPr>
      </w:pPr>
      <w:r>
        <w:rPr>
          <w:rFonts w:eastAsia="等线"/>
          <w:sz w:val="22"/>
          <w:szCs w:val="22"/>
          <w:lang w:val="en-US" w:eastAsia="zh-CN"/>
        </w:rPr>
        <w:t xml:space="preserve">Regarding the </w:t>
      </w:r>
      <w:r w:rsidRPr="009B2C80">
        <w:rPr>
          <w:rFonts w:eastAsia="等线"/>
          <w:b/>
          <w:sz w:val="22"/>
          <w:szCs w:val="22"/>
          <w:lang w:val="en-US" w:eastAsia="zh-CN"/>
        </w:rPr>
        <w:t>inter-operability</w:t>
      </w:r>
      <w:r>
        <w:rPr>
          <w:rFonts w:eastAsia="等线"/>
          <w:sz w:val="22"/>
          <w:szCs w:val="22"/>
          <w:lang w:val="en-US" w:eastAsia="zh-CN"/>
        </w:rPr>
        <w:t>, the below analysis is seen as a common understanding:</w:t>
      </w:r>
    </w:p>
    <w:p w14:paraId="70388C80" w14:textId="77777777" w:rsidR="009B2C80" w:rsidRDefault="009B2C80" w:rsidP="00BE33C0">
      <w:pPr>
        <w:rPr>
          <w:rFonts w:eastAsia="等线"/>
          <w:sz w:val="22"/>
          <w:szCs w:val="22"/>
          <w:lang w:val="en-US" w:eastAsia="zh-CN"/>
        </w:rPr>
      </w:pPr>
    </w:p>
    <w:p w14:paraId="3209BCE7" w14:textId="48E1C440" w:rsidR="009B2C80" w:rsidRPr="009B2C80" w:rsidRDefault="009B2C80" w:rsidP="009B2C80">
      <w:pPr>
        <w:rPr>
          <w:rFonts w:eastAsia="等线"/>
          <w:sz w:val="22"/>
          <w:szCs w:val="22"/>
          <w:lang w:val="en-US" w:eastAsia="zh-CN"/>
        </w:rPr>
      </w:pPr>
      <w:r>
        <w:rPr>
          <w:rFonts w:eastAsia="等线"/>
          <w:sz w:val="22"/>
          <w:szCs w:val="22"/>
          <w:lang w:val="en-US" w:eastAsia="zh-CN"/>
        </w:rPr>
        <w:t xml:space="preserve">1. </w:t>
      </w:r>
      <w:proofErr w:type="gramStart"/>
      <w:r>
        <w:rPr>
          <w:rFonts w:eastAsia="等线"/>
          <w:sz w:val="22"/>
          <w:szCs w:val="22"/>
          <w:lang w:val="en-US" w:eastAsia="zh-CN"/>
        </w:rPr>
        <w:t>For</w:t>
      </w:r>
      <w:proofErr w:type="gramEnd"/>
      <w:r>
        <w:rPr>
          <w:rFonts w:eastAsia="等线"/>
          <w:sz w:val="22"/>
          <w:szCs w:val="22"/>
          <w:lang w:val="en-US" w:eastAsia="zh-CN"/>
        </w:rPr>
        <w:t xml:space="preserve"> the upgraded </w:t>
      </w:r>
      <w:proofErr w:type="spellStart"/>
      <w:r>
        <w:rPr>
          <w:rFonts w:eastAsia="等线"/>
          <w:sz w:val="22"/>
          <w:szCs w:val="22"/>
          <w:lang w:val="en-US" w:eastAsia="zh-CN"/>
        </w:rPr>
        <w:t>gNB</w:t>
      </w:r>
      <w:proofErr w:type="spellEnd"/>
      <w:r>
        <w:rPr>
          <w:rFonts w:eastAsia="等线"/>
          <w:sz w:val="22"/>
          <w:szCs w:val="22"/>
          <w:lang w:val="en-US" w:eastAsia="zh-CN"/>
        </w:rPr>
        <w:t>: t</w:t>
      </w:r>
      <w:r w:rsidRPr="009B2C80">
        <w:rPr>
          <w:rFonts w:eastAsia="等线"/>
          <w:sz w:val="22"/>
          <w:szCs w:val="22"/>
          <w:lang w:val="en-US" w:eastAsia="zh-CN"/>
        </w:rPr>
        <w:t xml:space="preserve">here is no inter-operability issue to interpret </w:t>
      </w:r>
      <w:r>
        <w:rPr>
          <w:rFonts w:eastAsia="等线"/>
          <w:sz w:val="22"/>
          <w:szCs w:val="22"/>
          <w:lang w:val="en-US" w:eastAsia="zh-CN"/>
        </w:rPr>
        <w:t xml:space="preserve">the capabilities of </w:t>
      </w:r>
      <w:r w:rsidRPr="009B2C80">
        <w:rPr>
          <w:rFonts w:eastAsia="等线"/>
          <w:sz w:val="22"/>
          <w:szCs w:val="22"/>
          <w:lang w:val="en-US" w:eastAsia="zh-CN"/>
        </w:rPr>
        <w:t xml:space="preserve">the new UEs and legacy UEs. </w:t>
      </w:r>
    </w:p>
    <w:p w14:paraId="717159F0" w14:textId="3E3D2CD7" w:rsidR="009B2C80" w:rsidRDefault="009B2C80" w:rsidP="009B2C80">
      <w:pPr>
        <w:rPr>
          <w:rFonts w:eastAsia="等线"/>
          <w:sz w:val="22"/>
          <w:szCs w:val="22"/>
          <w:lang w:val="en-US" w:eastAsia="zh-CN"/>
        </w:rPr>
      </w:pPr>
      <w:r>
        <w:rPr>
          <w:rFonts w:eastAsia="等线"/>
          <w:sz w:val="22"/>
          <w:szCs w:val="22"/>
          <w:lang w:val="en-US" w:eastAsia="zh-CN"/>
        </w:rPr>
        <w:t xml:space="preserve">2. </w:t>
      </w:r>
      <w:proofErr w:type="gramStart"/>
      <w:r w:rsidRPr="009B2C80">
        <w:rPr>
          <w:rFonts w:eastAsia="等线"/>
          <w:sz w:val="22"/>
          <w:szCs w:val="22"/>
          <w:lang w:val="en-US" w:eastAsia="zh-CN"/>
        </w:rPr>
        <w:t>For</w:t>
      </w:r>
      <w:proofErr w:type="gramEnd"/>
      <w:r>
        <w:rPr>
          <w:rFonts w:eastAsia="等线"/>
          <w:sz w:val="22"/>
          <w:szCs w:val="22"/>
          <w:lang w:val="en-US" w:eastAsia="zh-CN"/>
        </w:rPr>
        <w:t xml:space="preserve"> the</w:t>
      </w:r>
      <w:r w:rsidRPr="009B2C80">
        <w:rPr>
          <w:rFonts w:eastAsia="等线"/>
          <w:sz w:val="22"/>
          <w:szCs w:val="22"/>
          <w:lang w:val="en-US" w:eastAsia="zh-CN"/>
        </w:rPr>
        <w:t xml:space="preserve"> </w:t>
      </w:r>
      <w:r>
        <w:rPr>
          <w:rFonts w:eastAsia="等线"/>
          <w:sz w:val="22"/>
          <w:szCs w:val="22"/>
          <w:lang w:val="en-US" w:eastAsia="zh-CN"/>
        </w:rPr>
        <w:t xml:space="preserve">legacy </w:t>
      </w:r>
      <w:proofErr w:type="spellStart"/>
      <w:r>
        <w:rPr>
          <w:rFonts w:eastAsia="等线"/>
          <w:sz w:val="22"/>
          <w:szCs w:val="22"/>
          <w:lang w:val="en-US" w:eastAsia="zh-CN"/>
        </w:rPr>
        <w:t>gNB</w:t>
      </w:r>
      <w:proofErr w:type="spellEnd"/>
      <w:r>
        <w:rPr>
          <w:rFonts w:eastAsia="等线"/>
          <w:sz w:val="22"/>
          <w:szCs w:val="22"/>
          <w:lang w:val="en-US" w:eastAsia="zh-CN"/>
        </w:rPr>
        <w:t>:</w:t>
      </w:r>
    </w:p>
    <w:p w14:paraId="74D72D44" w14:textId="475A09BC" w:rsidR="009B2C80" w:rsidRDefault="009B2C80" w:rsidP="009B2C80">
      <w:pPr>
        <w:rPr>
          <w:rFonts w:eastAsia="等线"/>
          <w:sz w:val="22"/>
          <w:szCs w:val="22"/>
          <w:lang w:val="en-US" w:eastAsia="zh-CN"/>
        </w:rPr>
      </w:pPr>
      <w:r>
        <w:rPr>
          <w:rFonts w:eastAsia="等线"/>
          <w:sz w:val="22"/>
          <w:szCs w:val="22"/>
          <w:lang w:val="en-US" w:eastAsia="zh-CN"/>
        </w:rPr>
        <w:t>- T</w:t>
      </w:r>
      <w:r w:rsidRPr="009B2C80">
        <w:rPr>
          <w:rFonts w:eastAsia="等线"/>
          <w:sz w:val="22"/>
          <w:szCs w:val="22"/>
          <w:lang w:val="en-US" w:eastAsia="zh-CN"/>
        </w:rPr>
        <w:t xml:space="preserve">here is no inter-operability issue when the new UE has different capabilities between UL and DL for </w:t>
      </w:r>
      <w:r w:rsidR="00AB1139">
        <w:rPr>
          <w:rFonts w:eastAsia="等线"/>
          <w:sz w:val="22"/>
          <w:szCs w:val="22"/>
          <w:lang w:val="en-US" w:eastAsia="zh-CN"/>
        </w:rPr>
        <w:t>“</w:t>
      </w:r>
      <w:r>
        <w:rPr>
          <w:rFonts w:eastAsia="等线"/>
          <w:sz w:val="22"/>
          <w:szCs w:val="22"/>
          <w:lang w:val="en-US" w:eastAsia="zh-CN"/>
        </w:rPr>
        <w:t>contiguous-only</w:t>
      </w:r>
      <w:r w:rsidR="00AB1139">
        <w:rPr>
          <w:rFonts w:eastAsia="等线"/>
          <w:sz w:val="22"/>
          <w:szCs w:val="22"/>
          <w:lang w:val="en-US" w:eastAsia="zh-CN"/>
        </w:rPr>
        <w:t>”</w:t>
      </w:r>
      <w:r>
        <w:rPr>
          <w:rFonts w:eastAsia="等线"/>
          <w:sz w:val="22"/>
          <w:szCs w:val="22"/>
          <w:lang w:val="en-US" w:eastAsia="zh-CN"/>
        </w:rPr>
        <w:t xml:space="preserve"> and mixed </w:t>
      </w:r>
      <w:r w:rsidR="00AB1139" w:rsidRPr="009B2C80">
        <w:rPr>
          <w:rFonts w:eastAsiaTheme="minorEastAsia"/>
          <w:sz w:val="22"/>
          <w:szCs w:val="22"/>
          <w:lang w:eastAsia="ja-JP"/>
        </w:rPr>
        <w:t>(</w:t>
      </w:r>
      <w:r w:rsidR="00AB1139">
        <w:rPr>
          <w:rFonts w:eastAsiaTheme="minorEastAsia"/>
          <w:sz w:val="22"/>
          <w:szCs w:val="22"/>
          <w:lang w:eastAsia="ja-JP"/>
        </w:rPr>
        <w:t>“</w:t>
      </w:r>
      <w:r w:rsidR="00AB1139" w:rsidRPr="009B2C80">
        <w:rPr>
          <w:rFonts w:eastAsiaTheme="minorEastAsia"/>
          <w:sz w:val="22"/>
          <w:szCs w:val="22"/>
          <w:lang w:eastAsia="ja-JP"/>
        </w:rPr>
        <w:t>contiguous</w:t>
      </w:r>
      <w:r w:rsidR="00AB1139">
        <w:rPr>
          <w:rFonts w:eastAsiaTheme="minorEastAsia"/>
          <w:sz w:val="22"/>
          <w:szCs w:val="22"/>
          <w:lang w:eastAsia="ja-JP"/>
        </w:rPr>
        <w:t>”</w:t>
      </w:r>
      <w:r w:rsidR="00AB1139" w:rsidRPr="009B2C80">
        <w:rPr>
          <w:rFonts w:eastAsiaTheme="minorEastAsia"/>
          <w:sz w:val="22"/>
          <w:szCs w:val="22"/>
          <w:lang w:eastAsia="ja-JP"/>
        </w:rPr>
        <w:t xml:space="preserve"> + </w:t>
      </w:r>
      <w:r w:rsidR="00AB1139">
        <w:rPr>
          <w:rFonts w:eastAsiaTheme="minorEastAsia"/>
          <w:sz w:val="22"/>
          <w:szCs w:val="22"/>
          <w:lang w:eastAsia="ja-JP"/>
        </w:rPr>
        <w:t>“</w:t>
      </w:r>
      <w:r w:rsidR="00AB1139" w:rsidRPr="009B2C80">
        <w:rPr>
          <w:rFonts w:eastAsiaTheme="minorEastAsia"/>
          <w:sz w:val="22"/>
          <w:szCs w:val="22"/>
          <w:lang w:eastAsia="ja-JP"/>
        </w:rPr>
        <w:t>non-contiguous</w:t>
      </w:r>
      <w:r w:rsidR="00AB1139">
        <w:rPr>
          <w:rFonts w:eastAsiaTheme="minorEastAsia"/>
          <w:sz w:val="22"/>
          <w:szCs w:val="22"/>
          <w:lang w:eastAsia="ja-JP"/>
        </w:rPr>
        <w:t>”</w:t>
      </w:r>
      <w:r w:rsidR="00AB1139" w:rsidRPr="009B2C80">
        <w:rPr>
          <w:rFonts w:eastAsiaTheme="minorEastAsia"/>
          <w:sz w:val="22"/>
          <w:szCs w:val="22"/>
          <w:lang w:eastAsia="ja-JP"/>
        </w:rPr>
        <w:t xml:space="preserve">) </w:t>
      </w:r>
      <w:r>
        <w:rPr>
          <w:rFonts w:eastAsia="等线"/>
          <w:sz w:val="22"/>
          <w:szCs w:val="22"/>
          <w:lang w:val="en-US" w:eastAsia="zh-CN"/>
        </w:rPr>
        <w:t>cases.</w:t>
      </w:r>
    </w:p>
    <w:p w14:paraId="3AA0C422" w14:textId="3115894E" w:rsidR="009B2C80" w:rsidRDefault="009B2C80" w:rsidP="009B2C80">
      <w:pPr>
        <w:rPr>
          <w:rFonts w:eastAsia="等线"/>
          <w:sz w:val="22"/>
          <w:szCs w:val="22"/>
          <w:lang w:val="en-US" w:eastAsia="zh-CN"/>
        </w:rPr>
      </w:pPr>
      <w:r>
        <w:rPr>
          <w:rFonts w:eastAsia="等线"/>
          <w:sz w:val="22"/>
          <w:szCs w:val="22"/>
          <w:lang w:val="en-US" w:eastAsia="zh-CN"/>
        </w:rPr>
        <w:t>- Further check is needed w</w:t>
      </w:r>
      <w:r w:rsidRPr="009B2C80">
        <w:rPr>
          <w:rFonts w:eastAsia="等线"/>
          <w:sz w:val="22"/>
          <w:szCs w:val="22"/>
          <w:lang w:val="en-US" w:eastAsia="zh-CN"/>
        </w:rPr>
        <w:t>hen the new UE has different capabilities between UL and D</w:t>
      </w:r>
      <w:r w:rsidRPr="00AB1139">
        <w:rPr>
          <w:rFonts w:eastAsia="等线"/>
          <w:sz w:val="22"/>
          <w:szCs w:val="22"/>
          <w:lang w:val="en-US" w:eastAsia="zh-CN"/>
        </w:rPr>
        <w:t xml:space="preserve">L </w:t>
      </w:r>
      <w:r w:rsidR="00AB1139" w:rsidRPr="00AB1139">
        <w:rPr>
          <w:sz w:val="22"/>
          <w:szCs w:val="22"/>
          <w:lang w:eastAsia="ja-JP"/>
        </w:rPr>
        <w:t>with “</w:t>
      </w:r>
      <w:r w:rsidR="001D163D">
        <w:rPr>
          <w:sz w:val="22"/>
          <w:szCs w:val="22"/>
          <w:lang w:eastAsia="ja-JP"/>
        </w:rPr>
        <w:t>non</w:t>
      </w:r>
      <w:r w:rsidR="00AB1139" w:rsidRPr="00AB1139">
        <w:rPr>
          <w:sz w:val="22"/>
          <w:szCs w:val="22"/>
          <w:lang w:eastAsia="ja-JP"/>
        </w:rPr>
        <w:t>-</w:t>
      </w:r>
      <w:r w:rsidR="001D163D">
        <w:rPr>
          <w:sz w:val="22"/>
          <w:szCs w:val="22"/>
          <w:lang w:eastAsia="ja-JP"/>
        </w:rPr>
        <w:t xml:space="preserve">contiguous </w:t>
      </w:r>
      <w:r w:rsidR="00AB1139" w:rsidRPr="00AB1139">
        <w:rPr>
          <w:sz w:val="22"/>
          <w:szCs w:val="22"/>
          <w:lang w:eastAsia="ja-JP"/>
        </w:rPr>
        <w:t>only” in either UL or DL</w:t>
      </w:r>
      <w:r w:rsidRPr="00AB1139">
        <w:rPr>
          <w:rFonts w:eastAsia="等线"/>
          <w:sz w:val="22"/>
          <w:szCs w:val="22"/>
          <w:lang w:val="en-US" w:eastAsia="zh-CN"/>
        </w:rPr>
        <w:t>,</w:t>
      </w:r>
      <w:r w:rsidRPr="009B2C80">
        <w:rPr>
          <w:rFonts w:eastAsia="等线"/>
          <w:sz w:val="22"/>
          <w:szCs w:val="22"/>
          <w:lang w:val="en-US" w:eastAsia="zh-CN"/>
        </w:rPr>
        <w:t xml:space="preserve"> </w:t>
      </w:r>
      <w:r>
        <w:rPr>
          <w:rFonts w:eastAsia="等线"/>
          <w:sz w:val="22"/>
          <w:szCs w:val="22"/>
          <w:lang w:val="en-US" w:eastAsia="zh-CN"/>
        </w:rPr>
        <w:t xml:space="preserve">as </w:t>
      </w:r>
      <w:r w:rsidRPr="009B2C80">
        <w:rPr>
          <w:rFonts w:eastAsia="等线"/>
          <w:sz w:val="22"/>
          <w:szCs w:val="22"/>
          <w:lang w:val="en-US" w:eastAsia="zh-CN"/>
        </w:rPr>
        <w:t xml:space="preserve">the legacy </w:t>
      </w:r>
      <w:proofErr w:type="spellStart"/>
      <w:r w:rsidRPr="009B2C80">
        <w:rPr>
          <w:rFonts w:eastAsia="等线"/>
          <w:sz w:val="22"/>
          <w:szCs w:val="22"/>
          <w:lang w:val="en-US" w:eastAsia="zh-CN"/>
        </w:rPr>
        <w:t>gNB</w:t>
      </w:r>
      <w:proofErr w:type="spellEnd"/>
      <w:r w:rsidRPr="009B2C80">
        <w:rPr>
          <w:rFonts w:eastAsia="等线"/>
          <w:sz w:val="22"/>
          <w:szCs w:val="22"/>
          <w:lang w:val="en-US" w:eastAsia="zh-CN"/>
        </w:rPr>
        <w:t xml:space="preserve"> may always assume the UE supports contiguous-only for both UL and DL. </w:t>
      </w:r>
    </w:p>
    <w:p w14:paraId="6D2CE22C" w14:textId="7C64D912" w:rsidR="00B961D3" w:rsidRPr="00340A6B" w:rsidRDefault="009B2C80" w:rsidP="00C57609">
      <w:pPr>
        <w:rPr>
          <w:rFonts w:eastAsia="等线"/>
          <w:sz w:val="22"/>
          <w:szCs w:val="22"/>
          <w:lang w:eastAsia="zh-CN"/>
        </w:rPr>
      </w:pPr>
      <w:r>
        <w:rPr>
          <w:rFonts w:eastAsia="等线"/>
          <w:sz w:val="22"/>
          <w:szCs w:val="22"/>
          <w:lang w:val="en-US" w:eastAsia="zh-CN"/>
        </w:rPr>
        <w:t>As the above issue needs more time to allow companies to further check, it is therefore suggested to postpone the discussion to next RAN2 meeting, companies can continue to work on improving the signaling solution and ensure the inter-operability.</w:t>
      </w:r>
    </w:p>
    <w:p w14:paraId="51B3CD52" w14:textId="3C9247F9" w:rsidR="008B53D1" w:rsidRPr="00EA46B6" w:rsidRDefault="008B53D1" w:rsidP="00AA4542">
      <w:pPr>
        <w:pStyle w:val="1"/>
        <w:numPr>
          <w:ilvl w:val="0"/>
          <w:numId w:val="26"/>
        </w:numPr>
        <w:rPr>
          <w:rFonts w:eastAsia="宋体" w:cs="Arial"/>
          <w:lang w:eastAsia="zh-CN"/>
        </w:rPr>
      </w:pPr>
      <w:r w:rsidRPr="00EA46B6">
        <w:rPr>
          <w:rFonts w:eastAsia="宋体" w:cs="Arial"/>
          <w:lang w:eastAsia="zh-CN"/>
        </w:rPr>
        <w:t>Conclusion</w:t>
      </w:r>
    </w:p>
    <w:p w14:paraId="5D7A61F5" w14:textId="77777777" w:rsidR="00FC1424" w:rsidRPr="00FC1424" w:rsidRDefault="00FC1424" w:rsidP="00FC1424">
      <w:pPr>
        <w:rPr>
          <w:rFonts w:eastAsia="等线"/>
          <w:b/>
          <w:sz w:val="22"/>
          <w:szCs w:val="22"/>
          <w:lang w:eastAsia="zh-CN"/>
        </w:rPr>
      </w:pPr>
      <w:r w:rsidRPr="00FC1424">
        <w:rPr>
          <w:rFonts w:eastAsia="等线"/>
          <w:b/>
          <w:sz w:val="22"/>
          <w:szCs w:val="22"/>
          <w:lang w:eastAsia="zh-CN"/>
        </w:rPr>
        <w:t xml:space="preserve">Rapp </w:t>
      </w:r>
      <w:r w:rsidRPr="00FC1424">
        <w:rPr>
          <w:rFonts w:eastAsia="等线" w:hint="eastAsia"/>
          <w:b/>
          <w:sz w:val="22"/>
          <w:szCs w:val="22"/>
          <w:lang w:eastAsia="zh-CN"/>
        </w:rPr>
        <w:t>S</w:t>
      </w:r>
      <w:r w:rsidRPr="00FC1424">
        <w:rPr>
          <w:rFonts w:eastAsia="等线"/>
          <w:b/>
          <w:sz w:val="22"/>
          <w:szCs w:val="22"/>
          <w:lang w:eastAsia="zh-CN"/>
        </w:rPr>
        <w:t>ummary:</w:t>
      </w:r>
    </w:p>
    <w:p w14:paraId="43E88678" w14:textId="65653B1A" w:rsidR="009B2C80" w:rsidRDefault="009B2C80" w:rsidP="00FC1424">
      <w:pPr>
        <w:rPr>
          <w:rFonts w:eastAsia="等线"/>
          <w:b/>
          <w:sz w:val="22"/>
          <w:szCs w:val="22"/>
          <w:lang w:val="en-US" w:eastAsia="zh-CN"/>
        </w:rPr>
      </w:pPr>
      <w:r>
        <w:rPr>
          <w:rFonts w:eastAsia="等线" w:hint="eastAsia"/>
          <w:b/>
          <w:sz w:val="22"/>
          <w:szCs w:val="22"/>
          <w:lang w:val="en-US" w:eastAsia="zh-CN"/>
        </w:rPr>
        <w:t>O</w:t>
      </w:r>
      <w:r>
        <w:rPr>
          <w:rFonts w:eastAsia="等线"/>
          <w:b/>
          <w:sz w:val="22"/>
          <w:szCs w:val="22"/>
          <w:lang w:val="en-US" w:eastAsia="zh-CN"/>
        </w:rPr>
        <w:t>bservation 1: The signaling solution to address the cases agreed by RAN4 is described as below (</w:t>
      </w:r>
      <w:r w:rsidR="002D7CF3">
        <w:rPr>
          <w:rFonts w:eastAsia="等线"/>
          <w:b/>
          <w:sz w:val="22"/>
          <w:szCs w:val="22"/>
          <w:lang w:val="en-US" w:eastAsia="zh-CN"/>
        </w:rPr>
        <w:t xml:space="preserve">CRs in </w:t>
      </w:r>
      <w:r w:rsidRPr="009B2C80">
        <w:rPr>
          <w:rFonts w:eastAsia="等线"/>
          <w:b/>
          <w:sz w:val="22"/>
          <w:szCs w:val="22"/>
          <w:lang w:val="en-US" w:eastAsia="zh-CN"/>
        </w:rPr>
        <w:t>R2-2213262 and R2-2213263 show</w:t>
      </w:r>
      <w:r w:rsidR="002D7CF3">
        <w:rPr>
          <w:rFonts w:eastAsia="等线"/>
          <w:b/>
          <w:sz w:val="22"/>
          <w:szCs w:val="22"/>
          <w:lang w:val="en-US" w:eastAsia="zh-CN"/>
        </w:rPr>
        <w:t>ed</w:t>
      </w:r>
      <w:r w:rsidRPr="009B2C80">
        <w:rPr>
          <w:rFonts w:eastAsia="等线"/>
          <w:b/>
          <w:sz w:val="22"/>
          <w:szCs w:val="22"/>
          <w:lang w:val="en-US" w:eastAsia="zh-CN"/>
        </w:rPr>
        <w:t xml:space="preserve"> detailed changes accordingly</w:t>
      </w:r>
      <w:r>
        <w:rPr>
          <w:rFonts w:eastAsia="等线"/>
          <w:b/>
          <w:sz w:val="22"/>
          <w:szCs w:val="22"/>
          <w:lang w:val="en-US" w:eastAsia="zh-CN"/>
        </w:rPr>
        <w:t>)</w:t>
      </w:r>
    </w:p>
    <w:p w14:paraId="47F5915E" w14:textId="16DDB5CD" w:rsidR="009B2C80" w:rsidRPr="00BE33C0" w:rsidRDefault="002D7CF3" w:rsidP="009B2C80">
      <w:pPr>
        <w:rPr>
          <w:rFonts w:eastAsiaTheme="minorEastAsia"/>
          <w:sz w:val="22"/>
          <w:szCs w:val="22"/>
          <w:lang w:eastAsia="ja-JP"/>
        </w:rPr>
      </w:pPr>
      <w:r>
        <w:rPr>
          <w:rFonts w:eastAsiaTheme="minorEastAsia"/>
          <w:sz w:val="22"/>
          <w:szCs w:val="22"/>
          <w:lang w:eastAsia="ja-JP"/>
        </w:rPr>
        <w:t xml:space="preserve">1. </w:t>
      </w:r>
      <w:r w:rsidR="009B2C80" w:rsidRPr="00BE33C0">
        <w:rPr>
          <w:rFonts w:eastAsiaTheme="minorEastAsia"/>
          <w:sz w:val="22"/>
          <w:szCs w:val="22"/>
          <w:lang w:eastAsia="ja-JP"/>
        </w:rPr>
        <w:t>New capabilities to indicate intra-band ENDC contiguous/non-contiguous support for DL and UL separately, with a per BC level;</w:t>
      </w:r>
    </w:p>
    <w:p w14:paraId="32D69E43" w14:textId="77777777" w:rsidR="009B2C80" w:rsidRPr="00BE33C0" w:rsidRDefault="009B2C80" w:rsidP="009B2C80">
      <w:pPr>
        <w:rPr>
          <w:rFonts w:eastAsiaTheme="minorEastAsia"/>
          <w:sz w:val="22"/>
          <w:szCs w:val="22"/>
          <w:lang w:eastAsia="ja-JP"/>
        </w:rPr>
      </w:pPr>
      <w:r>
        <w:rPr>
          <w:rFonts w:eastAsiaTheme="minorEastAsia"/>
          <w:sz w:val="22"/>
          <w:szCs w:val="22"/>
          <w:lang w:eastAsia="ja-JP"/>
        </w:rPr>
        <w:t xml:space="preserve">2. </w:t>
      </w:r>
      <w:r w:rsidRPr="00BE33C0">
        <w:rPr>
          <w:rFonts w:eastAsiaTheme="minorEastAsia"/>
          <w:sz w:val="22"/>
          <w:szCs w:val="22"/>
          <w:lang w:eastAsia="ja-JP"/>
        </w:rPr>
        <w:t>The new capabilities introduced would only be present if the support of contiguous/non-contiguous is different between the DL and the UL;</w:t>
      </w:r>
    </w:p>
    <w:p w14:paraId="6E824562" w14:textId="77777777" w:rsidR="009B2C80" w:rsidRDefault="009B2C80" w:rsidP="009B2C80">
      <w:pPr>
        <w:rPr>
          <w:rFonts w:eastAsiaTheme="minorEastAsia"/>
          <w:sz w:val="22"/>
          <w:szCs w:val="22"/>
          <w:lang w:eastAsia="ja-JP"/>
        </w:rPr>
      </w:pPr>
      <w:r>
        <w:rPr>
          <w:rFonts w:eastAsiaTheme="minorEastAsia"/>
          <w:sz w:val="22"/>
          <w:szCs w:val="22"/>
          <w:lang w:eastAsia="ja-JP"/>
        </w:rPr>
        <w:t xml:space="preserve">3. </w:t>
      </w:r>
      <w:r w:rsidRPr="00BE33C0">
        <w:rPr>
          <w:rFonts w:eastAsiaTheme="minorEastAsia"/>
          <w:sz w:val="22"/>
          <w:szCs w:val="22"/>
          <w:lang w:eastAsia="ja-JP"/>
        </w:rPr>
        <w:t>The absence of the new capabilities means that by default contiguous is supported.</w:t>
      </w:r>
    </w:p>
    <w:p w14:paraId="4272C4D2" w14:textId="710F727F" w:rsidR="009B2C80" w:rsidRDefault="009B2C80" w:rsidP="00FC1424">
      <w:pPr>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2: the signalling solution need further check to ensure the inter-operability.</w:t>
      </w:r>
    </w:p>
    <w:p w14:paraId="550C1219" w14:textId="77777777" w:rsidR="009B2C80" w:rsidRPr="009B2C80" w:rsidRDefault="009B2C80" w:rsidP="009B2C80">
      <w:pPr>
        <w:rPr>
          <w:rFonts w:eastAsiaTheme="minorEastAsia"/>
          <w:sz w:val="22"/>
          <w:szCs w:val="22"/>
          <w:lang w:eastAsia="ja-JP"/>
        </w:rPr>
      </w:pPr>
      <w:r w:rsidRPr="009B2C80">
        <w:rPr>
          <w:rFonts w:eastAsiaTheme="minorEastAsia"/>
          <w:sz w:val="22"/>
          <w:szCs w:val="22"/>
          <w:lang w:eastAsia="ja-JP"/>
        </w:rPr>
        <w:t xml:space="preserve">1. </w:t>
      </w:r>
      <w:proofErr w:type="gramStart"/>
      <w:r w:rsidRPr="009B2C80">
        <w:rPr>
          <w:rFonts w:eastAsiaTheme="minorEastAsia"/>
          <w:sz w:val="22"/>
          <w:szCs w:val="22"/>
          <w:lang w:eastAsia="ja-JP"/>
        </w:rPr>
        <w:t>For</w:t>
      </w:r>
      <w:proofErr w:type="gramEnd"/>
      <w:r w:rsidRPr="009B2C80">
        <w:rPr>
          <w:rFonts w:eastAsiaTheme="minorEastAsia"/>
          <w:sz w:val="22"/>
          <w:szCs w:val="22"/>
          <w:lang w:eastAsia="ja-JP"/>
        </w:rPr>
        <w:t xml:space="preserve"> the upgraded </w:t>
      </w:r>
      <w:proofErr w:type="spellStart"/>
      <w:r w:rsidRPr="009B2C80">
        <w:rPr>
          <w:rFonts w:eastAsiaTheme="minorEastAsia"/>
          <w:sz w:val="22"/>
          <w:szCs w:val="22"/>
          <w:lang w:eastAsia="ja-JP"/>
        </w:rPr>
        <w:t>gNB</w:t>
      </w:r>
      <w:proofErr w:type="spellEnd"/>
      <w:r w:rsidRPr="009B2C80">
        <w:rPr>
          <w:rFonts w:eastAsiaTheme="minorEastAsia"/>
          <w:sz w:val="22"/>
          <w:szCs w:val="22"/>
          <w:lang w:eastAsia="ja-JP"/>
        </w:rPr>
        <w:t xml:space="preserve">: there is no inter-operability issue to interpret the capabilities of the new UEs and legacy UEs. </w:t>
      </w:r>
    </w:p>
    <w:p w14:paraId="4B1F1B5A" w14:textId="77777777" w:rsidR="009B2C80" w:rsidRPr="009B2C80" w:rsidRDefault="009B2C80" w:rsidP="009B2C80">
      <w:pPr>
        <w:rPr>
          <w:rFonts w:eastAsiaTheme="minorEastAsia"/>
          <w:sz w:val="22"/>
          <w:szCs w:val="22"/>
          <w:lang w:eastAsia="ja-JP"/>
        </w:rPr>
      </w:pPr>
      <w:r w:rsidRPr="009B2C80">
        <w:rPr>
          <w:rFonts w:eastAsiaTheme="minorEastAsia"/>
          <w:sz w:val="22"/>
          <w:szCs w:val="22"/>
          <w:lang w:eastAsia="ja-JP"/>
        </w:rPr>
        <w:t xml:space="preserve">2. </w:t>
      </w:r>
      <w:proofErr w:type="gramStart"/>
      <w:r w:rsidRPr="009B2C80">
        <w:rPr>
          <w:rFonts w:eastAsiaTheme="minorEastAsia"/>
          <w:sz w:val="22"/>
          <w:szCs w:val="22"/>
          <w:lang w:eastAsia="ja-JP"/>
        </w:rPr>
        <w:t>For</w:t>
      </w:r>
      <w:proofErr w:type="gramEnd"/>
      <w:r w:rsidRPr="009B2C80">
        <w:rPr>
          <w:rFonts w:eastAsiaTheme="minorEastAsia"/>
          <w:sz w:val="22"/>
          <w:szCs w:val="22"/>
          <w:lang w:eastAsia="ja-JP"/>
        </w:rPr>
        <w:t xml:space="preserve"> the legacy </w:t>
      </w:r>
      <w:proofErr w:type="spellStart"/>
      <w:r w:rsidRPr="009B2C80">
        <w:rPr>
          <w:rFonts w:eastAsiaTheme="minorEastAsia"/>
          <w:sz w:val="22"/>
          <w:szCs w:val="22"/>
          <w:lang w:eastAsia="ja-JP"/>
        </w:rPr>
        <w:t>gNB</w:t>
      </w:r>
      <w:proofErr w:type="spellEnd"/>
      <w:r w:rsidRPr="009B2C80">
        <w:rPr>
          <w:rFonts w:eastAsiaTheme="minorEastAsia"/>
          <w:sz w:val="22"/>
          <w:szCs w:val="22"/>
          <w:lang w:eastAsia="ja-JP"/>
        </w:rPr>
        <w:t>:</w:t>
      </w:r>
    </w:p>
    <w:p w14:paraId="03693679" w14:textId="4AFE1B6D" w:rsidR="009B2C80" w:rsidRPr="009B2C80" w:rsidRDefault="009B2C80" w:rsidP="009B2C80">
      <w:pPr>
        <w:rPr>
          <w:rFonts w:eastAsiaTheme="minorEastAsia"/>
          <w:sz w:val="22"/>
          <w:szCs w:val="22"/>
          <w:lang w:eastAsia="ja-JP"/>
        </w:rPr>
      </w:pPr>
      <w:r w:rsidRPr="009B2C80">
        <w:rPr>
          <w:rFonts w:eastAsiaTheme="minorEastAsia"/>
          <w:sz w:val="22"/>
          <w:szCs w:val="22"/>
          <w:lang w:eastAsia="ja-JP"/>
        </w:rPr>
        <w:t xml:space="preserve">- </w:t>
      </w:r>
      <w:r>
        <w:rPr>
          <w:rFonts w:eastAsiaTheme="minorEastAsia"/>
          <w:sz w:val="22"/>
          <w:szCs w:val="22"/>
          <w:lang w:eastAsia="ja-JP"/>
        </w:rPr>
        <w:t xml:space="preserve"> </w:t>
      </w:r>
      <w:r w:rsidRPr="009B2C80">
        <w:rPr>
          <w:rFonts w:eastAsiaTheme="minorEastAsia"/>
          <w:sz w:val="22"/>
          <w:szCs w:val="22"/>
          <w:lang w:eastAsia="ja-JP"/>
        </w:rPr>
        <w:t xml:space="preserve">There is no inter-operability issue when the new UE has different capabilities between UL and DL for </w:t>
      </w:r>
      <w:r w:rsidR="002D7CF3">
        <w:rPr>
          <w:rFonts w:eastAsiaTheme="minorEastAsia"/>
          <w:sz w:val="22"/>
          <w:szCs w:val="22"/>
          <w:lang w:eastAsia="ja-JP"/>
        </w:rPr>
        <w:t>“</w:t>
      </w:r>
      <w:r w:rsidRPr="009B2C80">
        <w:rPr>
          <w:rFonts w:eastAsiaTheme="minorEastAsia"/>
          <w:sz w:val="22"/>
          <w:szCs w:val="22"/>
          <w:lang w:eastAsia="ja-JP"/>
        </w:rPr>
        <w:t>contiguous-only</w:t>
      </w:r>
      <w:r w:rsidR="002D7CF3">
        <w:rPr>
          <w:rFonts w:eastAsiaTheme="minorEastAsia"/>
          <w:sz w:val="22"/>
          <w:szCs w:val="22"/>
          <w:lang w:eastAsia="ja-JP"/>
        </w:rPr>
        <w:t>”</w:t>
      </w:r>
      <w:r w:rsidRPr="009B2C80">
        <w:rPr>
          <w:rFonts w:eastAsiaTheme="minorEastAsia"/>
          <w:sz w:val="22"/>
          <w:szCs w:val="22"/>
          <w:lang w:eastAsia="ja-JP"/>
        </w:rPr>
        <w:t xml:space="preserve"> and mixed (</w:t>
      </w:r>
      <w:r w:rsidR="002D7CF3">
        <w:rPr>
          <w:rFonts w:eastAsiaTheme="minorEastAsia"/>
          <w:sz w:val="22"/>
          <w:szCs w:val="22"/>
          <w:lang w:eastAsia="ja-JP"/>
        </w:rPr>
        <w:t>“</w:t>
      </w:r>
      <w:r w:rsidRPr="009B2C80">
        <w:rPr>
          <w:rFonts w:eastAsiaTheme="minorEastAsia"/>
          <w:sz w:val="22"/>
          <w:szCs w:val="22"/>
          <w:lang w:eastAsia="ja-JP"/>
        </w:rPr>
        <w:t>contiguous</w:t>
      </w:r>
      <w:r w:rsidR="002D7CF3">
        <w:rPr>
          <w:rFonts w:eastAsiaTheme="minorEastAsia"/>
          <w:sz w:val="22"/>
          <w:szCs w:val="22"/>
          <w:lang w:eastAsia="ja-JP"/>
        </w:rPr>
        <w:t>”</w:t>
      </w:r>
      <w:r w:rsidRPr="009B2C80">
        <w:rPr>
          <w:rFonts w:eastAsiaTheme="minorEastAsia"/>
          <w:sz w:val="22"/>
          <w:szCs w:val="22"/>
          <w:lang w:eastAsia="ja-JP"/>
        </w:rPr>
        <w:t xml:space="preserve"> + </w:t>
      </w:r>
      <w:r w:rsidR="002D7CF3">
        <w:rPr>
          <w:rFonts w:eastAsiaTheme="minorEastAsia"/>
          <w:sz w:val="22"/>
          <w:szCs w:val="22"/>
          <w:lang w:eastAsia="ja-JP"/>
        </w:rPr>
        <w:t>“</w:t>
      </w:r>
      <w:r w:rsidRPr="009B2C80">
        <w:rPr>
          <w:rFonts w:eastAsiaTheme="minorEastAsia"/>
          <w:sz w:val="22"/>
          <w:szCs w:val="22"/>
          <w:lang w:eastAsia="ja-JP"/>
        </w:rPr>
        <w:t>non-contiguous</w:t>
      </w:r>
      <w:r w:rsidR="002D7CF3">
        <w:rPr>
          <w:rFonts w:eastAsiaTheme="minorEastAsia"/>
          <w:sz w:val="22"/>
          <w:szCs w:val="22"/>
          <w:lang w:eastAsia="ja-JP"/>
        </w:rPr>
        <w:t>”</w:t>
      </w:r>
      <w:r w:rsidRPr="009B2C80">
        <w:rPr>
          <w:rFonts w:eastAsiaTheme="minorEastAsia"/>
          <w:sz w:val="22"/>
          <w:szCs w:val="22"/>
          <w:lang w:eastAsia="ja-JP"/>
        </w:rPr>
        <w:t>) cases.</w:t>
      </w:r>
    </w:p>
    <w:p w14:paraId="765B6D36" w14:textId="5BF17549" w:rsidR="009B2C80" w:rsidRPr="009B2C80" w:rsidRDefault="009B2C80" w:rsidP="009B2C80">
      <w:pPr>
        <w:rPr>
          <w:rFonts w:eastAsiaTheme="minorEastAsia"/>
          <w:sz w:val="22"/>
          <w:szCs w:val="22"/>
          <w:lang w:eastAsia="ja-JP"/>
        </w:rPr>
      </w:pPr>
      <w:r w:rsidRPr="009B2C80">
        <w:rPr>
          <w:rFonts w:eastAsiaTheme="minorEastAsia"/>
          <w:sz w:val="22"/>
          <w:szCs w:val="22"/>
          <w:lang w:eastAsia="ja-JP"/>
        </w:rPr>
        <w:t xml:space="preserve">- </w:t>
      </w:r>
      <w:r>
        <w:rPr>
          <w:rFonts w:eastAsiaTheme="minorEastAsia"/>
          <w:sz w:val="22"/>
          <w:szCs w:val="22"/>
          <w:lang w:eastAsia="ja-JP"/>
        </w:rPr>
        <w:t xml:space="preserve"> </w:t>
      </w:r>
      <w:r w:rsidRPr="009B2C80">
        <w:rPr>
          <w:rFonts w:eastAsiaTheme="minorEastAsia"/>
          <w:sz w:val="22"/>
          <w:szCs w:val="22"/>
          <w:lang w:eastAsia="ja-JP"/>
        </w:rPr>
        <w:t xml:space="preserve">Further check is needed when the new UE has different capabilities between UL and DL </w:t>
      </w:r>
      <w:r w:rsidR="00AB1139" w:rsidRPr="00AB1139">
        <w:rPr>
          <w:sz w:val="22"/>
          <w:szCs w:val="22"/>
          <w:lang w:eastAsia="ja-JP"/>
        </w:rPr>
        <w:t>with “</w:t>
      </w:r>
      <w:r w:rsidR="001D163D">
        <w:rPr>
          <w:sz w:val="22"/>
          <w:szCs w:val="22"/>
          <w:lang w:eastAsia="ja-JP"/>
        </w:rPr>
        <w:t xml:space="preserve">non-contiguous </w:t>
      </w:r>
      <w:r w:rsidR="00AB1139" w:rsidRPr="00AB1139">
        <w:rPr>
          <w:sz w:val="22"/>
          <w:szCs w:val="22"/>
          <w:lang w:eastAsia="ja-JP"/>
        </w:rPr>
        <w:t>only” in either UL or DL</w:t>
      </w:r>
      <w:r w:rsidRPr="009B2C80">
        <w:rPr>
          <w:rFonts w:eastAsiaTheme="minorEastAsia"/>
          <w:sz w:val="22"/>
          <w:szCs w:val="22"/>
          <w:lang w:eastAsia="ja-JP"/>
        </w:rPr>
        <w:t xml:space="preserve">, as the legacy </w:t>
      </w:r>
      <w:proofErr w:type="spellStart"/>
      <w:r w:rsidRPr="009B2C80">
        <w:rPr>
          <w:rFonts w:eastAsiaTheme="minorEastAsia"/>
          <w:sz w:val="22"/>
          <w:szCs w:val="22"/>
          <w:lang w:eastAsia="ja-JP"/>
        </w:rPr>
        <w:t>gNB</w:t>
      </w:r>
      <w:proofErr w:type="spellEnd"/>
      <w:r w:rsidRPr="009B2C80">
        <w:rPr>
          <w:rFonts w:eastAsiaTheme="minorEastAsia"/>
          <w:sz w:val="22"/>
          <w:szCs w:val="22"/>
          <w:lang w:eastAsia="ja-JP"/>
        </w:rPr>
        <w:t xml:space="preserve"> may always assume the UE supports </w:t>
      </w:r>
      <w:r w:rsidR="002D7CF3">
        <w:rPr>
          <w:rFonts w:eastAsiaTheme="minorEastAsia"/>
          <w:sz w:val="22"/>
          <w:szCs w:val="22"/>
          <w:lang w:eastAsia="ja-JP"/>
        </w:rPr>
        <w:t>“</w:t>
      </w:r>
      <w:r w:rsidRPr="009B2C80">
        <w:rPr>
          <w:rFonts w:eastAsiaTheme="minorEastAsia"/>
          <w:sz w:val="22"/>
          <w:szCs w:val="22"/>
          <w:lang w:eastAsia="ja-JP"/>
        </w:rPr>
        <w:t>contiguous-only</w:t>
      </w:r>
      <w:r w:rsidR="002D7CF3">
        <w:rPr>
          <w:rFonts w:eastAsiaTheme="minorEastAsia"/>
          <w:sz w:val="22"/>
          <w:szCs w:val="22"/>
          <w:lang w:eastAsia="ja-JP"/>
        </w:rPr>
        <w:t>”</w:t>
      </w:r>
      <w:r w:rsidRPr="009B2C80">
        <w:rPr>
          <w:rFonts w:eastAsiaTheme="minorEastAsia"/>
          <w:sz w:val="22"/>
          <w:szCs w:val="22"/>
          <w:lang w:eastAsia="ja-JP"/>
        </w:rPr>
        <w:t xml:space="preserve"> for both UL and DL. </w:t>
      </w:r>
    </w:p>
    <w:p w14:paraId="54289029" w14:textId="5928D33A" w:rsidR="00340A6B" w:rsidRDefault="00340A6B" w:rsidP="009B2C80">
      <w:pPr>
        <w:rPr>
          <w:rFonts w:eastAsia="等线"/>
          <w:b/>
          <w:sz w:val="22"/>
          <w:szCs w:val="22"/>
          <w:lang w:val="en-US" w:eastAsia="zh-CN"/>
        </w:rPr>
      </w:pPr>
      <w:r w:rsidRPr="00340A6B">
        <w:rPr>
          <w:rFonts w:eastAsia="等线"/>
          <w:b/>
          <w:sz w:val="22"/>
          <w:szCs w:val="22"/>
          <w:lang w:val="en-US" w:eastAsia="zh-CN"/>
        </w:rPr>
        <w:t xml:space="preserve">Proposal: to </w:t>
      </w:r>
      <w:r w:rsidR="009B2C80">
        <w:rPr>
          <w:rFonts w:eastAsia="等线"/>
          <w:b/>
          <w:sz w:val="22"/>
          <w:szCs w:val="22"/>
          <w:lang w:val="en-US" w:eastAsia="zh-CN"/>
        </w:rPr>
        <w:t xml:space="preserve">continue work on the signaling solution to ensure inter-operability to the legacy </w:t>
      </w:r>
      <w:proofErr w:type="spellStart"/>
      <w:r w:rsidR="009B2C80">
        <w:rPr>
          <w:rFonts w:eastAsia="等线"/>
          <w:b/>
          <w:sz w:val="22"/>
          <w:szCs w:val="22"/>
          <w:lang w:val="en-US" w:eastAsia="zh-CN"/>
        </w:rPr>
        <w:t>gNB</w:t>
      </w:r>
      <w:proofErr w:type="spellEnd"/>
      <w:r w:rsidR="009B2C80">
        <w:rPr>
          <w:rFonts w:eastAsia="等线"/>
          <w:b/>
          <w:sz w:val="22"/>
          <w:szCs w:val="22"/>
          <w:lang w:val="en-US" w:eastAsia="zh-CN"/>
        </w:rPr>
        <w:t xml:space="preserve"> and decide whether the signaling solution can be adopted to address the cases agreed by RAN4 at next RAN2 meeting.</w:t>
      </w:r>
    </w:p>
    <w:p w14:paraId="27C5D956" w14:textId="77777777" w:rsidR="009B2C80" w:rsidRPr="00340A6B" w:rsidRDefault="009B2C80" w:rsidP="009B2C80">
      <w:pPr>
        <w:rPr>
          <w:rFonts w:eastAsiaTheme="minorEastAsia"/>
          <w:sz w:val="22"/>
          <w:szCs w:val="22"/>
          <w:lang w:eastAsia="ja-JP"/>
        </w:rPr>
      </w:pPr>
    </w:p>
    <w:p w14:paraId="1ECAE053" w14:textId="77777777" w:rsidR="00DC2039" w:rsidRPr="00340A6B" w:rsidRDefault="00DC2039" w:rsidP="00C8339C">
      <w:pPr>
        <w:rPr>
          <w:rFonts w:eastAsiaTheme="minorEastAsia"/>
          <w:lang w:eastAsia="ja-JP"/>
        </w:rPr>
      </w:pPr>
    </w:p>
    <w:sectPr w:rsidR="00DC2039" w:rsidRPr="00340A6B" w:rsidSect="00DC2039">
      <w:foot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BAA70" w14:textId="77777777" w:rsidR="00674ACB" w:rsidRDefault="00674ACB">
      <w:r>
        <w:separator/>
      </w:r>
    </w:p>
  </w:endnote>
  <w:endnote w:type="continuationSeparator" w:id="0">
    <w:p w14:paraId="060D0DAB" w14:textId="77777777" w:rsidR="00674ACB" w:rsidRDefault="0067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HGｺﾞｼｯｸE"/>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54A07" w14:textId="77777777" w:rsidR="00074382" w:rsidRDefault="0007438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6B429" w14:textId="77777777" w:rsidR="00674ACB" w:rsidRDefault="00674ACB">
      <w:r>
        <w:separator/>
      </w:r>
    </w:p>
  </w:footnote>
  <w:footnote w:type="continuationSeparator" w:id="0">
    <w:p w14:paraId="44F295D8" w14:textId="77777777" w:rsidR="00674ACB" w:rsidRDefault="00674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40"/>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7111C2"/>
    <w:multiLevelType w:val="hybridMultilevel"/>
    <w:tmpl w:val="9D3C9BDE"/>
    <w:lvl w:ilvl="0" w:tplc="0CEC28E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0364A58"/>
    <w:multiLevelType w:val="hybridMultilevel"/>
    <w:tmpl w:val="BB286FD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034196"/>
    <w:multiLevelType w:val="hybridMultilevel"/>
    <w:tmpl w:val="95CAE536"/>
    <w:lvl w:ilvl="0" w:tplc="938E4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47E313BC"/>
    <w:multiLevelType w:val="singleLevel"/>
    <w:tmpl w:val="EEC575C6"/>
    <w:lvl w:ilvl="0">
      <w:start w:val="1"/>
      <w:numFmt w:val="decimal"/>
      <w:pStyle w:val="a"/>
      <w:lvlText w:val="%1&gt;"/>
      <w:lvlJc w:val="left"/>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070283C"/>
    <w:multiLevelType w:val="multilevel"/>
    <w:tmpl w:val="9B8CF80E"/>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C180D"/>
    <w:multiLevelType w:val="hybridMultilevel"/>
    <w:tmpl w:val="3FB8E966"/>
    <w:lvl w:ilvl="0" w:tplc="79F2BE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8"/>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4"/>
  </w:num>
  <w:num w:numId="10">
    <w:abstractNumId w:val="11"/>
  </w:num>
  <w:num w:numId="11">
    <w:abstractNumId w:val="3"/>
  </w:num>
  <w:num w:numId="12">
    <w:abstractNumId w:val="2"/>
  </w:num>
  <w:num w:numId="13">
    <w:abstractNumId w:val="1"/>
  </w:num>
  <w:num w:numId="14">
    <w:abstractNumId w:val="2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0"/>
  </w:num>
  <w:num w:numId="18">
    <w:abstractNumId w:val="9"/>
  </w:num>
  <w:num w:numId="19">
    <w:abstractNumId w:val="32"/>
  </w:num>
  <w:num w:numId="20">
    <w:abstractNumId w:val="12"/>
  </w:num>
  <w:num w:numId="21">
    <w:abstractNumId w:val="7"/>
  </w:num>
  <w:num w:numId="22">
    <w:abstractNumId w:val="31"/>
  </w:num>
  <w:num w:numId="23">
    <w:abstractNumId w:val="16"/>
  </w:num>
  <w:num w:numId="24">
    <w:abstractNumId w:val="21"/>
  </w:num>
  <w:num w:numId="25">
    <w:abstractNumId w:val="10"/>
  </w:num>
  <w:num w:numId="26">
    <w:abstractNumId w:val="26"/>
  </w:num>
  <w:num w:numId="27">
    <w:abstractNumId w:val="22"/>
  </w:num>
  <w:num w:numId="28">
    <w:abstractNumId w:val="24"/>
  </w:num>
  <w:num w:numId="29">
    <w:abstractNumId w:val="27"/>
  </w:num>
  <w:num w:numId="30">
    <w:abstractNumId w:val="13"/>
  </w:num>
  <w:num w:numId="31">
    <w:abstractNumId w:val="17"/>
  </w:num>
  <w:num w:numId="32">
    <w:abstractNumId w:val="25"/>
  </w:num>
  <w:num w:numId="33">
    <w:abstractNumId w:val="18"/>
  </w:num>
  <w:num w:numId="34">
    <w:abstractNumId w:val="15"/>
  </w:num>
  <w:num w:numId="35">
    <w:abstractNumId w:val="19"/>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B64"/>
    <w:rsid w:val="000110CA"/>
    <w:rsid w:val="000118F6"/>
    <w:rsid w:val="00011EE0"/>
    <w:rsid w:val="000127AD"/>
    <w:rsid w:val="000130E2"/>
    <w:rsid w:val="00013CB8"/>
    <w:rsid w:val="00014ADF"/>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3200"/>
    <w:rsid w:val="00033C0F"/>
    <w:rsid w:val="0003419C"/>
    <w:rsid w:val="000346B7"/>
    <w:rsid w:val="000357E9"/>
    <w:rsid w:val="00035A88"/>
    <w:rsid w:val="00035D56"/>
    <w:rsid w:val="0003605A"/>
    <w:rsid w:val="00036710"/>
    <w:rsid w:val="00036C78"/>
    <w:rsid w:val="00036F14"/>
    <w:rsid w:val="0003773A"/>
    <w:rsid w:val="00037B33"/>
    <w:rsid w:val="00040222"/>
    <w:rsid w:val="000408C0"/>
    <w:rsid w:val="00040B64"/>
    <w:rsid w:val="0004127F"/>
    <w:rsid w:val="0004151B"/>
    <w:rsid w:val="00041783"/>
    <w:rsid w:val="00042122"/>
    <w:rsid w:val="000421C4"/>
    <w:rsid w:val="0004220B"/>
    <w:rsid w:val="00042B5C"/>
    <w:rsid w:val="00043833"/>
    <w:rsid w:val="000438AC"/>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F83"/>
    <w:rsid w:val="00060308"/>
    <w:rsid w:val="00061E8D"/>
    <w:rsid w:val="000622D3"/>
    <w:rsid w:val="00062A3B"/>
    <w:rsid w:val="00062E56"/>
    <w:rsid w:val="00064173"/>
    <w:rsid w:val="00064EA8"/>
    <w:rsid w:val="000655EF"/>
    <w:rsid w:val="000658BB"/>
    <w:rsid w:val="00066553"/>
    <w:rsid w:val="000703C3"/>
    <w:rsid w:val="000708AB"/>
    <w:rsid w:val="000709F7"/>
    <w:rsid w:val="00070CDD"/>
    <w:rsid w:val="00070E87"/>
    <w:rsid w:val="00070F2C"/>
    <w:rsid w:val="000712EB"/>
    <w:rsid w:val="00071653"/>
    <w:rsid w:val="00071DB6"/>
    <w:rsid w:val="00072EDF"/>
    <w:rsid w:val="000737A3"/>
    <w:rsid w:val="000737BB"/>
    <w:rsid w:val="00073A77"/>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727"/>
    <w:rsid w:val="00081C37"/>
    <w:rsid w:val="0008200D"/>
    <w:rsid w:val="00082E28"/>
    <w:rsid w:val="00083024"/>
    <w:rsid w:val="000832CF"/>
    <w:rsid w:val="00083842"/>
    <w:rsid w:val="000843D9"/>
    <w:rsid w:val="00084AD5"/>
    <w:rsid w:val="00084F0C"/>
    <w:rsid w:val="0008542A"/>
    <w:rsid w:val="00085DF3"/>
    <w:rsid w:val="00086B96"/>
    <w:rsid w:val="00090556"/>
    <w:rsid w:val="000907F9"/>
    <w:rsid w:val="000908DE"/>
    <w:rsid w:val="00090DCB"/>
    <w:rsid w:val="0009132C"/>
    <w:rsid w:val="000917B0"/>
    <w:rsid w:val="00091874"/>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1FC"/>
    <w:rsid w:val="000A43E7"/>
    <w:rsid w:val="000A4C5A"/>
    <w:rsid w:val="000A4E56"/>
    <w:rsid w:val="000A5163"/>
    <w:rsid w:val="000A5C61"/>
    <w:rsid w:val="000A5E2F"/>
    <w:rsid w:val="000A689E"/>
    <w:rsid w:val="000A6AA2"/>
    <w:rsid w:val="000A6CBD"/>
    <w:rsid w:val="000A7B17"/>
    <w:rsid w:val="000B0426"/>
    <w:rsid w:val="000B0E88"/>
    <w:rsid w:val="000B1185"/>
    <w:rsid w:val="000B13E4"/>
    <w:rsid w:val="000B1B85"/>
    <w:rsid w:val="000B1EFF"/>
    <w:rsid w:val="000B43AA"/>
    <w:rsid w:val="000B48A6"/>
    <w:rsid w:val="000B4B4A"/>
    <w:rsid w:val="000B532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071"/>
    <w:rsid w:val="000D3A03"/>
    <w:rsid w:val="000D3B23"/>
    <w:rsid w:val="000D468C"/>
    <w:rsid w:val="000D4BE6"/>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5C5"/>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C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2AB9"/>
    <w:rsid w:val="00153715"/>
    <w:rsid w:val="00153D8D"/>
    <w:rsid w:val="001551A2"/>
    <w:rsid w:val="0015526C"/>
    <w:rsid w:val="00155873"/>
    <w:rsid w:val="0015591C"/>
    <w:rsid w:val="001559C3"/>
    <w:rsid w:val="0015651D"/>
    <w:rsid w:val="001567AA"/>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024"/>
    <w:rsid w:val="00164E91"/>
    <w:rsid w:val="00164EC7"/>
    <w:rsid w:val="00164F4E"/>
    <w:rsid w:val="00165014"/>
    <w:rsid w:val="001650C9"/>
    <w:rsid w:val="001650D3"/>
    <w:rsid w:val="001655EF"/>
    <w:rsid w:val="0016708D"/>
    <w:rsid w:val="001679FD"/>
    <w:rsid w:val="0017004D"/>
    <w:rsid w:val="0017100B"/>
    <w:rsid w:val="00171F68"/>
    <w:rsid w:val="00172E01"/>
    <w:rsid w:val="00172F76"/>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A1192"/>
    <w:rsid w:val="001A1A0C"/>
    <w:rsid w:val="001A1B88"/>
    <w:rsid w:val="001A1F92"/>
    <w:rsid w:val="001A22B9"/>
    <w:rsid w:val="001A2382"/>
    <w:rsid w:val="001A24FD"/>
    <w:rsid w:val="001A257E"/>
    <w:rsid w:val="001A34F0"/>
    <w:rsid w:val="001A38C1"/>
    <w:rsid w:val="001A461E"/>
    <w:rsid w:val="001A4789"/>
    <w:rsid w:val="001A4BE4"/>
    <w:rsid w:val="001A4FE5"/>
    <w:rsid w:val="001A522B"/>
    <w:rsid w:val="001A68F4"/>
    <w:rsid w:val="001A6CB0"/>
    <w:rsid w:val="001A7046"/>
    <w:rsid w:val="001A7B57"/>
    <w:rsid w:val="001B1434"/>
    <w:rsid w:val="001B1A52"/>
    <w:rsid w:val="001B1B18"/>
    <w:rsid w:val="001B1BB1"/>
    <w:rsid w:val="001B1D9D"/>
    <w:rsid w:val="001B1FB4"/>
    <w:rsid w:val="001B214A"/>
    <w:rsid w:val="001B2FCB"/>
    <w:rsid w:val="001B3D7B"/>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63D"/>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8E0"/>
    <w:rsid w:val="001D7B32"/>
    <w:rsid w:val="001E00EB"/>
    <w:rsid w:val="001E0714"/>
    <w:rsid w:val="001E0B57"/>
    <w:rsid w:val="001E0E99"/>
    <w:rsid w:val="001E1A4D"/>
    <w:rsid w:val="001E1B35"/>
    <w:rsid w:val="001E3038"/>
    <w:rsid w:val="001E3593"/>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94B"/>
    <w:rsid w:val="001F3BDF"/>
    <w:rsid w:val="001F46A0"/>
    <w:rsid w:val="001F46F6"/>
    <w:rsid w:val="001F477C"/>
    <w:rsid w:val="001F561A"/>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83D"/>
    <w:rsid w:val="0022499C"/>
    <w:rsid w:val="00224B6C"/>
    <w:rsid w:val="00224FF9"/>
    <w:rsid w:val="002255B7"/>
    <w:rsid w:val="00225BF4"/>
    <w:rsid w:val="00225E3B"/>
    <w:rsid w:val="002261DC"/>
    <w:rsid w:val="002263AA"/>
    <w:rsid w:val="002266DC"/>
    <w:rsid w:val="0022697F"/>
    <w:rsid w:val="00226AF5"/>
    <w:rsid w:val="00226B4E"/>
    <w:rsid w:val="00226E76"/>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DEA"/>
    <w:rsid w:val="00247DFC"/>
    <w:rsid w:val="0025012F"/>
    <w:rsid w:val="0025022A"/>
    <w:rsid w:val="00250266"/>
    <w:rsid w:val="00250854"/>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EC4"/>
    <w:rsid w:val="00293F3E"/>
    <w:rsid w:val="002952E2"/>
    <w:rsid w:val="00295352"/>
    <w:rsid w:val="0029573B"/>
    <w:rsid w:val="002959FF"/>
    <w:rsid w:val="00295C05"/>
    <w:rsid w:val="00295D94"/>
    <w:rsid w:val="002962CA"/>
    <w:rsid w:val="002A027E"/>
    <w:rsid w:val="002A07A2"/>
    <w:rsid w:val="002A17DD"/>
    <w:rsid w:val="002A35D0"/>
    <w:rsid w:val="002A3934"/>
    <w:rsid w:val="002A4AE4"/>
    <w:rsid w:val="002A622A"/>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7C0"/>
    <w:rsid w:val="002B689A"/>
    <w:rsid w:val="002B7017"/>
    <w:rsid w:val="002B717E"/>
    <w:rsid w:val="002B7217"/>
    <w:rsid w:val="002B7766"/>
    <w:rsid w:val="002C0476"/>
    <w:rsid w:val="002C05AE"/>
    <w:rsid w:val="002C0977"/>
    <w:rsid w:val="002C22B5"/>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CF3"/>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6E47"/>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412"/>
    <w:rsid w:val="003357CF"/>
    <w:rsid w:val="00335FD4"/>
    <w:rsid w:val="00336386"/>
    <w:rsid w:val="00336837"/>
    <w:rsid w:val="00336954"/>
    <w:rsid w:val="003369BB"/>
    <w:rsid w:val="00336B99"/>
    <w:rsid w:val="0033706F"/>
    <w:rsid w:val="003371C6"/>
    <w:rsid w:val="00337830"/>
    <w:rsid w:val="003406B4"/>
    <w:rsid w:val="00340908"/>
    <w:rsid w:val="00340A6B"/>
    <w:rsid w:val="00340FC5"/>
    <w:rsid w:val="003410F1"/>
    <w:rsid w:val="00341115"/>
    <w:rsid w:val="00341FD2"/>
    <w:rsid w:val="00342A3B"/>
    <w:rsid w:val="00342DAE"/>
    <w:rsid w:val="00342E6E"/>
    <w:rsid w:val="003432BE"/>
    <w:rsid w:val="00343595"/>
    <w:rsid w:val="003436A3"/>
    <w:rsid w:val="003452B6"/>
    <w:rsid w:val="003458B4"/>
    <w:rsid w:val="003460E3"/>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35C1"/>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1D0F"/>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C4"/>
    <w:rsid w:val="003B283F"/>
    <w:rsid w:val="003B3117"/>
    <w:rsid w:val="003B421A"/>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EC2"/>
    <w:rsid w:val="003E4F0B"/>
    <w:rsid w:val="003E576C"/>
    <w:rsid w:val="003E5E42"/>
    <w:rsid w:val="003E63F2"/>
    <w:rsid w:val="003E657F"/>
    <w:rsid w:val="003E6759"/>
    <w:rsid w:val="003E69F6"/>
    <w:rsid w:val="003E6C2A"/>
    <w:rsid w:val="003E71D0"/>
    <w:rsid w:val="003E77C4"/>
    <w:rsid w:val="003E7C9E"/>
    <w:rsid w:val="003E7F9C"/>
    <w:rsid w:val="003F0800"/>
    <w:rsid w:val="003F0EBD"/>
    <w:rsid w:val="003F1406"/>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40062A"/>
    <w:rsid w:val="00400B66"/>
    <w:rsid w:val="004012D7"/>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58F"/>
    <w:rsid w:val="0041669D"/>
    <w:rsid w:val="0041681C"/>
    <w:rsid w:val="00416961"/>
    <w:rsid w:val="00416AC5"/>
    <w:rsid w:val="00417337"/>
    <w:rsid w:val="004201F7"/>
    <w:rsid w:val="004213BC"/>
    <w:rsid w:val="00421E1E"/>
    <w:rsid w:val="00421EAB"/>
    <w:rsid w:val="00422118"/>
    <w:rsid w:val="0042359A"/>
    <w:rsid w:val="00423EC7"/>
    <w:rsid w:val="00424F14"/>
    <w:rsid w:val="00425EC2"/>
    <w:rsid w:val="00426620"/>
    <w:rsid w:val="00426E17"/>
    <w:rsid w:val="0042735E"/>
    <w:rsid w:val="00427BCC"/>
    <w:rsid w:val="00427FF3"/>
    <w:rsid w:val="004318BE"/>
    <w:rsid w:val="004318E1"/>
    <w:rsid w:val="00431E67"/>
    <w:rsid w:val="00432259"/>
    <w:rsid w:val="004337DF"/>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06A"/>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4D0A"/>
    <w:rsid w:val="004863CD"/>
    <w:rsid w:val="004865D5"/>
    <w:rsid w:val="00486862"/>
    <w:rsid w:val="00486B79"/>
    <w:rsid w:val="00486D5B"/>
    <w:rsid w:val="00487A1F"/>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B7E5A"/>
    <w:rsid w:val="004C04D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E03FF"/>
    <w:rsid w:val="004E04CB"/>
    <w:rsid w:val="004E118E"/>
    <w:rsid w:val="004E131C"/>
    <w:rsid w:val="004E13D1"/>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1087"/>
    <w:rsid w:val="00501FA3"/>
    <w:rsid w:val="00502456"/>
    <w:rsid w:val="00502C07"/>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5DD"/>
    <w:rsid w:val="00512908"/>
    <w:rsid w:val="0051371E"/>
    <w:rsid w:val="0051382D"/>
    <w:rsid w:val="00514BA5"/>
    <w:rsid w:val="00514D26"/>
    <w:rsid w:val="00515CA9"/>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23"/>
    <w:rsid w:val="00534D3E"/>
    <w:rsid w:val="00535724"/>
    <w:rsid w:val="0053579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579A"/>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2B5"/>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0D55"/>
    <w:rsid w:val="005E133B"/>
    <w:rsid w:val="005E2C44"/>
    <w:rsid w:val="005E300B"/>
    <w:rsid w:val="005E3280"/>
    <w:rsid w:val="005E4CBB"/>
    <w:rsid w:val="005E50BD"/>
    <w:rsid w:val="005E57AC"/>
    <w:rsid w:val="005E5A4E"/>
    <w:rsid w:val="005E64D8"/>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12B9"/>
    <w:rsid w:val="00602547"/>
    <w:rsid w:val="00603D33"/>
    <w:rsid w:val="00604E6A"/>
    <w:rsid w:val="00604EAF"/>
    <w:rsid w:val="006050EC"/>
    <w:rsid w:val="006050F1"/>
    <w:rsid w:val="00605735"/>
    <w:rsid w:val="006062EA"/>
    <w:rsid w:val="00606F7E"/>
    <w:rsid w:val="00607113"/>
    <w:rsid w:val="0060743C"/>
    <w:rsid w:val="006079DE"/>
    <w:rsid w:val="00610758"/>
    <w:rsid w:val="0061083C"/>
    <w:rsid w:val="00610971"/>
    <w:rsid w:val="0061138D"/>
    <w:rsid w:val="006117E0"/>
    <w:rsid w:val="00611D7A"/>
    <w:rsid w:val="00614D3B"/>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4F4F"/>
    <w:rsid w:val="00625940"/>
    <w:rsid w:val="00625A8A"/>
    <w:rsid w:val="00625CEF"/>
    <w:rsid w:val="00625FB3"/>
    <w:rsid w:val="00626DE8"/>
    <w:rsid w:val="00626F42"/>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6EDC"/>
    <w:rsid w:val="006371D9"/>
    <w:rsid w:val="006407A8"/>
    <w:rsid w:val="006409C9"/>
    <w:rsid w:val="00641134"/>
    <w:rsid w:val="006418C7"/>
    <w:rsid w:val="00641C1D"/>
    <w:rsid w:val="00641CBE"/>
    <w:rsid w:val="006423CC"/>
    <w:rsid w:val="006428D6"/>
    <w:rsid w:val="006429F8"/>
    <w:rsid w:val="00642ED4"/>
    <w:rsid w:val="006438A5"/>
    <w:rsid w:val="006439F7"/>
    <w:rsid w:val="00643D70"/>
    <w:rsid w:val="00643D8F"/>
    <w:rsid w:val="00643FDE"/>
    <w:rsid w:val="0064476B"/>
    <w:rsid w:val="00644AD8"/>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ACB"/>
    <w:rsid w:val="00674CB0"/>
    <w:rsid w:val="00676348"/>
    <w:rsid w:val="006765FF"/>
    <w:rsid w:val="00677958"/>
    <w:rsid w:val="00680232"/>
    <w:rsid w:val="00680BCC"/>
    <w:rsid w:val="00680D4A"/>
    <w:rsid w:val="00681497"/>
    <w:rsid w:val="00681942"/>
    <w:rsid w:val="00682B5C"/>
    <w:rsid w:val="00683590"/>
    <w:rsid w:val="00683A98"/>
    <w:rsid w:val="00683B19"/>
    <w:rsid w:val="00683D90"/>
    <w:rsid w:val="00683E2C"/>
    <w:rsid w:val="0068422A"/>
    <w:rsid w:val="006848AD"/>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3FD"/>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2A0"/>
    <w:rsid w:val="006B0831"/>
    <w:rsid w:val="006B1579"/>
    <w:rsid w:val="006B178C"/>
    <w:rsid w:val="006B1988"/>
    <w:rsid w:val="006B1CA7"/>
    <w:rsid w:val="006B1CD8"/>
    <w:rsid w:val="006B269E"/>
    <w:rsid w:val="006B2863"/>
    <w:rsid w:val="006B2F6F"/>
    <w:rsid w:val="006B33FE"/>
    <w:rsid w:val="006B3DE3"/>
    <w:rsid w:val="006B4EF4"/>
    <w:rsid w:val="006B5246"/>
    <w:rsid w:val="006B54BE"/>
    <w:rsid w:val="006B595B"/>
    <w:rsid w:val="006B6186"/>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0C1"/>
    <w:rsid w:val="006E5343"/>
    <w:rsid w:val="006E59BA"/>
    <w:rsid w:val="006E7512"/>
    <w:rsid w:val="006F0769"/>
    <w:rsid w:val="006F14B7"/>
    <w:rsid w:val="006F1D76"/>
    <w:rsid w:val="006F2236"/>
    <w:rsid w:val="006F495F"/>
    <w:rsid w:val="006F4DAF"/>
    <w:rsid w:val="006F575C"/>
    <w:rsid w:val="006F599A"/>
    <w:rsid w:val="006F6366"/>
    <w:rsid w:val="006F6858"/>
    <w:rsid w:val="006F6A68"/>
    <w:rsid w:val="006F6EDB"/>
    <w:rsid w:val="006F6EF4"/>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1473"/>
    <w:rsid w:val="00711979"/>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F1"/>
    <w:rsid w:val="007250CB"/>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6E2"/>
    <w:rsid w:val="007359D7"/>
    <w:rsid w:val="00735ADE"/>
    <w:rsid w:val="00736307"/>
    <w:rsid w:val="007378BA"/>
    <w:rsid w:val="007400AC"/>
    <w:rsid w:val="00740716"/>
    <w:rsid w:val="00740781"/>
    <w:rsid w:val="00742213"/>
    <w:rsid w:val="0074273E"/>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4F2"/>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337"/>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2D2"/>
    <w:rsid w:val="00797510"/>
    <w:rsid w:val="00797804"/>
    <w:rsid w:val="00797921"/>
    <w:rsid w:val="00797B36"/>
    <w:rsid w:val="00797D98"/>
    <w:rsid w:val="007A0801"/>
    <w:rsid w:val="007A0AFA"/>
    <w:rsid w:val="007A0D2A"/>
    <w:rsid w:val="007A15DE"/>
    <w:rsid w:val="007A1FA7"/>
    <w:rsid w:val="007A3C50"/>
    <w:rsid w:val="007A3DEE"/>
    <w:rsid w:val="007A40C3"/>
    <w:rsid w:val="007A4999"/>
    <w:rsid w:val="007A4CD1"/>
    <w:rsid w:val="007A51FF"/>
    <w:rsid w:val="007A6C07"/>
    <w:rsid w:val="007A76A0"/>
    <w:rsid w:val="007A7CF5"/>
    <w:rsid w:val="007B02C2"/>
    <w:rsid w:val="007B0344"/>
    <w:rsid w:val="007B220E"/>
    <w:rsid w:val="007B3142"/>
    <w:rsid w:val="007B3DFE"/>
    <w:rsid w:val="007B43A5"/>
    <w:rsid w:val="007B446A"/>
    <w:rsid w:val="007B4696"/>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BBB"/>
    <w:rsid w:val="007E7D90"/>
    <w:rsid w:val="007E7FB5"/>
    <w:rsid w:val="007E7FB6"/>
    <w:rsid w:val="007F0071"/>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E74"/>
    <w:rsid w:val="007F516F"/>
    <w:rsid w:val="007F5F7C"/>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47B"/>
    <w:rsid w:val="0080452C"/>
    <w:rsid w:val="00804A7D"/>
    <w:rsid w:val="0080653B"/>
    <w:rsid w:val="0080661B"/>
    <w:rsid w:val="008069D9"/>
    <w:rsid w:val="00806C8E"/>
    <w:rsid w:val="00806CD9"/>
    <w:rsid w:val="00807008"/>
    <w:rsid w:val="008070FD"/>
    <w:rsid w:val="00807633"/>
    <w:rsid w:val="00807E69"/>
    <w:rsid w:val="00810253"/>
    <w:rsid w:val="0081051F"/>
    <w:rsid w:val="00811EB2"/>
    <w:rsid w:val="008120B5"/>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0FF3"/>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758"/>
    <w:rsid w:val="00841840"/>
    <w:rsid w:val="008421D3"/>
    <w:rsid w:val="00842F5B"/>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513D"/>
    <w:rsid w:val="008653BE"/>
    <w:rsid w:val="00866388"/>
    <w:rsid w:val="008677D5"/>
    <w:rsid w:val="0086790E"/>
    <w:rsid w:val="00867F54"/>
    <w:rsid w:val="00870CD4"/>
    <w:rsid w:val="0087136D"/>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77C07"/>
    <w:rsid w:val="008809A6"/>
    <w:rsid w:val="0088193D"/>
    <w:rsid w:val="00881BC8"/>
    <w:rsid w:val="008827DB"/>
    <w:rsid w:val="00882AD4"/>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651A"/>
    <w:rsid w:val="00896A58"/>
    <w:rsid w:val="008972A8"/>
    <w:rsid w:val="00897872"/>
    <w:rsid w:val="00897E6D"/>
    <w:rsid w:val="008A0411"/>
    <w:rsid w:val="008A07B6"/>
    <w:rsid w:val="008A13C1"/>
    <w:rsid w:val="008A2834"/>
    <w:rsid w:val="008A4B74"/>
    <w:rsid w:val="008A4C0E"/>
    <w:rsid w:val="008A5226"/>
    <w:rsid w:val="008A578E"/>
    <w:rsid w:val="008A5817"/>
    <w:rsid w:val="008A58C6"/>
    <w:rsid w:val="008A5D34"/>
    <w:rsid w:val="008A5D42"/>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4A73"/>
    <w:rsid w:val="008B53D1"/>
    <w:rsid w:val="008B5737"/>
    <w:rsid w:val="008B6622"/>
    <w:rsid w:val="008B6722"/>
    <w:rsid w:val="008B702B"/>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418"/>
    <w:rsid w:val="008D2C81"/>
    <w:rsid w:val="008D4DFE"/>
    <w:rsid w:val="008D4F05"/>
    <w:rsid w:val="008D4F28"/>
    <w:rsid w:val="008D53C0"/>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5D7D"/>
    <w:rsid w:val="00916611"/>
    <w:rsid w:val="009168A5"/>
    <w:rsid w:val="009173E2"/>
    <w:rsid w:val="00917442"/>
    <w:rsid w:val="0091792E"/>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3D96"/>
    <w:rsid w:val="009341A9"/>
    <w:rsid w:val="009345CA"/>
    <w:rsid w:val="00934889"/>
    <w:rsid w:val="00935166"/>
    <w:rsid w:val="0093542F"/>
    <w:rsid w:val="00935487"/>
    <w:rsid w:val="0093654F"/>
    <w:rsid w:val="0093757B"/>
    <w:rsid w:val="00937D07"/>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6D71"/>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4DEA"/>
    <w:rsid w:val="00965322"/>
    <w:rsid w:val="009663B3"/>
    <w:rsid w:val="009667F8"/>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4C66"/>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227"/>
    <w:rsid w:val="0099570D"/>
    <w:rsid w:val="00995866"/>
    <w:rsid w:val="00997584"/>
    <w:rsid w:val="0099787A"/>
    <w:rsid w:val="00997E28"/>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0721"/>
    <w:rsid w:val="009B1E6F"/>
    <w:rsid w:val="009B2BFE"/>
    <w:rsid w:val="009B2C80"/>
    <w:rsid w:val="009B3102"/>
    <w:rsid w:val="009B3419"/>
    <w:rsid w:val="009B350B"/>
    <w:rsid w:val="009B3D69"/>
    <w:rsid w:val="009B431B"/>
    <w:rsid w:val="009B468E"/>
    <w:rsid w:val="009B46E9"/>
    <w:rsid w:val="009B4CD2"/>
    <w:rsid w:val="009B5126"/>
    <w:rsid w:val="009B5128"/>
    <w:rsid w:val="009B6FA1"/>
    <w:rsid w:val="009B7055"/>
    <w:rsid w:val="009C044A"/>
    <w:rsid w:val="009C1153"/>
    <w:rsid w:val="009C1477"/>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B9F"/>
    <w:rsid w:val="00A00EE3"/>
    <w:rsid w:val="00A015FC"/>
    <w:rsid w:val="00A016DA"/>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1B43"/>
    <w:rsid w:val="00A21FB9"/>
    <w:rsid w:val="00A22381"/>
    <w:rsid w:val="00A22C10"/>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5732B"/>
    <w:rsid w:val="00A57772"/>
    <w:rsid w:val="00A61D78"/>
    <w:rsid w:val="00A62B37"/>
    <w:rsid w:val="00A632EB"/>
    <w:rsid w:val="00A638C7"/>
    <w:rsid w:val="00A63C72"/>
    <w:rsid w:val="00A6445D"/>
    <w:rsid w:val="00A64F6B"/>
    <w:rsid w:val="00A6501E"/>
    <w:rsid w:val="00A6561A"/>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139"/>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B7D"/>
    <w:rsid w:val="00AB7229"/>
    <w:rsid w:val="00AB7423"/>
    <w:rsid w:val="00AB7484"/>
    <w:rsid w:val="00AB7F40"/>
    <w:rsid w:val="00AC006D"/>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624"/>
    <w:rsid w:val="00AD0870"/>
    <w:rsid w:val="00AD0BA2"/>
    <w:rsid w:val="00AD13E2"/>
    <w:rsid w:val="00AD1841"/>
    <w:rsid w:val="00AD3119"/>
    <w:rsid w:val="00AD32D1"/>
    <w:rsid w:val="00AD3B6A"/>
    <w:rsid w:val="00AD4239"/>
    <w:rsid w:val="00AD45A8"/>
    <w:rsid w:val="00AD482F"/>
    <w:rsid w:val="00AD4ACF"/>
    <w:rsid w:val="00AD530D"/>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3AEB"/>
    <w:rsid w:val="00B347E8"/>
    <w:rsid w:val="00B348E8"/>
    <w:rsid w:val="00B34A43"/>
    <w:rsid w:val="00B34FB1"/>
    <w:rsid w:val="00B35358"/>
    <w:rsid w:val="00B35CC0"/>
    <w:rsid w:val="00B35E06"/>
    <w:rsid w:val="00B366FA"/>
    <w:rsid w:val="00B36878"/>
    <w:rsid w:val="00B371F0"/>
    <w:rsid w:val="00B403EF"/>
    <w:rsid w:val="00B405A0"/>
    <w:rsid w:val="00B40F1F"/>
    <w:rsid w:val="00B40F3D"/>
    <w:rsid w:val="00B41217"/>
    <w:rsid w:val="00B4202C"/>
    <w:rsid w:val="00B4241B"/>
    <w:rsid w:val="00B429D2"/>
    <w:rsid w:val="00B42AFD"/>
    <w:rsid w:val="00B42D10"/>
    <w:rsid w:val="00B431AC"/>
    <w:rsid w:val="00B43FE4"/>
    <w:rsid w:val="00B44656"/>
    <w:rsid w:val="00B45A16"/>
    <w:rsid w:val="00B463C9"/>
    <w:rsid w:val="00B46F99"/>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878D6"/>
    <w:rsid w:val="00B9081F"/>
    <w:rsid w:val="00B90FD9"/>
    <w:rsid w:val="00B92B53"/>
    <w:rsid w:val="00B93152"/>
    <w:rsid w:val="00B93489"/>
    <w:rsid w:val="00B93B3A"/>
    <w:rsid w:val="00B93D8B"/>
    <w:rsid w:val="00B95042"/>
    <w:rsid w:val="00B95724"/>
    <w:rsid w:val="00B9584F"/>
    <w:rsid w:val="00B95D06"/>
    <w:rsid w:val="00B961D3"/>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A774E"/>
    <w:rsid w:val="00BB121E"/>
    <w:rsid w:val="00BB3825"/>
    <w:rsid w:val="00BB399B"/>
    <w:rsid w:val="00BB4CBA"/>
    <w:rsid w:val="00BB5444"/>
    <w:rsid w:val="00BB5613"/>
    <w:rsid w:val="00BB587D"/>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669"/>
    <w:rsid w:val="00BD279D"/>
    <w:rsid w:val="00BD2888"/>
    <w:rsid w:val="00BD36FB"/>
    <w:rsid w:val="00BD37FB"/>
    <w:rsid w:val="00BD3A62"/>
    <w:rsid w:val="00BD47F5"/>
    <w:rsid w:val="00BD4A1F"/>
    <w:rsid w:val="00BD58D2"/>
    <w:rsid w:val="00BD5AE8"/>
    <w:rsid w:val="00BD5E3C"/>
    <w:rsid w:val="00BD5E51"/>
    <w:rsid w:val="00BD64F8"/>
    <w:rsid w:val="00BD66B1"/>
    <w:rsid w:val="00BD73E1"/>
    <w:rsid w:val="00BE0345"/>
    <w:rsid w:val="00BE0FD3"/>
    <w:rsid w:val="00BE1993"/>
    <w:rsid w:val="00BE2DAB"/>
    <w:rsid w:val="00BE33C0"/>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2DCD"/>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39"/>
    <w:rsid w:val="00C2448E"/>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4D3"/>
    <w:rsid w:val="00C4771E"/>
    <w:rsid w:val="00C47D31"/>
    <w:rsid w:val="00C47F2E"/>
    <w:rsid w:val="00C5040C"/>
    <w:rsid w:val="00C512B0"/>
    <w:rsid w:val="00C52323"/>
    <w:rsid w:val="00C52735"/>
    <w:rsid w:val="00C52CA4"/>
    <w:rsid w:val="00C5442E"/>
    <w:rsid w:val="00C54BEB"/>
    <w:rsid w:val="00C5571D"/>
    <w:rsid w:val="00C55D04"/>
    <w:rsid w:val="00C55F63"/>
    <w:rsid w:val="00C5650E"/>
    <w:rsid w:val="00C56631"/>
    <w:rsid w:val="00C56A9B"/>
    <w:rsid w:val="00C57609"/>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DC"/>
    <w:rsid w:val="00C67440"/>
    <w:rsid w:val="00C67668"/>
    <w:rsid w:val="00C67B92"/>
    <w:rsid w:val="00C709D4"/>
    <w:rsid w:val="00C716CA"/>
    <w:rsid w:val="00C72765"/>
    <w:rsid w:val="00C727DB"/>
    <w:rsid w:val="00C7324F"/>
    <w:rsid w:val="00C73295"/>
    <w:rsid w:val="00C73371"/>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C8A"/>
    <w:rsid w:val="00C82FD1"/>
    <w:rsid w:val="00C83013"/>
    <w:rsid w:val="00C83046"/>
    <w:rsid w:val="00C8339C"/>
    <w:rsid w:val="00C83E58"/>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1E6"/>
    <w:rsid w:val="00CA4571"/>
    <w:rsid w:val="00CA50A6"/>
    <w:rsid w:val="00CA5422"/>
    <w:rsid w:val="00CA5A8D"/>
    <w:rsid w:val="00CA5B4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D34"/>
    <w:rsid w:val="00D206CE"/>
    <w:rsid w:val="00D20A32"/>
    <w:rsid w:val="00D20F76"/>
    <w:rsid w:val="00D2143C"/>
    <w:rsid w:val="00D22009"/>
    <w:rsid w:val="00D233A3"/>
    <w:rsid w:val="00D2389D"/>
    <w:rsid w:val="00D23A42"/>
    <w:rsid w:val="00D2406A"/>
    <w:rsid w:val="00D2451C"/>
    <w:rsid w:val="00D24B5B"/>
    <w:rsid w:val="00D25335"/>
    <w:rsid w:val="00D25C6F"/>
    <w:rsid w:val="00D2660D"/>
    <w:rsid w:val="00D26662"/>
    <w:rsid w:val="00D266DB"/>
    <w:rsid w:val="00D27B86"/>
    <w:rsid w:val="00D27DEC"/>
    <w:rsid w:val="00D3018A"/>
    <w:rsid w:val="00D302D5"/>
    <w:rsid w:val="00D306D4"/>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6D2"/>
    <w:rsid w:val="00D458D1"/>
    <w:rsid w:val="00D45CC1"/>
    <w:rsid w:val="00D46C93"/>
    <w:rsid w:val="00D47B5E"/>
    <w:rsid w:val="00D500FB"/>
    <w:rsid w:val="00D5023D"/>
    <w:rsid w:val="00D504D2"/>
    <w:rsid w:val="00D507C5"/>
    <w:rsid w:val="00D50D06"/>
    <w:rsid w:val="00D513AD"/>
    <w:rsid w:val="00D5194A"/>
    <w:rsid w:val="00D51DA3"/>
    <w:rsid w:val="00D52236"/>
    <w:rsid w:val="00D5234E"/>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847"/>
    <w:rsid w:val="00D61CFF"/>
    <w:rsid w:val="00D61DC2"/>
    <w:rsid w:val="00D61E64"/>
    <w:rsid w:val="00D61E6A"/>
    <w:rsid w:val="00D6360C"/>
    <w:rsid w:val="00D6378B"/>
    <w:rsid w:val="00D63968"/>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CB8"/>
    <w:rsid w:val="00D76E28"/>
    <w:rsid w:val="00D775A4"/>
    <w:rsid w:val="00D77A26"/>
    <w:rsid w:val="00D80136"/>
    <w:rsid w:val="00D80C65"/>
    <w:rsid w:val="00D816BE"/>
    <w:rsid w:val="00D82813"/>
    <w:rsid w:val="00D8342A"/>
    <w:rsid w:val="00D844B2"/>
    <w:rsid w:val="00D8495E"/>
    <w:rsid w:val="00D850C7"/>
    <w:rsid w:val="00D85B8A"/>
    <w:rsid w:val="00D86938"/>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126"/>
    <w:rsid w:val="00DA05AE"/>
    <w:rsid w:val="00DA1222"/>
    <w:rsid w:val="00DA159C"/>
    <w:rsid w:val="00DA32E6"/>
    <w:rsid w:val="00DA32F7"/>
    <w:rsid w:val="00DA3F28"/>
    <w:rsid w:val="00DA4921"/>
    <w:rsid w:val="00DA4C0D"/>
    <w:rsid w:val="00DA4E30"/>
    <w:rsid w:val="00DA5372"/>
    <w:rsid w:val="00DA598F"/>
    <w:rsid w:val="00DA6E41"/>
    <w:rsid w:val="00DA7080"/>
    <w:rsid w:val="00DA7113"/>
    <w:rsid w:val="00DA77E7"/>
    <w:rsid w:val="00DA7B9F"/>
    <w:rsid w:val="00DA7DB4"/>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039"/>
    <w:rsid w:val="00DC24F0"/>
    <w:rsid w:val="00DC2BAE"/>
    <w:rsid w:val="00DC2DDF"/>
    <w:rsid w:val="00DC2ED1"/>
    <w:rsid w:val="00DC306B"/>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A06"/>
    <w:rsid w:val="00DD0B00"/>
    <w:rsid w:val="00DD12AC"/>
    <w:rsid w:val="00DD13C4"/>
    <w:rsid w:val="00DD17B8"/>
    <w:rsid w:val="00DD32E4"/>
    <w:rsid w:val="00DD350D"/>
    <w:rsid w:val="00DD383E"/>
    <w:rsid w:val="00DD3B19"/>
    <w:rsid w:val="00DD3EB8"/>
    <w:rsid w:val="00DD3F87"/>
    <w:rsid w:val="00DD4216"/>
    <w:rsid w:val="00DD4269"/>
    <w:rsid w:val="00DD4651"/>
    <w:rsid w:val="00DD4966"/>
    <w:rsid w:val="00DD4CA0"/>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5EF0"/>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0C89"/>
    <w:rsid w:val="00E413B8"/>
    <w:rsid w:val="00E41CD1"/>
    <w:rsid w:val="00E42A67"/>
    <w:rsid w:val="00E42AC9"/>
    <w:rsid w:val="00E4336E"/>
    <w:rsid w:val="00E43714"/>
    <w:rsid w:val="00E4440F"/>
    <w:rsid w:val="00E44523"/>
    <w:rsid w:val="00E454D5"/>
    <w:rsid w:val="00E4572C"/>
    <w:rsid w:val="00E47690"/>
    <w:rsid w:val="00E479A3"/>
    <w:rsid w:val="00E47DA6"/>
    <w:rsid w:val="00E47EEB"/>
    <w:rsid w:val="00E5080D"/>
    <w:rsid w:val="00E5107E"/>
    <w:rsid w:val="00E51340"/>
    <w:rsid w:val="00E513E4"/>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2413"/>
    <w:rsid w:val="00E625E0"/>
    <w:rsid w:val="00E6335B"/>
    <w:rsid w:val="00E63420"/>
    <w:rsid w:val="00E63D9C"/>
    <w:rsid w:val="00E63EA3"/>
    <w:rsid w:val="00E63FF0"/>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72AF"/>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74E7"/>
    <w:rsid w:val="00EF7639"/>
    <w:rsid w:val="00EF7EF4"/>
    <w:rsid w:val="00F0018C"/>
    <w:rsid w:val="00F008A4"/>
    <w:rsid w:val="00F00AA8"/>
    <w:rsid w:val="00F01D0B"/>
    <w:rsid w:val="00F020C7"/>
    <w:rsid w:val="00F02C08"/>
    <w:rsid w:val="00F032E5"/>
    <w:rsid w:val="00F0370B"/>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F18"/>
    <w:rsid w:val="00F20FB7"/>
    <w:rsid w:val="00F215A3"/>
    <w:rsid w:val="00F21949"/>
    <w:rsid w:val="00F22A52"/>
    <w:rsid w:val="00F232D9"/>
    <w:rsid w:val="00F236D4"/>
    <w:rsid w:val="00F23AF6"/>
    <w:rsid w:val="00F23E92"/>
    <w:rsid w:val="00F2401C"/>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5849"/>
    <w:rsid w:val="00F475D5"/>
    <w:rsid w:val="00F476A5"/>
    <w:rsid w:val="00F47A89"/>
    <w:rsid w:val="00F47C0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DC5"/>
    <w:rsid w:val="00F56E19"/>
    <w:rsid w:val="00F57005"/>
    <w:rsid w:val="00F574EE"/>
    <w:rsid w:val="00F600FF"/>
    <w:rsid w:val="00F601F4"/>
    <w:rsid w:val="00F60934"/>
    <w:rsid w:val="00F6109B"/>
    <w:rsid w:val="00F61B0C"/>
    <w:rsid w:val="00F61EB6"/>
    <w:rsid w:val="00F6254C"/>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93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6C8A"/>
    <w:rsid w:val="00FB71AD"/>
    <w:rsid w:val="00FB7E5A"/>
    <w:rsid w:val="00FB7F73"/>
    <w:rsid w:val="00FC04FE"/>
    <w:rsid w:val="00FC09B6"/>
    <w:rsid w:val="00FC1424"/>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D62DD"/>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2C80"/>
    <w:pPr>
      <w:spacing w:after="180"/>
    </w:pPr>
    <w:rPr>
      <w:rFonts w:eastAsia="宋体"/>
      <w:lang w:val="en-GB" w:eastAsia="en-US"/>
    </w:rPr>
  </w:style>
  <w:style w:type="paragraph" w:styleId="1">
    <w:name w:val="heading 1"/>
    <w:aliases w:val="H1,h1"/>
    <w:next w:val="a1"/>
    <w:link w:val="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20">
    <w:name w:val="heading 2"/>
    <w:aliases w:val="Head2A,2,H2,h2"/>
    <w:basedOn w:val="1"/>
    <w:next w:val="a1"/>
    <w:link w:val="2Char"/>
    <w:qFormat/>
    <w:rsid w:val="00460DDF"/>
    <w:pPr>
      <w:numPr>
        <w:ilvl w:val="1"/>
        <w:numId w:val="2"/>
      </w:numPr>
      <w:pBdr>
        <w:top w:val="none" w:sz="0" w:space="0" w:color="auto"/>
      </w:pBdr>
      <w:spacing w:before="180"/>
      <w:outlineLvl w:val="1"/>
    </w:pPr>
    <w:rPr>
      <w:sz w:val="28"/>
    </w:rPr>
  </w:style>
  <w:style w:type="paragraph" w:styleId="3">
    <w:name w:val="heading 3"/>
    <w:aliases w:val="Underrubrik2,H3,h3,no break"/>
    <w:basedOn w:val="20"/>
    <w:next w:val="a1"/>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D25335"/>
    <w:pPr>
      <w:numPr>
        <w:ilvl w:val="3"/>
      </w:numPr>
      <w:outlineLvl w:val="3"/>
    </w:pPr>
    <w:rPr>
      <w:sz w:val="24"/>
    </w:rPr>
  </w:style>
  <w:style w:type="paragraph" w:styleId="5">
    <w:name w:val="heading 5"/>
    <w:aliases w:val="h5,Heading5"/>
    <w:basedOn w:val="41"/>
    <w:next w:val="a1"/>
    <w:link w:val="5Char"/>
    <w:qFormat/>
    <w:rsid w:val="0013204A"/>
    <w:pPr>
      <w:numPr>
        <w:ilvl w:val="0"/>
        <w:numId w:val="0"/>
      </w:numPr>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7"/>
    <w:next w:val="a1"/>
    <w:link w:val="8Char"/>
    <w:qFormat/>
    <w:pPr>
      <w:outlineLvl w:val="7"/>
    </w:pPr>
  </w:style>
  <w:style w:type="paragraph" w:styleId="9">
    <w:name w:val="heading 9"/>
    <w:basedOn w:val="8"/>
    <w:next w:val="a1"/>
    <w:link w:val="9Char"/>
    <w:qFormat/>
    <w:rsid w:val="00FC46CF"/>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qFormat/>
    <w:pPr>
      <w:ind w:left="284"/>
    </w:pPr>
  </w:style>
  <w:style w:type="paragraph" w:styleId="11">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h1 Char"/>
    <w:link w:val="1"/>
    <w:rsid w:val="00326166"/>
    <w:rPr>
      <w:rFonts w:ascii="Arial" w:hAnsi="Arial"/>
      <w:sz w:val="32"/>
      <w:lang w:val="en-GB" w:eastAsia="en-US" w:bidi="ar-SA"/>
    </w:rPr>
  </w:style>
  <w:style w:type="paragraph" w:customStyle="1" w:styleId="EmailDiscussion">
    <w:name w:val="EmailDiscussion"/>
    <w:basedOn w:val="a1"/>
    <w:next w:val="EmailDiscussion2"/>
    <w:link w:val="EmailDiscussionChar"/>
    <w:qFormat/>
    <w:rsid w:val="00B371F0"/>
    <w:pPr>
      <w:numPr>
        <w:numId w:val="28"/>
      </w:numPr>
      <w:spacing w:before="40" w:after="0"/>
    </w:pPr>
    <w:rPr>
      <w:rFonts w:ascii="Arial" w:eastAsia="MS Mincho" w:hAnsi="Arial"/>
      <w:b/>
      <w:szCs w:val="24"/>
      <w:lang w:eastAsia="en-GB"/>
    </w:rPr>
  </w:style>
  <w:style w:type="paragraph" w:styleId="a0">
    <w:name w:val="List Number"/>
    <w:basedOn w:val="a5"/>
    <w:rsid w:val="00141333"/>
    <w:pPr>
      <w:numPr>
        <w:numId w:val="5"/>
      </w:numPr>
    </w:pPr>
  </w:style>
  <w:style w:type="paragraph" w:styleId="a5">
    <w:name w:val="List"/>
    <w:basedOn w:val="a1"/>
    <w:link w:val="Char"/>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7">
    <w:name w:val="footnote reference"/>
    <w:rPr>
      <w:rFonts w:eastAsia="宋体"/>
      <w:b/>
      <w:position w:val="6"/>
      <w:sz w:val="16"/>
      <w:lang w:val="en-US" w:eastAsia="zh-CN" w:bidi="ar-SA"/>
    </w:rPr>
  </w:style>
  <w:style w:type="paragraph" w:styleId="a8">
    <w:name w:val="footnote text"/>
    <w:basedOn w:val="a1"/>
    <w:link w:val="Char1"/>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2">
    <w:name w:val="编号2"/>
    <w:basedOn w:val="a1"/>
    <w:rsid w:val="009D69DE"/>
    <w:pPr>
      <w:numPr>
        <w:numId w:val="8"/>
      </w:numPr>
      <w:tabs>
        <w:tab w:val="num" w:pos="704"/>
      </w:tabs>
      <w:ind w:left="704" w:hanging="420"/>
    </w:pPr>
    <w:rPr>
      <w:lang w:eastAsia="zh-CN"/>
    </w:rPr>
  </w:style>
  <w:style w:type="paragraph" w:styleId="a9">
    <w:name w:val="List Bullet"/>
    <w:basedOn w:val="a5"/>
    <w:rsid w:val="00D8495E"/>
    <w:pPr>
      <w:ind w:left="0" w:firstLine="0"/>
    </w:pPr>
  </w:style>
  <w:style w:type="paragraph" w:customStyle="1" w:styleId="Reference">
    <w:name w:val="Reference"/>
    <w:basedOn w:val="a1"/>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3">
    <w:name w:val="List 2"/>
    <w:basedOn w:val="a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宋体"/>
      <w:color w:val="FF0000"/>
      <w:lang w:val="en-GB" w:eastAsia="en-US" w:bidi="ar-SA"/>
    </w:rPr>
  </w:style>
  <w:style w:type="paragraph" w:styleId="40">
    <w:name w:val="List Bullet 4"/>
    <w:basedOn w:val="a1"/>
    <w:rsid w:val="00D8495E"/>
    <w:pPr>
      <w:numPr>
        <w:numId w:val="7"/>
      </w:numPr>
      <w:tabs>
        <w:tab w:val="num" w:pos="1600"/>
      </w:tabs>
      <w:ind w:left="1543"/>
    </w:pPr>
  </w:style>
  <w:style w:type="character" w:customStyle="1" w:styleId="aa">
    <w:name w:val="样式 宋体 蓝色"/>
    <w:rsid w:val="009421CA"/>
    <w:rPr>
      <w:rFonts w:ascii="Times New Roman" w:eastAsia="宋体" w:hAnsi="Times New Roman"/>
      <w:color w:val="0000FF"/>
      <w:lang w:val="en-US" w:eastAsia="zh-CN" w:bidi="ar-SA"/>
    </w:rPr>
  </w:style>
  <w:style w:type="character" w:customStyle="1" w:styleId="EmailDiscussionChar">
    <w:name w:val="EmailDiscussion Char"/>
    <w:link w:val="EmailDiscussion"/>
    <w:qFormat/>
    <w:rsid w:val="00B371F0"/>
    <w:rPr>
      <w:rFonts w:ascii="Arial" w:hAnsi="Arial"/>
      <w:b/>
      <w:szCs w:val="24"/>
      <w:lang w:val="en-GB" w:eastAsia="en-GB"/>
    </w:rPr>
  </w:style>
  <w:style w:type="paragraph" w:customStyle="1" w:styleId="MSMincho">
    <w:name w:val="样式 列表 + (西文) MS Mincho"/>
    <w:basedOn w:val="a5"/>
    <w:link w:val="MSMinchoChar"/>
    <w:rsid w:val="00141333"/>
  </w:style>
  <w:style w:type="character" w:customStyle="1" w:styleId="Char">
    <w:name w:val="列表 Char"/>
    <w:link w:val="a5"/>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sid w:val="00415963"/>
    <w:rPr>
      <w:rFonts w:eastAsia="宋体"/>
      <w:lang w:val="en-GB" w:eastAsia="en-US" w:bidi="ar-SA"/>
    </w:rPr>
  </w:style>
  <w:style w:type="paragraph" w:customStyle="1" w:styleId="B5">
    <w:name w:val="B5"/>
    <w:basedOn w:val="51"/>
    <w:link w:val="B5Char"/>
    <w:qFormat/>
  </w:style>
  <w:style w:type="paragraph" w:styleId="ab">
    <w:name w:val="footer"/>
    <w:basedOn w:val="a6"/>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eastAsia="宋体"/>
      <w:color w:val="0000FF"/>
      <w:u w:val="single"/>
      <w:lang w:val="en-US" w:eastAsia="zh-CN" w:bidi="ar-SA"/>
    </w:rPr>
  </w:style>
  <w:style w:type="character" w:styleId="ad">
    <w:name w:val="annotation reference"/>
    <w:qFormat/>
    <w:rPr>
      <w:rFonts w:eastAsia="宋体"/>
      <w:sz w:val="16"/>
      <w:lang w:val="en-US" w:eastAsia="zh-CN" w:bidi="ar-SA"/>
    </w:rPr>
  </w:style>
  <w:style w:type="paragraph" w:styleId="ae">
    <w:name w:val="annotation text"/>
    <w:basedOn w:val="a1"/>
    <w:link w:val="Char3"/>
    <w:uiPriority w:val="99"/>
    <w:qFormat/>
  </w:style>
  <w:style w:type="character" w:styleId="af">
    <w:name w:val="FollowedHyperlink"/>
    <w:rPr>
      <w:rFonts w:eastAsia="宋体"/>
      <w:color w:val="800080"/>
      <w:u w:val="single"/>
      <w:lang w:val="en-US" w:eastAsia="zh-CN" w:bidi="ar-SA"/>
    </w:rPr>
  </w:style>
  <w:style w:type="paragraph" w:styleId="af0">
    <w:name w:val="Balloon Text"/>
    <w:basedOn w:val="a1"/>
    <w:link w:val="Char4"/>
    <w:semiHidden/>
    <w:qFormat/>
    <w:rPr>
      <w:rFonts w:ascii="Tahoma" w:hAnsi="Tahoma" w:cs="Tahoma"/>
      <w:sz w:val="16"/>
      <w:szCs w:val="16"/>
    </w:rPr>
  </w:style>
  <w:style w:type="paragraph" w:styleId="af1">
    <w:name w:val="annotation subject"/>
    <w:basedOn w:val="ae"/>
    <w:next w:val="ae"/>
    <w:link w:val="Char5"/>
    <w:qFormat/>
    <w:rPr>
      <w:b/>
      <w:bCs/>
    </w:rPr>
  </w:style>
  <w:style w:type="paragraph" w:styleId="af2">
    <w:name w:val="Document Map"/>
    <w:basedOn w:val="a1"/>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1"/>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3">
    <w:name w:val="Table Grid"/>
    <w:basedOn w:val="a3"/>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1"/>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body">
    <w:name w:val="body"/>
    <w:basedOn w:val="a1"/>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4">
    <w:name w:val="样式 图表标题 + (中文) 宋体"/>
    <w:basedOn w:val="af5"/>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1"/>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1"/>
    <w:rsid w:val="00144AA6"/>
    <w:pPr>
      <w:tabs>
        <w:tab w:val="center" w:pos="4820"/>
        <w:tab w:val="right" w:pos="9640"/>
      </w:tabs>
    </w:pPr>
    <w:rPr>
      <w:lang w:val="en-US"/>
    </w:rPr>
  </w:style>
  <w:style w:type="paragraph" w:customStyle="1" w:styleId="CharCharChar">
    <w:name w:val="Char Char Char"/>
    <w:basedOn w:val="a1"/>
    <w:semiHidden/>
    <w:rsid w:val="008525BE"/>
    <w:pPr>
      <w:spacing w:after="160" w:line="240" w:lineRule="exact"/>
    </w:pPr>
    <w:rPr>
      <w:rFonts w:ascii="Arial" w:hAnsi="Arial" w:cs="Arial"/>
      <w:color w:val="0000FF"/>
      <w:kern w:val="2"/>
      <w:lang w:val="en-US" w:eastAsia="zh-CN"/>
    </w:rPr>
  </w:style>
  <w:style w:type="paragraph" w:styleId="af6">
    <w:name w:val="caption"/>
    <w:basedOn w:val="a1"/>
    <w:next w:val="a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1"/>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5"/>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7">
    <w:name w:val="首标题"/>
    <w:rsid w:val="00491F4A"/>
    <w:rPr>
      <w:rFonts w:ascii="Arial" w:eastAsia="宋体" w:hAnsi="Arial"/>
      <w:sz w:val="24"/>
      <w:lang w:val="en-US" w:eastAsia="zh-CN" w:bidi="ar-SA"/>
    </w:rPr>
  </w:style>
  <w:style w:type="paragraph" w:customStyle="1" w:styleId="4">
    <w:name w:val="标题4"/>
    <w:basedOn w:val="a1"/>
    <w:rsid w:val="001D6F72"/>
    <w:pPr>
      <w:numPr>
        <w:numId w:val="1"/>
      </w:numPr>
    </w:pPr>
  </w:style>
  <w:style w:type="paragraph" w:customStyle="1" w:styleId="af5">
    <w:name w:val="图表标题"/>
    <w:basedOn w:val="a1"/>
    <w:next w:val="a1"/>
    <w:rsid w:val="00D76CB8"/>
    <w:pPr>
      <w:spacing w:before="60" w:after="60"/>
      <w:jc w:val="center"/>
    </w:pPr>
    <w:rPr>
      <w:rFonts w:ascii="Arial" w:eastAsia="Batang" w:hAnsi="Arial" w:cs="宋体"/>
    </w:rPr>
  </w:style>
  <w:style w:type="paragraph" w:customStyle="1" w:styleId="af8">
    <w:name w:val="插图题注"/>
    <w:basedOn w:val="a1"/>
    <w:rsid w:val="00D25335"/>
    <w:pPr>
      <w:numPr>
        <w:ilvl w:val="7"/>
        <w:numId w:val="2"/>
      </w:numPr>
    </w:pPr>
  </w:style>
  <w:style w:type="paragraph" w:customStyle="1" w:styleId="a">
    <w:name w:val="表格题注"/>
    <w:basedOn w:val="a1"/>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2">
    <w:name w:val="样式1"/>
    <w:basedOn w:val="a1"/>
    <w:rsid w:val="00AE6F49"/>
  </w:style>
  <w:style w:type="character" w:customStyle="1" w:styleId="2Char">
    <w:name w:val="标题 2 Char"/>
    <w:aliases w:val="Head2A Char,2 Char,H2 Char,h2 Char"/>
    <w:link w:val="20"/>
    <w:rsid w:val="00460DDF"/>
    <w:rPr>
      <w:rFonts w:ascii="Arial" w:hAnsi="Arial"/>
      <w:sz w:val="28"/>
      <w:lang w:val="en-GB" w:eastAsia="en-US"/>
    </w:rPr>
  </w:style>
  <w:style w:type="paragraph" w:customStyle="1" w:styleId="CharChar1CharCharCharChar1CharCharCharChar">
    <w:name w:val="Char Char1 Char Char Char Char1 Char Char Char Char"/>
    <w:basedOn w:val="a1"/>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2"/>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2"/>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1"/>
    <w:rsid w:val="004A29EE"/>
    <w:rPr>
      <w:i/>
      <w:color w:val="0000FF"/>
    </w:rPr>
  </w:style>
  <w:style w:type="paragraph" w:styleId="af9">
    <w:name w:val="Normal (Web)"/>
    <w:basedOn w:val="a1"/>
    <w:unhideWhenUsed/>
    <w:qFormat/>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1"/>
    <w:link w:val="Char6"/>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6">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3"/>
    <w:link w:val="B2Char"/>
    <w:qFormat/>
    <w:rsid w:val="00483DD0"/>
    <w:pPr>
      <w:overflowPunct w:val="0"/>
      <w:autoSpaceDE w:val="0"/>
      <w:autoSpaceDN w:val="0"/>
      <w:adjustRightInd w:val="0"/>
      <w:ind w:hanging="284"/>
      <w:textAlignment w:val="baseline"/>
    </w:pPr>
    <w:rPr>
      <w:lang w:val="x-none"/>
    </w:rPr>
  </w:style>
  <w:style w:type="paragraph" w:styleId="afb">
    <w:name w:val="Revision"/>
    <w:hidden/>
    <w:uiPriority w:val="99"/>
    <w:semiHidden/>
    <w:qFormat/>
    <w:rsid w:val="004C0CE1"/>
    <w:rPr>
      <w:rFonts w:eastAsia="宋体"/>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a1"/>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qFormat/>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
    <w:basedOn w:val="a1"/>
    <w:link w:val="Char7"/>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1"/>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
    <w:qFormat/>
    <w:locked/>
    <w:rsid w:val="002C0476"/>
    <w:rPr>
      <w:rFonts w:eastAsia="宋体"/>
      <w:lang w:eastAsia="en-US"/>
    </w:rPr>
  </w:style>
  <w:style w:type="paragraph" w:styleId="afe">
    <w:name w:val="Plain Text"/>
    <w:basedOn w:val="a1"/>
    <w:link w:val="Char8"/>
    <w:uiPriority w:val="99"/>
    <w:unhideWhenUsed/>
    <w:rsid w:val="00F07EB5"/>
    <w:pPr>
      <w:spacing w:after="0"/>
    </w:pPr>
    <w:rPr>
      <w:rFonts w:ascii="Calibri" w:hAnsi="Calibri"/>
      <w:sz w:val="22"/>
      <w:szCs w:val="21"/>
      <w:lang w:val="en-US" w:eastAsia="zh-CN"/>
    </w:rPr>
  </w:style>
  <w:style w:type="character" w:customStyle="1" w:styleId="Char8">
    <w:name w:val="纯文本 Char"/>
    <w:link w:val="afe"/>
    <w:uiPriority w:val="99"/>
    <w:rsid w:val="00F07EB5"/>
    <w:rPr>
      <w:rFonts w:ascii="Calibri" w:eastAsia="宋体" w:hAnsi="Calibri"/>
      <w:sz w:val="22"/>
      <w:szCs w:val="21"/>
      <w:lang w:val="en-US" w:eastAsia="zh-CN" w:bidi="ar-SA"/>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a1"/>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1"/>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a1"/>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宋体"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rsid w:val="00DB1223"/>
  </w:style>
  <w:style w:type="character" w:customStyle="1" w:styleId="UnresolvedMention">
    <w:name w:val="Unresolved Mention"/>
    <w:uiPriority w:val="99"/>
    <w:semiHidden/>
    <w:unhideWhenUsed/>
    <w:rsid w:val="005D5B5A"/>
    <w:rPr>
      <w:rFonts w:eastAsia="宋体"/>
      <w:color w:val="808080"/>
      <w:shd w:val="clear" w:color="auto" w:fill="E6E6E6"/>
      <w:lang w:val="en-US" w:eastAsia="zh-CN" w:bidi="ar-SA"/>
    </w:rPr>
  </w:style>
  <w:style w:type="character" w:customStyle="1" w:styleId="Char7">
    <w:name w:val="列出段落 Char"/>
    <w:aliases w:val="- Bullets Char,リスト段落 Char,?? ?? Char,????? Char,???? Char,Lista1 Char,列出段落1 Char,中等深浅网格 1 - 着色 21 Char,목록 단락 Char,¥¡¡¡¡ì¬º¥¹¥È¶ÎÂä Char,ÁÐ³ö¶ÎÂä Char,列表段落1 Char,—ño’i—Ž Char,¥ê¥¹¥È¶ÎÂä Char,1st level - Bullet List Paragraph Char,목록단락 Char"/>
    <w:link w:val="afd"/>
    <w:uiPriority w:val="34"/>
    <w:qFormat/>
    <w:rsid w:val="00426E17"/>
    <w:rPr>
      <w:rFonts w:ascii="Malgun Gothic" w:hAnsi="Malgun Gothic"/>
      <w:sz w:val="22"/>
      <w:szCs w:val="22"/>
    </w:rPr>
  </w:style>
  <w:style w:type="paragraph" w:customStyle="1" w:styleId="tal0">
    <w:name w:val="tal"/>
    <w:basedOn w:val="a1"/>
    <w:rsid w:val="0075784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greement">
    <w:name w:val="Agreement"/>
    <w:basedOn w:val="a1"/>
    <w:next w:val="Doc-text2"/>
    <w:qFormat/>
    <w:rsid w:val="00ED20B5"/>
    <w:pPr>
      <w:numPr>
        <w:numId w:val="12"/>
      </w:numPr>
      <w:spacing w:before="60" w:after="0"/>
    </w:pPr>
    <w:rPr>
      <w:rFonts w:ascii="Arial" w:eastAsia="MS Mincho" w:hAnsi="Arial"/>
      <w:b/>
      <w:szCs w:val="24"/>
      <w:lang w:eastAsia="en-GB"/>
    </w:rPr>
  </w:style>
  <w:style w:type="paragraph" w:customStyle="1" w:styleId="EmailDiscussion2">
    <w:name w:val="EmailDiscussion2"/>
    <w:basedOn w:val="Doc-text2"/>
    <w:uiPriority w:val="99"/>
    <w:qFormat/>
    <w:rsid w:val="00B371F0"/>
  </w:style>
  <w:style w:type="character" w:customStyle="1" w:styleId="3Char">
    <w:name w:val="标题 3 Char"/>
    <w:aliases w:val="Underrubrik2 Char,H3 Char,h3 Char,no break Char"/>
    <w:link w:val="3"/>
    <w:qFormat/>
    <w:rsid w:val="00510D9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locked/>
    <w:rsid w:val="00510D9C"/>
    <w:rPr>
      <w:rFonts w:ascii="Arial" w:hAnsi="Arial"/>
      <w:sz w:val="24"/>
      <w:lang w:val="en-GB" w:eastAsia="en-US"/>
    </w:rPr>
  </w:style>
  <w:style w:type="character" w:customStyle="1" w:styleId="5Char">
    <w:name w:val="标题 5 Char"/>
    <w:aliases w:val="h5 Char,Heading5 Char"/>
    <w:link w:val="5"/>
    <w:qFormat/>
    <w:rsid w:val="00510D9C"/>
    <w:rPr>
      <w:rFonts w:ascii="Arial" w:hAnsi="Arial"/>
      <w:sz w:val="22"/>
      <w:lang w:val="en-GB" w:eastAsia="en-US"/>
    </w:rPr>
  </w:style>
  <w:style w:type="character" w:customStyle="1" w:styleId="6Char">
    <w:name w:val="标题 6 Char"/>
    <w:link w:val="6"/>
    <w:qFormat/>
    <w:rsid w:val="00510D9C"/>
    <w:rPr>
      <w:rFonts w:ascii="Arial" w:hAnsi="Arial"/>
      <w:lang w:val="en-GB" w:eastAsia="en-US"/>
    </w:rPr>
  </w:style>
  <w:style w:type="character" w:customStyle="1" w:styleId="7Char">
    <w:name w:val="标题 7 Char"/>
    <w:link w:val="7"/>
    <w:rsid w:val="00510D9C"/>
    <w:rPr>
      <w:rFonts w:ascii="Arial" w:hAnsi="Arial"/>
      <w:lang w:val="en-GB" w:eastAsia="en-US"/>
    </w:rPr>
  </w:style>
  <w:style w:type="character" w:customStyle="1" w:styleId="8Char">
    <w:name w:val="标题 8 Char"/>
    <w:link w:val="8"/>
    <w:rsid w:val="00510D9C"/>
    <w:rPr>
      <w:rFonts w:ascii="Arial" w:hAnsi="Arial"/>
      <w:lang w:val="en-GB" w:eastAsia="en-US"/>
    </w:rPr>
  </w:style>
  <w:style w:type="character" w:customStyle="1" w:styleId="9Char">
    <w:name w:val="标题 9 Char"/>
    <w:link w:val="9"/>
    <w:rsid w:val="00510D9C"/>
    <w:rPr>
      <w:rFonts w:ascii="Arial" w:hAnsi="Arial"/>
      <w:lang w:val="en-GB" w:eastAsia="en-US"/>
    </w:rPr>
  </w:style>
  <w:style w:type="character" w:customStyle="1" w:styleId="Char2">
    <w:name w:val="页脚 Char"/>
    <w:link w:val="ab"/>
    <w:rsid w:val="00510D9C"/>
    <w:rPr>
      <w:rFonts w:ascii="Arial" w:hAnsi="Arial"/>
      <w:b/>
      <w:i/>
      <w:noProof/>
      <w:sz w:val="18"/>
      <w:lang w:val="en-GB" w:eastAsia="en-US"/>
    </w:rPr>
  </w:style>
  <w:style w:type="paragraph" w:customStyle="1" w:styleId="TT">
    <w:name w:val="TT"/>
    <w:basedOn w:val="1"/>
    <w:next w:val="a1"/>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31"/>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宋体"/>
      <w:lang w:val="en-GB" w:eastAsia="en-US"/>
    </w:rPr>
  </w:style>
  <w:style w:type="paragraph" w:styleId="24">
    <w:name w:val="List Number 2"/>
    <w:basedOn w:val="a0"/>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8"/>
    <w:rsid w:val="00510D9C"/>
    <w:rPr>
      <w:rFonts w:eastAsia="宋体"/>
      <w:sz w:val="16"/>
      <w:lang w:val="en-GB" w:eastAsia="en-US"/>
    </w:rPr>
  </w:style>
  <w:style w:type="paragraph" w:styleId="25">
    <w:name w:val="List Bullet 2"/>
    <w:basedOn w:val="a9"/>
    <w:rsid w:val="00510D9C"/>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5"/>
    <w:rsid w:val="00510D9C"/>
    <w:pPr>
      <w:ind w:left="1135"/>
    </w:pPr>
  </w:style>
  <w:style w:type="paragraph" w:styleId="52">
    <w:name w:val="List Bullet 5"/>
    <w:basedOn w:val="40"/>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宋体"/>
      <w:lang w:val="en-GB" w:eastAsia="en-US"/>
    </w:rPr>
  </w:style>
  <w:style w:type="character" w:customStyle="1" w:styleId="Char4">
    <w:name w:val="批注框文本 Char"/>
    <w:basedOn w:val="a2"/>
    <w:link w:val="af0"/>
    <w:semiHidden/>
    <w:rsid w:val="00510D9C"/>
    <w:rPr>
      <w:rFonts w:ascii="Tahoma" w:eastAsia="宋体"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har3">
    <w:name w:val="批注文字 Char"/>
    <w:basedOn w:val="a2"/>
    <w:link w:val="ae"/>
    <w:uiPriority w:val="99"/>
    <w:qFormat/>
    <w:rsid w:val="00510D9C"/>
    <w:rPr>
      <w:rFonts w:eastAsia="宋体"/>
      <w:lang w:val="en-GB" w:eastAsia="en-US"/>
    </w:rPr>
  </w:style>
  <w:style w:type="character" w:customStyle="1" w:styleId="Char5">
    <w:name w:val="批注主题 Char"/>
    <w:basedOn w:val="Char3"/>
    <w:link w:val="af1"/>
    <w:rsid w:val="00510D9C"/>
    <w:rPr>
      <w:rFonts w:eastAsia="宋体"/>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a3"/>
    <w:next w:val="af3"/>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2"/>
    <w:uiPriority w:val="20"/>
    <w:qFormat/>
    <w:rsid w:val="00510D9C"/>
    <w:rPr>
      <w:i/>
      <w:iCs/>
    </w:rPr>
  </w:style>
  <w:style w:type="character" w:customStyle="1" w:styleId="normaltextrun">
    <w:name w:val="normaltextrun"/>
    <w:basedOn w:val="a2"/>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a2"/>
    <w:rsid w:val="00510D9C"/>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character" w:customStyle="1" w:styleId="TANChar">
    <w:name w:val="TAN Char"/>
    <w:link w:val="TAN"/>
    <w:qFormat/>
    <w:rsid w:val="00DC2039"/>
    <w:rPr>
      <w:rFonts w:ascii="Arial" w:eastAsia="宋体" w:hAnsi="Arial"/>
      <w:sz w:val="18"/>
      <w:lang w:val="en-GB" w:eastAsia="en-US"/>
    </w:rPr>
  </w:style>
  <w:style w:type="paragraph" w:customStyle="1" w:styleId="ComeBack">
    <w:name w:val="ComeBack"/>
    <w:basedOn w:val="Doc-text2"/>
    <w:next w:val="Doc-text2"/>
    <w:link w:val="ComeBackCharChar"/>
    <w:rsid w:val="00033200"/>
    <w:pPr>
      <w:numPr>
        <w:numId w:val="34"/>
      </w:numPr>
      <w:tabs>
        <w:tab w:val="clear" w:pos="1622"/>
      </w:tabs>
    </w:pPr>
  </w:style>
  <w:style w:type="character" w:customStyle="1" w:styleId="ComeBackCharChar">
    <w:name w:val="ComeBack Char Char"/>
    <w:link w:val="ComeBack"/>
    <w:rsid w:val="00033200"/>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84109919">
      <w:bodyDiv w:val="1"/>
      <w:marLeft w:val="0"/>
      <w:marRight w:val="0"/>
      <w:marTop w:val="0"/>
      <w:marBottom w:val="0"/>
      <w:divBdr>
        <w:top w:val="none" w:sz="0" w:space="0" w:color="auto"/>
        <w:left w:val="none" w:sz="0" w:space="0" w:color="auto"/>
        <w:bottom w:val="none" w:sz="0" w:space="0" w:color="auto"/>
        <w:right w:val="none" w:sz="0" w:space="0" w:color="auto"/>
      </w:divBdr>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77123973">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392509105">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6591540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8728057">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145397352">
      <w:bodyDiv w:val="1"/>
      <w:marLeft w:val="0"/>
      <w:marRight w:val="0"/>
      <w:marTop w:val="0"/>
      <w:marBottom w:val="0"/>
      <w:divBdr>
        <w:top w:val="none" w:sz="0" w:space="0" w:color="auto"/>
        <w:left w:val="none" w:sz="0" w:space="0" w:color="auto"/>
        <w:bottom w:val="none" w:sz="0" w:space="0" w:color="auto"/>
        <w:right w:val="none" w:sz="0" w:space="0" w:color="auto"/>
      </w:divBdr>
    </w:div>
    <w:div w:id="1225602204">
      <w:bodyDiv w:val="1"/>
      <w:marLeft w:val="0"/>
      <w:marRight w:val="0"/>
      <w:marTop w:val="0"/>
      <w:marBottom w:val="0"/>
      <w:divBdr>
        <w:top w:val="none" w:sz="0" w:space="0" w:color="auto"/>
        <w:left w:val="none" w:sz="0" w:space="0" w:color="auto"/>
        <w:bottom w:val="none" w:sz="0" w:space="0" w:color="auto"/>
        <w:right w:val="none" w:sz="0" w:space="0" w:color="auto"/>
      </w:divBdr>
    </w:div>
    <w:div w:id="1269773157">
      <w:bodyDiv w:val="1"/>
      <w:marLeft w:val="0"/>
      <w:marRight w:val="0"/>
      <w:marTop w:val="0"/>
      <w:marBottom w:val="0"/>
      <w:divBdr>
        <w:top w:val="none" w:sz="0" w:space="0" w:color="auto"/>
        <w:left w:val="none" w:sz="0" w:space="0" w:color="auto"/>
        <w:bottom w:val="none" w:sz="0" w:space="0" w:color="auto"/>
        <w:right w:val="none" w:sz="0" w:space="0" w:color="auto"/>
      </w:divBdr>
    </w:div>
    <w:div w:id="1279684182">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38070059">
      <w:bodyDiv w:val="1"/>
      <w:marLeft w:val="0"/>
      <w:marRight w:val="0"/>
      <w:marTop w:val="0"/>
      <w:marBottom w:val="0"/>
      <w:divBdr>
        <w:top w:val="none" w:sz="0" w:space="0" w:color="auto"/>
        <w:left w:val="none" w:sz="0" w:space="0" w:color="auto"/>
        <w:bottom w:val="none" w:sz="0" w:space="0" w:color="auto"/>
        <w:right w:val="none" w:sz="0" w:space="0" w:color="auto"/>
      </w:divBdr>
    </w:div>
    <w:div w:id="1368675238">
      <w:bodyDiv w:val="1"/>
      <w:marLeft w:val="0"/>
      <w:marRight w:val="0"/>
      <w:marTop w:val="0"/>
      <w:marBottom w:val="0"/>
      <w:divBdr>
        <w:top w:val="none" w:sz="0" w:space="0" w:color="auto"/>
        <w:left w:val="none" w:sz="0" w:space="0" w:color="auto"/>
        <w:bottom w:val="none" w:sz="0" w:space="0" w:color="auto"/>
        <w:right w:val="none" w:sz="0" w:space="0" w:color="auto"/>
      </w:divBdr>
    </w:div>
    <w:div w:id="141081164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37868840">
      <w:bodyDiv w:val="1"/>
      <w:marLeft w:val="0"/>
      <w:marRight w:val="0"/>
      <w:marTop w:val="0"/>
      <w:marBottom w:val="0"/>
      <w:divBdr>
        <w:top w:val="none" w:sz="0" w:space="0" w:color="auto"/>
        <w:left w:val="none" w:sz="0" w:space="0" w:color="auto"/>
        <w:bottom w:val="none" w:sz="0" w:space="0" w:color="auto"/>
        <w:right w:val="none" w:sz="0" w:space="0" w:color="auto"/>
      </w:divBdr>
    </w:div>
    <w:div w:id="1450129879">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18609090">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6319769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3868999">
      <w:bodyDiv w:val="1"/>
      <w:marLeft w:val="0"/>
      <w:marRight w:val="0"/>
      <w:marTop w:val="0"/>
      <w:marBottom w:val="0"/>
      <w:divBdr>
        <w:top w:val="none" w:sz="0" w:space="0" w:color="auto"/>
        <w:left w:val="none" w:sz="0" w:space="0" w:color="auto"/>
        <w:bottom w:val="none" w:sz="0" w:space="0" w:color="auto"/>
        <w:right w:val="none" w:sz="0" w:space="0" w:color="auto"/>
      </w:divBdr>
    </w:div>
    <w:div w:id="1726443647">
      <w:bodyDiv w:val="1"/>
      <w:marLeft w:val="0"/>
      <w:marRight w:val="0"/>
      <w:marTop w:val="0"/>
      <w:marBottom w:val="0"/>
      <w:divBdr>
        <w:top w:val="none" w:sz="0" w:space="0" w:color="auto"/>
        <w:left w:val="none" w:sz="0" w:space="0" w:color="auto"/>
        <w:bottom w:val="none" w:sz="0" w:space="0" w:color="auto"/>
        <w:right w:val="none" w:sz="0" w:space="0" w:color="auto"/>
      </w:divBdr>
    </w:div>
    <w:div w:id="1768189612">
      <w:bodyDiv w:val="1"/>
      <w:marLeft w:val="0"/>
      <w:marRight w:val="0"/>
      <w:marTop w:val="0"/>
      <w:marBottom w:val="0"/>
      <w:divBdr>
        <w:top w:val="none" w:sz="0" w:space="0" w:color="auto"/>
        <w:left w:val="none" w:sz="0" w:space="0" w:color="auto"/>
        <w:bottom w:val="none" w:sz="0" w:space="0" w:color="auto"/>
        <w:right w:val="none" w:sz="0" w:space="0" w:color="auto"/>
      </w:divBdr>
    </w:div>
    <w:div w:id="1814903333">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17784080">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63168784">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21258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84138-A6E2-4F27-ADC9-7BE1E96A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Zhaoyang</cp:lastModifiedBy>
  <cp:revision>4</cp:revision>
  <cp:lastPrinted>2009-04-22T00:01:00Z</cp:lastPrinted>
  <dcterms:created xsi:type="dcterms:W3CDTF">2022-11-18T06:53:00Z</dcterms:created>
  <dcterms:modified xsi:type="dcterms:W3CDTF">2022-11-18T07:03:00Z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(3)LbBuRbiQHny04hVSJFYgZIAm8f8pQ+/O/JFoXkwx2V1eGLA6uFPsmMsr8x0xY/SvCcJW9Fmg
yGdDV0FRzNkID5OvleLCP0DJZeEEZZvum6sOagYeX9ybnZ/we5xtifdpyAlIfglyr7xTzU8D
7BQcYJDw3xrK3Y2KmX5UZn9Vm99kRQlKN0xm8+j3b01+pfYd4dSHlof8c6R/wZUwqs2aF6Ez
OM9YyiCoh7IFyLsAFG</vt:lpwstr>
  </property>
  <property fmtid="{D5CDD505-2E9C-101B-9397-08002B2CF9AE}" pid="10" name="_2015_ms_pID_7253431">
    <vt:lpwstr>FdKR3bIWw7A7B02H4Zcg12nlUZkFMAnvnSS2tMI/H4cTrVZuJtWs5w
IMZxlFYkgMjGv7Yho3FsTTAHCxxGFQNz5JlkJazFkkb7x+Qn11LIYIWoCFZ6vea/FoRrZRl/
pSmpACH+CeqZ9YOwlNNvz4SCPEt/I9KuFOhBv6tpLCyx8SZEuGX6qSOnAHWDCotD9DP5yvUr
YEzC8NKhLrVwkq+LT6TkRJ4+v+lxvYoTdxe9</vt:lpwstr>
  </property>
  <property fmtid="{D5CDD505-2E9C-101B-9397-08002B2CF9AE}" pid="11" name="_2015_ms_pID_7253432">
    <vt:lpwstr>tA==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1668598973</vt:lpwstr>
  </property>
</Properties>
</file>