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AA2312" w14:textId="6A634C86" w:rsidR="00595327" w:rsidRDefault="00595327" w:rsidP="00595327">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WG2#120</w:t>
      </w:r>
      <w:r>
        <w:rPr>
          <w:b/>
          <w:noProof/>
          <w:sz w:val="24"/>
          <w:szCs w:val="24"/>
        </w:rPr>
        <w:tab/>
        <w:t>R2-22</w:t>
      </w:r>
      <w:r w:rsidR="008361B8">
        <w:rPr>
          <w:b/>
          <w:noProof/>
          <w:sz w:val="24"/>
          <w:szCs w:val="24"/>
        </w:rPr>
        <w:t>11710</w:t>
      </w:r>
    </w:p>
    <w:p w14:paraId="54100F61" w14:textId="77777777" w:rsidR="00595327" w:rsidRPr="00A05CE3" w:rsidRDefault="00595327" w:rsidP="00595327">
      <w:pPr>
        <w:pStyle w:val="Header"/>
        <w:rPr>
          <w:sz w:val="24"/>
          <w:szCs w:val="24"/>
        </w:rPr>
      </w:pPr>
      <w:r w:rsidRPr="00A05CE3">
        <w:rPr>
          <w:sz w:val="24"/>
          <w:szCs w:val="24"/>
        </w:rPr>
        <w:t>Toulouse, France, November</w:t>
      </w:r>
      <w:r>
        <w:rPr>
          <w:sz w:val="24"/>
          <w:szCs w:val="24"/>
        </w:rPr>
        <w:t xml:space="preserve"> 14-18</w:t>
      </w:r>
      <w:r w:rsidRPr="00A05CE3">
        <w:rPr>
          <w:sz w:val="24"/>
          <w:szCs w:val="24"/>
        </w:rPr>
        <w:t>, 2022</w:t>
      </w:r>
    </w:p>
    <w:p w14:paraId="4AD4B8C5" w14:textId="77777777" w:rsidR="000E43D2" w:rsidRPr="00B266B0" w:rsidRDefault="000E43D2" w:rsidP="000E43D2">
      <w:pPr>
        <w:pStyle w:val="Header"/>
        <w:tabs>
          <w:tab w:val="right" w:pos="9639"/>
        </w:tabs>
        <w:rPr>
          <w:bCs/>
          <w:noProof w:val="0"/>
          <w:sz w:val="24"/>
        </w:rPr>
      </w:pPr>
    </w:p>
    <w:p w14:paraId="5DC13515" w14:textId="414EF01E"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8.4.</w:t>
      </w:r>
      <w:r w:rsidR="00932DA4">
        <w:rPr>
          <w:rFonts w:cs="Arial"/>
          <w:b/>
          <w:bCs/>
          <w:sz w:val="24"/>
        </w:rPr>
        <w:t>3</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0FC7291"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18400D">
        <w:rPr>
          <w:rFonts w:ascii="Arial" w:hAnsi="Arial" w:cs="Arial"/>
          <w:b/>
          <w:bCs/>
          <w:szCs w:val="22"/>
        </w:rPr>
        <w:t>A sample</w:t>
      </w:r>
      <w:r w:rsidR="008225B1">
        <w:rPr>
          <w:rFonts w:ascii="Arial" w:hAnsi="Arial" w:cs="Arial"/>
          <w:b/>
          <w:bCs/>
          <w:szCs w:val="22"/>
        </w:rPr>
        <w:t xml:space="preserve"> Reference Config </w:t>
      </w:r>
      <w:r w:rsidR="0018400D">
        <w:rPr>
          <w:rFonts w:ascii="Arial" w:hAnsi="Arial" w:cs="Arial"/>
          <w:b/>
          <w:bCs/>
          <w:szCs w:val="22"/>
        </w:rPr>
        <w:t>approach that also solves security reuse</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C7F5BFC"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r w:rsidR="001D1997" w:rsidRPr="001D1997">
        <w:rPr>
          <w:rFonts w:ascii="Arial" w:hAnsi="Arial" w:cs="Arial"/>
          <w:b/>
          <w:bCs/>
          <w:sz w:val="24"/>
        </w:rPr>
        <w:t>NR_Mob_enh2-Core</w:t>
      </w:r>
    </w:p>
    <w:p w14:paraId="5A3A862F" w14:textId="77777777" w:rsidR="00DC290E" w:rsidRDefault="00DC290E" w:rsidP="00DC290E">
      <w:pPr>
        <w:pStyle w:val="Heading1"/>
      </w:pPr>
      <w:r>
        <w:t xml:space="preserve">Introduction </w:t>
      </w:r>
    </w:p>
    <w:p w14:paraId="2251F05E" w14:textId="3FF2313A" w:rsidR="00CB0B63" w:rsidRDefault="00C04B38" w:rsidP="0040377C">
      <w:pPr>
        <w:rPr>
          <w:rFonts w:ascii="Arial" w:hAnsi="Arial" w:cs="Arial"/>
          <w:szCs w:val="22"/>
        </w:rPr>
      </w:pPr>
      <w:r>
        <w:rPr>
          <w:rFonts w:ascii="Arial" w:hAnsi="Arial" w:cs="Arial"/>
          <w:szCs w:val="22"/>
        </w:rPr>
        <w:t>During the discussions in RAN2-119</w:t>
      </w:r>
      <w:r w:rsidR="00CB0B63">
        <w:rPr>
          <w:rFonts w:ascii="Arial" w:hAnsi="Arial" w:cs="Arial"/>
          <w:szCs w:val="22"/>
        </w:rPr>
        <w:t>bis-</w:t>
      </w:r>
      <w:proofErr w:type="gramStart"/>
      <w:r>
        <w:rPr>
          <w:rFonts w:ascii="Arial" w:hAnsi="Arial" w:cs="Arial"/>
          <w:szCs w:val="22"/>
        </w:rPr>
        <w:t>e</w:t>
      </w:r>
      <w:r w:rsidR="00560726">
        <w:rPr>
          <w:rFonts w:ascii="Arial" w:hAnsi="Arial" w:cs="Arial"/>
          <w:szCs w:val="22"/>
        </w:rPr>
        <w:t>[</w:t>
      </w:r>
      <w:proofErr w:type="gramEnd"/>
      <w:r w:rsidR="00560726">
        <w:rPr>
          <w:rFonts w:ascii="Arial" w:hAnsi="Arial" w:cs="Arial"/>
          <w:szCs w:val="22"/>
        </w:rPr>
        <w:t>1]</w:t>
      </w:r>
      <w:r>
        <w:rPr>
          <w:rFonts w:ascii="Arial" w:hAnsi="Arial" w:cs="Arial"/>
          <w:szCs w:val="22"/>
        </w:rPr>
        <w:t xml:space="preserve">, the following agreements were made related </w:t>
      </w:r>
      <w:r w:rsidR="00A6386C">
        <w:rPr>
          <w:rFonts w:ascii="Arial" w:hAnsi="Arial" w:cs="Arial"/>
          <w:szCs w:val="22"/>
        </w:rPr>
        <w:t>selective activation of SNs</w:t>
      </w:r>
      <w:r>
        <w:rPr>
          <w:rFonts w:ascii="Arial" w:hAnsi="Arial" w:cs="Arial"/>
          <w:szCs w:val="22"/>
        </w:rPr>
        <w:t>.</w:t>
      </w:r>
      <w:r w:rsidR="00A6386C">
        <w:rPr>
          <w:rFonts w:ascii="Arial" w:hAnsi="Arial" w:cs="Arial"/>
          <w:szCs w:val="22"/>
        </w:rPr>
        <w:t xml:space="preserve"> </w:t>
      </w:r>
      <w:r w:rsidR="00CB0B63">
        <w:rPr>
          <w:rFonts w:ascii="Arial" w:hAnsi="Arial" w:cs="Arial"/>
          <w:szCs w:val="22"/>
        </w:rPr>
        <w:t>The main progress is the ability of the UE to keep the candidate SN configurations after SN switch</w:t>
      </w:r>
      <w:r w:rsidR="00705EC8">
        <w:rPr>
          <w:rFonts w:ascii="Arial" w:hAnsi="Arial" w:cs="Arial"/>
          <w:szCs w:val="22"/>
        </w:rPr>
        <w:t xml:space="preserve"> </w:t>
      </w:r>
      <w:proofErr w:type="gramStart"/>
      <w:r w:rsidR="00705EC8">
        <w:rPr>
          <w:rFonts w:ascii="Arial" w:hAnsi="Arial" w:cs="Arial"/>
          <w:szCs w:val="22"/>
        </w:rPr>
        <w:t>and also</w:t>
      </w:r>
      <w:proofErr w:type="gramEnd"/>
      <w:r w:rsidR="00705EC8">
        <w:rPr>
          <w:rFonts w:ascii="Arial" w:hAnsi="Arial" w:cs="Arial"/>
          <w:szCs w:val="22"/>
        </w:rPr>
        <w:t xml:space="preserve"> on the ability to do </w:t>
      </w:r>
      <w:r w:rsidR="00867976">
        <w:rPr>
          <w:rFonts w:ascii="Arial" w:hAnsi="Arial" w:cs="Arial"/>
          <w:szCs w:val="22"/>
        </w:rPr>
        <w:t xml:space="preserve">SN switch </w:t>
      </w:r>
      <w:r w:rsidR="00705EC8">
        <w:rPr>
          <w:rFonts w:ascii="Arial" w:hAnsi="Arial" w:cs="Arial"/>
          <w:szCs w:val="22"/>
        </w:rPr>
        <w:t>without RRC reconfiguration.</w:t>
      </w:r>
    </w:p>
    <w:p w14:paraId="3ADA565C" w14:textId="6928ECD3" w:rsidR="00705EC8" w:rsidRDefault="00705EC8" w:rsidP="0040377C">
      <w:pPr>
        <w:rPr>
          <w:rFonts w:ascii="Arial" w:hAnsi="Arial" w:cs="Arial"/>
          <w:szCs w:val="22"/>
        </w:rPr>
      </w:pPr>
      <w:r>
        <w:rPr>
          <w:rFonts w:ascii="Arial" w:hAnsi="Arial" w:cs="Arial"/>
          <w:szCs w:val="22"/>
        </w:rPr>
        <w:t>We also agreed on a way forward in allowing for delta configuration (which requires a known reference config at the UE and the NW nodes)</w:t>
      </w:r>
    </w:p>
    <w:p w14:paraId="2D2C8912" w14:textId="6DCD5B9C" w:rsidR="00C04B38" w:rsidRDefault="00A6386C" w:rsidP="0040377C">
      <w:pPr>
        <w:rPr>
          <w:rFonts w:ascii="Arial" w:hAnsi="Arial" w:cs="Arial"/>
          <w:szCs w:val="22"/>
        </w:rPr>
      </w:pPr>
      <w:r>
        <w:rPr>
          <w:rFonts w:ascii="Arial" w:hAnsi="Arial" w:cs="Arial"/>
          <w:szCs w:val="22"/>
        </w:rPr>
        <w:t xml:space="preserve">In this paper we </w:t>
      </w:r>
      <w:r w:rsidR="00705EC8">
        <w:rPr>
          <w:rFonts w:ascii="Arial" w:hAnsi="Arial" w:cs="Arial"/>
          <w:szCs w:val="22"/>
        </w:rPr>
        <w:t>propose a method of reference config that also tries to address the issue of potential re-use of security key in SN in case the UE moves back to the source SN</w:t>
      </w:r>
      <w:r>
        <w:rPr>
          <w:rFonts w:ascii="Arial" w:hAnsi="Arial" w:cs="Arial"/>
          <w:szCs w:val="22"/>
        </w:rPr>
        <w:t>.</w:t>
      </w:r>
    </w:p>
    <w:tbl>
      <w:tblPr>
        <w:tblStyle w:val="TableGrid"/>
        <w:tblW w:w="0" w:type="auto"/>
        <w:tblLook w:val="04A0" w:firstRow="1" w:lastRow="0" w:firstColumn="1" w:lastColumn="0" w:noHBand="0" w:noVBand="1"/>
      </w:tblPr>
      <w:tblGrid>
        <w:gridCol w:w="9016"/>
      </w:tblGrid>
      <w:tr w:rsidR="00C04B38" w14:paraId="61960F2C" w14:textId="77777777" w:rsidTr="00C04B38">
        <w:tc>
          <w:tcPr>
            <w:tcW w:w="9016" w:type="dxa"/>
          </w:tcPr>
          <w:p w14:paraId="54F6A6E5" w14:textId="77777777" w:rsidR="00684DE0" w:rsidRDefault="00684DE0" w:rsidP="00684DE0">
            <w:pPr>
              <w:pStyle w:val="Agreement"/>
            </w:pPr>
            <w:r>
              <w:t>Baseline procedure to</w:t>
            </w:r>
            <w:r w:rsidRPr="00D936CB">
              <w:t xml:space="preserve"> support subsequent </w:t>
            </w:r>
            <w:r>
              <w:t xml:space="preserve">secondary </w:t>
            </w:r>
            <w:r w:rsidRPr="00D936CB">
              <w:t>cell group change</w:t>
            </w:r>
            <w:r>
              <w:t xml:space="preserve"> (FFS if UE keeps all configurations or if those are indicated by the network, FFS support of nested configs):</w:t>
            </w:r>
          </w:p>
          <w:p w14:paraId="156D8C84" w14:textId="77777777" w:rsidR="00684DE0" w:rsidRPr="00D936CB" w:rsidRDefault="00684DE0" w:rsidP="00684DE0">
            <w:pPr>
              <w:pStyle w:val="Agreement"/>
              <w:numPr>
                <w:ilvl w:val="0"/>
                <w:numId w:val="0"/>
              </w:numPr>
              <w:ind w:left="1619"/>
            </w:pPr>
            <w:r w:rsidRPr="00D936CB">
              <w:t>a.</w:t>
            </w:r>
            <w:r w:rsidRPr="00D936CB">
              <w:tab/>
              <w:t xml:space="preserve">Step 1: when the execution condition of a </w:t>
            </w:r>
            <w:r>
              <w:t>CPC</w:t>
            </w:r>
            <w:r w:rsidRPr="00D936CB">
              <w:t xml:space="preserve"> candidate </w:t>
            </w:r>
            <w:proofErr w:type="spellStart"/>
            <w:r>
              <w:t>PS</w:t>
            </w:r>
            <w:r w:rsidRPr="00D936CB">
              <w:t>cell</w:t>
            </w:r>
            <w:proofErr w:type="spellEnd"/>
            <w:r w:rsidRPr="00D936CB">
              <w:t xml:space="preserve"> is met, a UE performs the execution of </w:t>
            </w:r>
            <w:r>
              <w:t>CPC</w:t>
            </w:r>
            <w:r w:rsidRPr="00D936CB">
              <w:t xml:space="preserve"> towards this candidate </w:t>
            </w:r>
            <w:proofErr w:type="spellStart"/>
            <w:r>
              <w:t>PS</w:t>
            </w:r>
            <w:r w:rsidRPr="00D936CB">
              <w:t>cell</w:t>
            </w:r>
            <w:proofErr w:type="spellEnd"/>
            <w:r w:rsidRPr="00D936CB">
              <w:t xml:space="preserve">. </w:t>
            </w:r>
          </w:p>
          <w:p w14:paraId="26B457F5" w14:textId="77777777" w:rsidR="00684DE0" w:rsidRPr="00D936CB" w:rsidRDefault="00684DE0" w:rsidP="00684DE0">
            <w:pPr>
              <w:pStyle w:val="Agreement"/>
              <w:numPr>
                <w:ilvl w:val="0"/>
                <w:numId w:val="0"/>
              </w:numPr>
              <w:ind w:left="1619"/>
            </w:pPr>
            <w:r w:rsidRPr="00D936CB">
              <w:t>b.</w:t>
            </w:r>
            <w:r w:rsidRPr="00D936CB">
              <w:tab/>
              <w:t xml:space="preserve">Step 2: </w:t>
            </w:r>
            <w:r w:rsidRPr="008E5BF2">
              <w:rPr>
                <w:highlight w:val="yellow"/>
              </w:rPr>
              <w:t xml:space="preserve">After finishing the </w:t>
            </w:r>
            <w:proofErr w:type="spellStart"/>
            <w:r w:rsidRPr="008E5BF2">
              <w:rPr>
                <w:highlight w:val="yellow"/>
              </w:rPr>
              <w:t>PSCell</w:t>
            </w:r>
            <w:proofErr w:type="spellEnd"/>
            <w:r w:rsidRPr="008E5BF2">
              <w:rPr>
                <w:highlight w:val="yellow"/>
              </w:rPr>
              <w:t xml:space="preserve"> addition or change, the UE doesn’t release conditional configuration of other candidate </w:t>
            </w:r>
            <w:proofErr w:type="spellStart"/>
            <w:r w:rsidRPr="008E5BF2">
              <w:rPr>
                <w:highlight w:val="yellow"/>
              </w:rPr>
              <w:t>PSCells</w:t>
            </w:r>
            <w:proofErr w:type="spellEnd"/>
            <w:r w:rsidRPr="008E5BF2">
              <w:rPr>
                <w:highlight w:val="yellow"/>
              </w:rPr>
              <w:t xml:space="preserve"> for subsequent CPC</w:t>
            </w:r>
            <w:r w:rsidRPr="00D936CB">
              <w:t xml:space="preserve">, the UE </w:t>
            </w:r>
            <w:r>
              <w:t>continues</w:t>
            </w:r>
            <w:r w:rsidRPr="00D936CB">
              <w:t xml:space="preserve"> evaluating the execution conditions of </w:t>
            </w:r>
            <w:r>
              <w:t xml:space="preserve">other </w:t>
            </w:r>
            <w:r w:rsidRPr="00D936CB">
              <w:t xml:space="preserve">candidate </w:t>
            </w:r>
            <w:proofErr w:type="spellStart"/>
            <w:r>
              <w:t>PS</w:t>
            </w:r>
            <w:r w:rsidRPr="00D936CB">
              <w:t>cells</w:t>
            </w:r>
            <w:proofErr w:type="spellEnd"/>
            <w:r w:rsidRPr="00D936CB">
              <w:t xml:space="preserve">. </w:t>
            </w:r>
          </w:p>
          <w:p w14:paraId="6F9F07BA" w14:textId="77777777" w:rsidR="00684DE0" w:rsidRDefault="00684DE0" w:rsidP="00684DE0">
            <w:pPr>
              <w:pStyle w:val="Agreement"/>
              <w:numPr>
                <w:ilvl w:val="0"/>
                <w:numId w:val="0"/>
              </w:numPr>
              <w:ind w:left="1619"/>
            </w:pPr>
            <w:r w:rsidRPr="00D936CB">
              <w:t>c.</w:t>
            </w:r>
            <w:r w:rsidRPr="00D936CB">
              <w:tab/>
              <w:t xml:space="preserve">Step 3: When the execution condition of a candidate </w:t>
            </w:r>
            <w:proofErr w:type="spellStart"/>
            <w:r>
              <w:t>PS</w:t>
            </w:r>
            <w:r w:rsidRPr="00D936CB">
              <w:t>cell</w:t>
            </w:r>
            <w:proofErr w:type="spellEnd"/>
            <w:r w:rsidRPr="00D936CB">
              <w:t xml:space="preserve"> is met, the UE performs the execution of CPC towards this candidate </w:t>
            </w:r>
            <w:proofErr w:type="spellStart"/>
            <w:r w:rsidRPr="00D936CB">
              <w:t>PSCell</w:t>
            </w:r>
            <w:proofErr w:type="spellEnd"/>
            <w:r w:rsidRPr="00D936CB">
              <w:t>.</w:t>
            </w:r>
          </w:p>
          <w:p w14:paraId="42F84D7A" w14:textId="77777777" w:rsidR="00684DE0" w:rsidRDefault="00684DE0" w:rsidP="00684DE0">
            <w:pPr>
              <w:pStyle w:val="Agreement"/>
            </w:pPr>
            <w:r>
              <w:t>Confirm that “CPA” selective activation of cell groups will be supported for this WI objective</w:t>
            </w:r>
          </w:p>
          <w:p w14:paraId="2E29C03C" w14:textId="77777777" w:rsidR="00684DE0" w:rsidRDefault="00684DE0" w:rsidP="00684DE0">
            <w:pPr>
              <w:pStyle w:val="Agreement"/>
            </w:pPr>
            <w:r w:rsidRPr="008E5BF2">
              <w:rPr>
                <w:highlight w:val="yellow"/>
              </w:rPr>
              <w:t xml:space="preserve">Confirm that we aim to support delta configuration, </w:t>
            </w:r>
            <w:proofErr w:type="gramStart"/>
            <w:r w:rsidRPr="008E5BF2">
              <w:rPr>
                <w:highlight w:val="yellow"/>
              </w:rPr>
              <w:t>i.e.</w:t>
            </w:r>
            <w:proofErr w:type="gramEnd"/>
            <w:r w:rsidRPr="008E5BF2">
              <w:rPr>
                <w:highlight w:val="yellow"/>
              </w:rPr>
              <w:t xml:space="preserve"> that there need to be a known reference.</w:t>
            </w:r>
            <w:r>
              <w:t xml:space="preserve">  </w:t>
            </w:r>
          </w:p>
          <w:p w14:paraId="264FE1CC" w14:textId="4FEF6605" w:rsidR="00C04B38" w:rsidRPr="00684DE0" w:rsidRDefault="00684DE0" w:rsidP="00684DE0">
            <w:pPr>
              <w:pStyle w:val="Agreement"/>
            </w:pPr>
            <w:r>
              <w:t xml:space="preserve">RAN2 aim to support selective activation of cell groups </w:t>
            </w:r>
            <w:r w:rsidRPr="008E5BF2">
              <w:rPr>
                <w:highlight w:val="yellow"/>
              </w:rPr>
              <w:t>without RRC reconfiguration with respect to security</w:t>
            </w:r>
            <w:r>
              <w:t xml:space="preserve"> (FFS, need to consult with SA3 at some point in time). </w:t>
            </w:r>
          </w:p>
        </w:tc>
      </w:tr>
    </w:tbl>
    <w:p w14:paraId="4F0D4341" w14:textId="77777777" w:rsidR="00C04B38" w:rsidRDefault="00C04B38" w:rsidP="0040377C">
      <w:pPr>
        <w:rPr>
          <w:rFonts w:ascii="Arial" w:hAnsi="Arial" w:cs="Arial"/>
          <w:szCs w:val="22"/>
        </w:rPr>
      </w:pPr>
    </w:p>
    <w:p w14:paraId="6035D194" w14:textId="03D5DD76" w:rsidR="008F5B07" w:rsidRPr="008F5B07" w:rsidRDefault="00867976" w:rsidP="008F5B07">
      <w:pPr>
        <w:pStyle w:val="Heading1"/>
        <w:rPr>
          <w:rFonts w:eastAsia="MS Mincho"/>
          <w:sz w:val="32"/>
        </w:rPr>
      </w:pPr>
      <w:r>
        <w:rPr>
          <w:rStyle w:val="Heading2Char"/>
          <w:rFonts w:eastAsia="MS Mincho"/>
        </w:rPr>
        <w:t xml:space="preserve">Source SN as one of the </w:t>
      </w:r>
      <w:proofErr w:type="gramStart"/>
      <w:r>
        <w:rPr>
          <w:rStyle w:val="Heading2Char"/>
          <w:rFonts w:eastAsia="MS Mincho"/>
        </w:rPr>
        <w:t>candidate</w:t>
      </w:r>
      <w:proofErr w:type="gramEnd"/>
      <w:r>
        <w:rPr>
          <w:rStyle w:val="Heading2Char"/>
          <w:rFonts w:eastAsia="MS Mincho"/>
        </w:rPr>
        <w:t xml:space="preserve"> SNs</w:t>
      </w:r>
    </w:p>
    <w:p w14:paraId="012EEBBB" w14:textId="2DBBD3E0" w:rsidR="006049AC" w:rsidRDefault="00867976" w:rsidP="006049AC">
      <w:pPr>
        <w:rPr>
          <w:rFonts w:ascii="Arial" w:hAnsi="Arial" w:cs="Arial"/>
        </w:rPr>
      </w:pPr>
      <w:r>
        <w:rPr>
          <w:rFonts w:ascii="Arial" w:hAnsi="Arial" w:cs="Arial"/>
        </w:rPr>
        <w:t xml:space="preserve">In [2] we discussed the importance of allowing the source SN to be part of candidate SNs once the UE does an SN switch as part of CPC. We show the potential use-case using figure 1 below where SN2 (which is the source SN in step 2) need to be part of candidate SNs when the source SN is SN4. </w:t>
      </w:r>
    </w:p>
    <w:tbl>
      <w:tblPr>
        <w:tblStyle w:val="TableGrid"/>
        <w:tblW w:w="0" w:type="auto"/>
        <w:tblLook w:val="04A0" w:firstRow="1" w:lastRow="0" w:firstColumn="1" w:lastColumn="0" w:noHBand="0" w:noVBand="1"/>
      </w:tblPr>
      <w:tblGrid>
        <w:gridCol w:w="9016"/>
      </w:tblGrid>
      <w:tr w:rsidR="006049AC" w14:paraId="6968B4B0" w14:textId="77777777" w:rsidTr="00A96E6C">
        <w:tc>
          <w:tcPr>
            <w:tcW w:w="9016" w:type="dxa"/>
          </w:tcPr>
          <w:p w14:paraId="00160FCC" w14:textId="77777777" w:rsidR="006049AC" w:rsidRDefault="006049AC" w:rsidP="00A96E6C">
            <w:pPr>
              <w:rPr>
                <w:rFonts w:ascii="Arial" w:hAnsi="Arial" w:cs="Arial"/>
              </w:rPr>
            </w:pPr>
            <w:r w:rsidRPr="008747E6">
              <w:rPr>
                <w:rFonts w:ascii="Arial" w:hAnsi="Arial" w:cs="Arial"/>
                <w:noProof/>
              </w:rPr>
              <w:lastRenderedPageBreak/>
              <w:drawing>
                <wp:inline distT="0" distB="0" distL="0" distR="0" wp14:anchorId="28D9404A" wp14:editId="31841F31">
                  <wp:extent cx="5731510" cy="2894965"/>
                  <wp:effectExtent l="0" t="0" r="0" b="635"/>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1"/>
                          <a:stretch>
                            <a:fillRect/>
                          </a:stretch>
                        </pic:blipFill>
                        <pic:spPr>
                          <a:xfrm>
                            <a:off x="0" y="0"/>
                            <a:ext cx="5731510" cy="2894965"/>
                          </a:xfrm>
                          <a:prstGeom prst="rect">
                            <a:avLst/>
                          </a:prstGeom>
                        </pic:spPr>
                      </pic:pic>
                    </a:graphicData>
                  </a:graphic>
                </wp:inline>
              </w:drawing>
            </w:r>
          </w:p>
        </w:tc>
      </w:tr>
    </w:tbl>
    <w:p w14:paraId="70E8B663" w14:textId="77777777" w:rsidR="006049AC" w:rsidRPr="00245323" w:rsidRDefault="006049AC" w:rsidP="006049AC">
      <w:pPr>
        <w:jc w:val="center"/>
        <w:rPr>
          <w:rFonts w:ascii="Arial" w:hAnsi="Arial" w:cs="Arial"/>
          <w:b/>
          <w:bCs/>
          <w:sz w:val="18"/>
          <w:szCs w:val="18"/>
        </w:rPr>
      </w:pPr>
      <w:r w:rsidRPr="00245323">
        <w:rPr>
          <w:rFonts w:ascii="Arial" w:hAnsi="Arial" w:cs="Arial"/>
          <w:b/>
          <w:bCs/>
          <w:sz w:val="18"/>
          <w:szCs w:val="18"/>
        </w:rPr>
        <w:t>Figure 1: UE mobility across multiple SNs</w:t>
      </w:r>
    </w:p>
    <w:p w14:paraId="7A5C4C26" w14:textId="5A0FDCEB" w:rsidR="006D62A8" w:rsidRDefault="006D62A8" w:rsidP="006049AC">
      <w:pPr>
        <w:rPr>
          <w:rFonts w:ascii="Arial" w:hAnsi="Arial" w:cs="Arial"/>
        </w:rPr>
      </w:pPr>
      <w:r>
        <w:rPr>
          <w:rFonts w:ascii="Arial" w:hAnsi="Arial" w:cs="Arial"/>
        </w:rPr>
        <w:t>While RAN2 has not explicitly discussed on default option of UE saving the current SN as also the candidate SN, the option where the NW explicitly also configures the source SN as the candidate SN is not prevented from the NW.</w:t>
      </w:r>
    </w:p>
    <w:p w14:paraId="55D87F9E" w14:textId="618404BA" w:rsidR="006D62A8" w:rsidRPr="00D11BD6" w:rsidRDefault="006D62A8" w:rsidP="006049AC">
      <w:pPr>
        <w:rPr>
          <w:rFonts w:ascii="Arial" w:hAnsi="Arial" w:cs="Arial"/>
          <w:b/>
          <w:bCs/>
        </w:rPr>
      </w:pPr>
      <w:r w:rsidRPr="00D11BD6">
        <w:rPr>
          <w:rFonts w:ascii="Arial" w:hAnsi="Arial" w:cs="Arial"/>
          <w:b/>
          <w:bCs/>
        </w:rPr>
        <w:t>Observation 1: NW can always configure the current source SN as part of the candidate SNs.</w:t>
      </w:r>
    </w:p>
    <w:p w14:paraId="20B64C95" w14:textId="2A1083D2" w:rsidR="006D62A8" w:rsidRPr="00D11BD6" w:rsidRDefault="006D62A8" w:rsidP="006049AC">
      <w:pPr>
        <w:rPr>
          <w:rFonts w:ascii="Arial" w:hAnsi="Arial" w:cs="Arial"/>
          <w:b/>
          <w:bCs/>
        </w:rPr>
      </w:pPr>
      <w:r w:rsidRPr="00D11BD6">
        <w:rPr>
          <w:rFonts w:ascii="Arial" w:hAnsi="Arial" w:cs="Arial"/>
          <w:b/>
          <w:bCs/>
        </w:rPr>
        <w:t>Observation 2: It is efficient to not repeat the source SN configuration as part of the candidate SN configuration.</w:t>
      </w:r>
    </w:p>
    <w:p w14:paraId="4BFD28F7" w14:textId="517EF44D" w:rsidR="006D62A8" w:rsidRDefault="006D62A8" w:rsidP="006049AC">
      <w:pPr>
        <w:rPr>
          <w:rFonts w:ascii="Arial" w:hAnsi="Arial" w:cs="Arial"/>
        </w:rPr>
      </w:pPr>
      <w:r>
        <w:rPr>
          <w:rFonts w:ascii="Arial" w:hAnsi="Arial" w:cs="Arial"/>
        </w:rPr>
        <w:t>We can see that NW can indicate to the UE that the source SN can also be a candidate SN, by just including some indication in the list of candidate SNs, that the source SN is to be included.  We can also see that such indication can also be a place for delta config, where the UE can apply the delta with the current config, when the UE is to use the source SN as the candidate (when the UE applies the config when the ex-source SN is to become the target SN the UE switches to).</w:t>
      </w:r>
      <w:r w:rsidR="00D3111F">
        <w:rPr>
          <w:rFonts w:ascii="Arial" w:hAnsi="Arial" w:cs="Arial"/>
        </w:rPr>
        <w:t xml:space="preserve"> Figure 2 provides a basic signalling structure for this.</w:t>
      </w:r>
    </w:p>
    <w:tbl>
      <w:tblPr>
        <w:tblStyle w:val="TableGrid"/>
        <w:tblW w:w="0" w:type="auto"/>
        <w:tblLook w:val="04A0" w:firstRow="1" w:lastRow="0" w:firstColumn="1" w:lastColumn="0" w:noHBand="0" w:noVBand="1"/>
      </w:tblPr>
      <w:tblGrid>
        <w:gridCol w:w="9016"/>
      </w:tblGrid>
      <w:tr w:rsidR="00D3111F" w14:paraId="06EA7A2B" w14:textId="77777777" w:rsidTr="00D3111F">
        <w:tc>
          <w:tcPr>
            <w:tcW w:w="9016" w:type="dxa"/>
          </w:tcPr>
          <w:p w14:paraId="78238D23" w14:textId="28085475" w:rsidR="00D3111F" w:rsidRDefault="001A0773" w:rsidP="001A0773">
            <w:pPr>
              <w:ind w:left="-26" w:right="-177"/>
              <w:rPr>
                <w:rFonts w:ascii="Arial" w:hAnsi="Arial" w:cs="Arial"/>
              </w:rPr>
            </w:pPr>
            <w:r w:rsidRPr="001A0773">
              <w:rPr>
                <w:rFonts w:ascii="Arial" w:hAnsi="Arial" w:cs="Arial"/>
                <w:noProof/>
              </w:rPr>
              <w:lastRenderedPageBreak/>
              <w:drawing>
                <wp:inline distT="0" distB="0" distL="0" distR="0" wp14:anchorId="629CDE40" wp14:editId="37071D9C">
                  <wp:extent cx="5731510" cy="4250690"/>
                  <wp:effectExtent l="0" t="0" r="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31510" cy="4250690"/>
                          </a:xfrm>
                          <a:prstGeom prst="rect">
                            <a:avLst/>
                          </a:prstGeom>
                        </pic:spPr>
                      </pic:pic>
                    </a:graphicData>
                  </a:graphic>
                </wp:inline>
              </w:drawing>
            </w:r>
          </w:p>
        </w:tc>
      </w:tr>
    </w:tbl>
    <w:p w14:paraId="5A0D7BFA" w14:textId="36FBB3D6" w:rsidR="00D3111F" w:rsidRPr="00245323" w:rsidRDefault="00D3111F" w:rsidP="00D3111F">
      <w:pPr>
        <w:jc w:val="center"/>
        <w:rPr>
          <w:rFonts w:ascii="Arial" w:hAnsi="Arial" w:cs="Arial"/>
          <w:b/>
          <w:bCs/>
          <w:sz w:val="18"/>
          <w:szCs w:val="18"/>
        </w:rPr>
      </w:pPr>
      <w:r w:rsidRPr="00245323">
        <w:rPr>
          <w:rFonts w:ascii="Arial" w:hAnsi="Arial" w:cs="Arial"/>
          <w:b/>
          <w:bCs/>
          <w:sz w:val="18"/>
          <w:szCs w:val="18"/>
        </w:rPr>
        <w:t xml:space="preserve">Figure </w:t>
      </w:r>
      <w:r>
        <w:rPr>
          <w:rFonts w:ascii="Arial" w:hAnsi="Arial" w:cs="Arial"/>
          <w:b/>
          <w:bCs/>
          <w:sz w:val="18"/>
          <w:szCs w:val="18"/>
        </w:rPr>
        <w:t>2</w:t>
      </w:r>
      <w:r w:rsidRPr="00245323">
        <w:rPr>
          <w:rFonts w:ascii="Arial" w:hAnsi="Arial" w:cs="Arial"/>
          <w:b/>
          <w:bCs/>
          <w:sz w:val="18"/>
          <w:szCs w:val="18"/>
        </w:rPr>
        <w:t xml:space="preserve">: </w:t>
      </w:r>
      <w:r>
        <w:rPr>
          <w:rFonts w:ascii="Arial" w:hAnsi="Arial" w:cs="Arial"/>
          <w:b/>
          <w:bCs/>
          <w:sz w:val="18"/>
          <w:szCs w:val="18"/>
        </w:rPr>
        <w:t>Source SN as candidate SN with delta config</w:t>
      </w:r>
    </w:p>
    <w:p w14:paraId="0E6F0A96" w14:textId="77777777" w:rsidR="00D3111F" w:rsidRDefault="00D3111F" w:rsidP="006049AC">
      <w:pPr>
        <w:rPr>
          <w:rFonts w:ascii="Arial" w:hAnsi="Arial" w:cs="Arial"/>
        </w:rPr>
      </w:pPr>
    </w:p>
    <w:p w14:paraId="569DE7A1" w14:textId="17C3C22E" w:rsidR="006D62A8" w:rsidRDefault="006D62A8" w:rsidP="006049AC">
      <w:pPr>
        <w:rPr>
          <w:rFonts w:ascii="Arial" w:hAnsi="Arial" w:cs="Arial"/>
        </w:rPr>
      </w:pPr>
      <w:r>
        <w:rPr>
          <w:rFonts w:ascii="Arial" w:hAnsi="Arial" w:cs="Arial"/>
        </w:rPr>
        <w:t xml:space="preserve">While we still need to discuss the role of reference config, we think </w:t>
      </w:r>
      <w:proofErr w:type="spellStart"/>
      <w:r>
        <w:rPr>
          <w:rFonts w:ascii="Arial" w:hAnsi="Arial" w:cs="Arial"/>
        </w:rPr>
        <w:t>atleast</w:t>
      </w:r>
      <w:proofErr w:type="spellEnd"/>
      <w:r>
        <w:rPr>
          <w:rFonts w:ascii="Arial" w:hAnsi="Arial" w:cs="Arial"/>
        </w:rPr>
        <w:t xml:space="preserve"> the below agreement needs to be made.</w:t>
      </w:r>
    </w:p>
    <w:p w14:paraId="2285CCFA" w14:textId="6FEFEF09" w:rsidR="00D3111F" w:rsidRDefault="00D3111F" w:rsidP="006049AC">
      <w:pPr>
        <w:rPr>
          <w:rFonts w:ascii="Arial" w:hAnsi="Arial" w:cs="Arial"/>
          <w:b/>
          <w:bCs/>
        </w:rPr>
      </w:pPr>
      <w:r w:rsidRPr="00D11BD6">
        <w:rPr>
          <w:rFonts w:ascii="Arial" w:hAnsi="Arial" w:cs="Arial"/>
          <w:b/>
          <w:bCs/>
        </w:rPr>
        <w:t xml:space="preserve">Observation 3: </w:t>
      </w:r>
      <w:proofErr w:type="gramStart"/>
      <w:r w:rsidRPr="00D11BD6">
        <w:rPr>
          <w:rFonts w:ascii="Arial" w:hAnsi="Arial" w:cs="Arial"/>
          <w:b/>
          <w:bCs/>
        </w:rPr>
        <w:t>It can be seen that such</w:t>
      </w:r>
      <w:proofErr w:type="gramEnd"/>
      <w:r w:rsidRPr="00D11BD6">
        <w:rPr>
          <w:rFonts w:ascii="Arial" w:hAnsi="Arial" w:cs="Arial"/>
          <w:b/>
          <w:bCs/>
        </w:rPr>
        <w:t xml:space="preserve"> delta container can hold the SN key (</w:t>
      </w:r>
      <w:proofErr w:type="spellStart"/>
      <w:r w:rsidRPr="00D11BD6">
        <w:rPr>
          <w:rFonts w:ascii="Arial" w:hAnsi="Arial" w:cs="Arial"/>
          <w:b/>
          <w:bCs/>
        </w:rPr>
        <w:t>sk</w:t>
      </w:r>
      <w:proofErr w:type="spellEnd"/>
      <w:r w:rsidRPr="00D11BD6">
        <w:rPr>
          <w:rFonts w:ascii="Arial" w:hAnsi="Arial" w:cs="Arial"/>
          <w:b/>
          <w:bCs/>
        </w:rPr>
        <w:t>-Counter IE) so that the same key re-use can be prevented when the UE selects this SN as the target SN later on.</w:t>
      </w:r>
    </w:p>
    <w:p w14:paraId="6472DCF7" w14:textId="77777777" w:rsidR="00460CA0" w:rsidRPr="00D11BD6" w:rsidRDefault="00460CA0" w:rsidP="00460CA0">
      <w:pPr>
        <w:rPr>
          <w:rFonts w:ascii="Arial" w:hAnsi="Arial" w:cs="Arial"/>
          <w:b/>
          <w:bCs/>
        </w:rPr>
      </w:pPr>
      <w:r w:rsidRPr="00D11BD6">
        <w:rPr>
          <w:rFonts w:ascii="Arial" w:hAnsi="Arial" w:cs="Arial"/>
          <w:b/>
          <w:bCs/>
        </w:rPr>
        <w:t xml:space="preserve">Proposal 1: For the case of NW configuring the source SN as also one of the </w:t>
      </w:r>
      <w:proofErr w:type="gramStart"/>
      <w:r w:rsidRPr="00D11BD6">
        <w:rPr>
          <w:rFonts w:ascii="Arial" w:hAnsi="Arial" w:cs="Arial"/>
          <w:b/>
          <w:bCs/>
        </w:rPr>
        <w:t>candidate</w:t>
      </w:r>
      <w:proofErr w:type="gramEnd"/>
      <w:r w:rsidRPr="00D11BD6">
        <w:rPr>
          <w:rFonts w:ascii="Arial" w:hAnsi="Arial" w:cs="Arial"/>
          <w:b/>
          <w:bCs/>
        </w:rPr>
        <w:t xml:space="preserve"> SNs, the NW configures this SN as a candidate with a delta config container such that the UE applies the diff between the current source config and the delta container when this SN becomes the target SN from the list of candidate SNs.</w:t>
      </w:r>
    </w:p>
    <w:p w14:paraId="6F6942A2" w14:textId="0DEB816B" w:rsidR="004F25E9" w:rsidRDefault="004F25E9" w:rsidP="004F25E9">
      <w:pPr>
        <w:rPr>
          <w:rFonts w:ascii="Arial" w:hAnsi="Arial" w:cs="Arial"/>
        </w:rPr>
      </w:pPr>
      <w:r>
        <w:rPr>
          <w:rFonts w:ascii="Arial" w:hAnsi="Arial" w:cs="Arial"/>
        </w:rPr>
        <w:t xml:space="preserve">While we acknowledge that the signalling details of the Rel-18 CPC are still open, we think such “pre” configuration of the </w:t>
      </w:r>
      <w:proofErr w:type="spellStart"/>
      <w:r>
        <w:rPr>
          <w:rFonts w:ascii="Arial" w:hAnsi="Arial" w:cs="Arial"/>
        </w:rPr>
        <w:t>sk</w:t>
      </w:r>
      <w:proofErr w:type="spellEnd"/>
      <w:r>
        <w:rPr>
          <w:rFonts w:ascii="Arial" w:hAnsi="Arial" w:cs="Arial"/>
        </w:rPr>
        <w:t>-counter for the current SN in anticipation of future use, solves the SA3 requirement of preventing key re-use. But we also understand that SA3 is the WG to decide if such approach is appropriate or not, and so we propose to check with SA3 about this.</w:t>
      </w:r>
    </w:p>
    <w:p w14:paraId="1ED0A6E7" w14:textId="59F32CC3" w:rsidR="004F25E9" w:rsidRPr="00A75D36" w:rsidRDefault="004F25E9" w:rsidP="004F25E9">
      <w:pPr>
        <w:rPr>
          <w:rFonts w:ascii="Arial" w:hAnsi="Arial" w:cs="Arial"/>
          <w:b/>
          <w:bCs/>
        </w:rPr>
      </w:pPr>
      <w:r w:rsidRPr="00A75D36">
        <w:rPr>
          <w:rFonts w:ascii="Arial" w:hAnsi="Arial" w:cs="Arial"/>
          <w:b/>
          <w:bCs/>
        </w:rPr>
        <w:t xml:space="preserve">Proposal 2: Inform SA3 about the </w:t>
      </w:r>
      <w:r w:rsidR="00A75D36" w:rsidRPr="00A75D36">
        <w:rPr>
          <w:rFonts w:ascii="Arial" w:hAnsi="Arial" w:cs="Arial"/>
          <w:b/>
          <w:bCs/>
        </w:rPr>
        <w:t xml:space="preserve">“pre” configuration of source SN (as a potential candidate SN) with </w:t>
      </w:r>
      <w:proofErr w:type="spellStart"/>
      <w:r w:rsidR="00A75D36" w:rsidRPr="00A75D36">
        <w:rPr>
          <w:rFonts w:ascii="Arial" w:hAnsi="Arial" w:cs="Arial"/>
          <w:b/>
          <w:bCs/>
        </w:rPr>
        <w:t>sk</w:t>
      </w:r>
      <w:proofErr w:type="spellEnd"/>
      <w:r w:rsidR="00A75D36" w:rsidRPr="00A75D36">
        <w:rPr>
          <w:rFonts w:ascii="Arial" w:hAnsi="Arial" w:cs="Arial"/>
          <w:b/>
          <w:bCs/>
        </w:rPr>
        <w:t>-offset to be used in the future, and seek their input for such procedure, from security perspective.</w:t>
      </w:r>
    </w:p>
    <w:p w14:paraId="62B2123F" w14:textId="77777777" w:rsidR="00460CA0" w:rsidRPr="00D11BD6" w:rsidRDefault="00460CA0" w:rsidP="006049AC">
      <w:pPr>
        <w:rPr>
          <w:rFonts w:ascii="Arial" w:hAnsi="Arial" w:cs="Arial"/>
          <w:b/>
          <w:bCs/>
        </w:rPr>
      </w:pPr>
    </w:p>
    <w:p w14:paraId="5E6C5907" w14:textId="3C458C27" w:rsidR="0060350E" w:rsidRPr="008F5B07" w:rsidRDefault="00DB60E8" w:rsidP="0060350E">
      <w:pPr>
        <w:pStyle w:val="Heading1"/>
        <w:rPr>
          <w:rFonts w:eastAsia="MS Mincho"/>
          <w:sz w:val="32"/>
        </w:rPr>
      </w:pPr>
      <w:r>
        <w:rPr>
          <w:rStyle w:val="Heading2Char"/>
          <w:rFonts w:eastAsia="MS Mincho"/>
        </w:rPr>
        <w:lastRenderedPageBreak/>
        <w:t>The</w:t>
      </w:r>
      <w:r w:rsidR="00EB1F19">
        <w:rPr>
          <w:rStyle w:val="Heading2Char"/>
          <w:rFonts w:eastAsia="MS Mincho"/>
        </w:rPr>
        <w:t xml:space="preserve"> </w:t>
      </w:r>
      <w:r w:rsidR="00CC5A46">
        <w:rPr>
          <w:rStyle w:val="Heading2Char"/>
          <w:rFonts w:eastAsia="MS Mincho"/>
        </w:rPr>
        <w:t>reference config</w:t>
      </w:r>
      <w:r>
        <w:rPr>
          <w:rStyle w:val="Heading2Char"/>
          <w:rFonts w:eastAsia="MS Mincho"/>
        </w:rPr>
        <w:t xml:space="preserve"> </w:t>
      </w:r>
      <w:r w:rsidR="007024E1">
        <w:rPr>
          <w:rStyle w:val="Heading2Char"/>
          <w:rFonts w:eastAsia="MS Mincho"/>
        </w:rPr>
        <w:t>introduction</w:t>
      </w:r>
    </w:p>
    <w:p w14:paraId="04F197F7" w14:textId="2FF4714F" w:rsidR="00CC5A46" w:rsidRDefault="007024E1" w:rsidP="0060350E">
      <w:pPr>
        <w:rPr>
          <w:rFonts w:ascii="Arial" w:hAnsi="Arial" w:cs="Arial"/>
        </w:rPr>
      </w:pPr>
      <w:r>
        <w:rPr>
          <w:rFonts w:ascii="Arial" w:hAnsi="Arial" w:cs="Arial"/>
        </w:rPr>
        <w:t>With the introduction of CPC from Rel-17, MN is expected to mediate the (conditional) SN configs including the trigger conditions and other aspects.</w:t>
      </w:r>
    </w:p>
    <w:p w14:paraId="4FABAB1B" w14:textId="7F4099AD" w:rsidR="007024E1" w:rsidRDefault="007024E1" w:rsidP="0060350E">
      <w:pPr>
        <w:rPr>
          <w:rFonts w:ascii="Arial" w:hAnsi="Arial" w:cs="Arial"/>
        </w:rPr>
      </w:pPr>
      <w:r>
        <w:rPr>
          <w:rFonts w:ascii="Arial" w:hAnsi="Arial" w:cs="Arial"/>
        </w:rPr>
        <w:t>We can also see that the Rel-16 CPC (where SN does intra-CPC without MN involvement) has had issues with inter-operability with Rel-17. We clearly see that any enhancement to Rel-16 CPC from Rel-18 perspective will only lead to more issues, and that it is a better approach to always have MN involved in any of Rel-18 CPC aspects.</w:t>
      </w:r>
    </w:p>
    <w:p w14:paraId="40CD60B2" w14:textId="67CFA83B" w:rsidR="007024E1" w:rsidRPr="00C63D4E" w:rsidRDefault="007024E1" w:rsidP="0060350E">
      <w:pPr>
        <w:rPr>
          <w:rFonts w:ascii="Arial" w:hAnsi="Arial" w:cs="Arial"/>
          <w:b/>
          <w:bCs/>
        </w:rPr>
      </w:pPr>
      <w:r w:rsidRPr="00C63D4E">
        <w:rPr>
          <w:rFonts w:ascii="Arial" w:hAnsi="Arial" w:cs="Arial"/>
          <w:b/>
          <w:bCs/>
        </w:rPr>
        <w:t xml:space="preserve">Observation </w:t>
      </w:r>
      <w:r w:rsidR="00C63D4E" w:rsidRPr="00C63D4E">
        <w:rPr>
          <w:rFonts w:ascii="Arial" w:hAnsi="Arial" w:cs="Arial"/>
          <w:b/>
          <w:bCs/>
        </w:rPr>
        <w:t>4</w:t>
      </w:r>
      <w:r w:rsidRPr="00C63D4E">
        <w:rPr>
          <w:rFonts w:ascii="Arial" w:hAnsi="Arial" w:cs="Arial"/>
          <w:b/>
          <w:bCs/>
        </w:rPr>
        <w:t xml:space="preserve">: Rel-16 CPC without MN involvement </w:t>
      </w:r>
      <w:proofErr w:type="gramStart"/>
      <w:r w:rsidRPr="00C63D4E">
        <w:rPr>
          <w:rFonts w:ascii="Arial" w:hAnsi="Arial" w:cs="Arial"/>
          <w:b/>
          <w:bCs/>
        </w:rPr>
        <w:t>lead</w:t>
      </w:r>
      <w:proofErr w:type="gramEnd"/>
      <w:r w:rsidRPr="00C63D4E">
        <w:rPr>
          <w:rFonts w:ascii="Arial" w:hAnsi="Arial" w:cs="Arial"/>
          <w:b/>
          <w:bCs/>
        </w:rPr>
        <w:t xml:space="preserve"> to many issues </w:t>
      </w:r>
      <w:proofErr w:type="spellStart"/>
      <w:r w:rsidRPr="00C63D4E">
        <w:rPr>
          <w:rFonts w:ascii="Arial" w:hAnsi="Arial" w:cs="Arial"/>
          <w:b/>
          <w:bCs/>
        </w:rPr>
        <w:t>in i</w:t>
      </w:r>
      <w:proofErr w:type="spellEnd"/>
      <w:r w:rsidRPr="00C63D4E">
        <w:rPr>
          <w:rFonts w:ascii="Arial" w:hAnsi="Arial" w:cs="Arial"/>
          <w:b/>
          <w:bCs/>
        </w:rPr>
        <w:t>t’s interplay with Rel-17 CPC.</w:t>
      </w:r>
    </w:p>
    <w:p w14:paraId="59430174" w14:textId="21239231" w:rsidR="007024E1" w:rsidRPr="00C63D4E" w:rsidRDefault="007024E1" w:rsidP="0060350E">
      <w:pPr>
        <w:rPr>
          <w:rFonts w:ascii="Arial" w:hAnsi="Arial" w:cs="Arial"/>
          <w:b/>
          <w:bCs/>
        </w:rPr>
      </w:pPr>
      <w:r w:rsidRPr="00C63D4E">
        <w:rPr>
          <w:rFonts w:ascii="Arial" w:hAnsi="Arial" w:cs="Arial"/>
          <w:b/>
          <w:bCs/>
        </w:rPr>
        <w:t xml:space="preserve">Proposal </w:t>
      </w:r>
      <w:r w:rsidR="00C63D4E" w:rsidRPr="00C63D4E">
        <w:rPr>
          <w:rFonts w:ascii="Arial" w:hAnsi="Arial" w:cs="Arial"/>
          <w:b/>
          <w:bCs/>
        </w:rPr>
        <w:t>3</w:t>
      </w:r>
      <w:r w:rsidRPr="00C63D4E">
        <w:rPr>
          <w:rFonts w:ascii="Arial" w:hAnsi="Arial" w:cs="Arial"/>
          <w:b/>
          <w:bCs/>
        </w:rPr>
        <w:t>: All Rel-18 CPC enhancements should be handled by MN.</w:t>
      </w:r>
    </w:p>
    <w:p w14:paraId="21E4C842" w14:textId="0E98740E" w:rsidR="007024E1" w:rsidRDefault="00460CA0" w:rsidP="0060350E">
      <w:pPr>
        <w:rPr>
          <w:rFonts w:ascii="Arial" w:hAnsi="Arial" w:cs="Arial"/>
        </w:rPr>
      </w:pPr>
      <w:r>
        <w:rPr>
          <w:rFonts w:ascii="Arial" w:hAnsi="Arial" w:cs="Arial"/>
        </w:rPr>
        <w:t>With that agreement, we lay the way for a reference config, where the MN can now provide a reference config to all the potential SNs such that the SNs can provide their config to the UE (via MN) based on this reference config as the delta config.</w:t>
      </w:r>
      <w:r w:rsidR="00C63D4E">
        <w:rPr>
          <w:rFonts w:ascii="Arial" w:hAnsi="Arial" w:cs="Arial"/>
        </w:rPr>
        <w:t xml:space="preserve"> Figure 3 shows such procedure, while we have a sample ASN.1 reflecting the same in figure 4.</w:t>
      </w:r>
    </w:p>
    <w:p w14:paraId="09A8FB35" w14:textId="522BE504" w:rsidR="00387B25" w:rsidRDefault="00387B25" w:rsidP="0060350E">
      <w:pPr>
        <w:rPr>
          <w:rFonts w:ascii="Arial" w:hAnsi="Arial" w:cs="Arial"/>
          <w:i/>
          <w:iCs/>
        </w:rPr>
      </w:pPr>
      <w:r>
        <w:rPr>
          <w:rFonts w:ascii="Arial" w:hAnsi="Arial" w:cs="Arial"/>
        </w:rPr>
        <w:t xml:space="preserve">The requirement for SNs that support Rel-18 is to not send their current SN config in the </w:t>
      </w:r>
      <w:proofErr w:type="spellStart"/>
      <w:r w:rsidRPr="00387B25">
        <w:rPr>
          <w:rFonts w:ascii="Arial" w:hAnsi="Arial" w:cs="Arial"/>
          <w:i/>
          <w:iCs/>
        </w:rPr>
        <w:t>sourceConfigSCG</w:t>
      </w:r>
      <w:proofErr w:type="spellEnd"/>
      <w:r>
        <w:rPr>
          <w:rFonts w:ascii="Arial" w:hAnsi="Arial" w:cs="Arial"/>
        </w:rPr>
        <w:t xml:space="preserve">, as part of SN change, but rather use the </w:t>
      </w:r>
      <w:proofErr w:type="spellStart"/>
      <w:r>
        <w:rPr>
          <w:rFonts w:ascii="Arial" w:hAnsi="Arial" w:cs="Arial"/>
        </w:rPr>
        <w:t>referenceConfig</w:t>
      </w:r>
      <w:proofErr w:type="spellEnd"/>
      <w:r>
        <w:rPr>
          <w:rFonts w:ascii="Arial" w:hAnsi="Arial" w:cs="Arial"/>
        </w:rPr>
        <w:t xml:space="preserve"> provided by the MN. Alternatively (or additionally), we can also require that the target SN, when it prepares the configuration for the UE, uses the MN provided </w:t>
      </w:r>
      <w:proofErr w:type="spellStart"/>
      <w:r>
        <w:rPr>
          <w:rFonts w:ascii="Arial" w:hAnsi="Arial" w:cs="Arial"/>
          <w:i/>
          <w:iCs/>
        </w:rPr>
        <w:t>referenceConfig</w:t>
      </w:r>
      <w:proofErr w:type="spellEnd"/>
      <w:r>
        <w:rPr>
          <w:rFonts w:ascii="Arial" w:hAnsi="Arial" w:cs="Arial"/>
          <w:i/>
          <w:iCs/>
        </w:rPr>
        <w:t xml:space="preserve"> </w:t>
      </w:r>
      <w:r>
        <w:rPr>
          <w:rFonts w:ascii="Arial" w:hAnsi="Arial" w:cs="Arial"/>
        </w:rPr>
        <w:t xml:space="preserve">as the </w:t>
      </w:r>
      <w:proofErr w:type="spellStart"/>
      <w:r w:rsidRPr="00387B25">
        <w:rPr>
          <w:rFonts w:ascii="Arial" w:hAnsi="Arial" w:cs="Arial"/>
          <w:i/>
          <w:iCs/>
        </w:rPr>
        <w:t>sourceConfigSCG</w:t>
      </w:r>
      <w:proofErr w:type="spellEnd"/>
      <w:r>
        <w:rPr>
          <w:rFonts w:ascii="Arial" w:hAnsi="Arial" w:cs="Arial"/>
          <w:i/>
          <w:iCs/>
        </w:rPr>
        <w:t>.</w:t>
      </w:r>
    </w:p>
    <w:p w14:paraId="78FDA557" w14:textId="37217DF0" w:rsidR="00E95C0E" w:rsidRPr="00E95C0E" w:rsidRDefault="00E95C0E" w:rsidP="0060350E">
      <w:pPr>
        <w:rPr>
          <w:rFonts w:ascii="Arial" w:hAnsi="Arial" w:cs="Arial"/>
        </w:rPr>
      </w:pPr>
      <w:r>
        <w:rPr>
          <w:rFonts w:ascii="Arial" w:hAnsi="Arial" w:cs="Arial"/>
        </w:rPr>
        <w:t xml:space="preserve">Correspondingly, the requirement at the UE is to use the provided </w:t>
      </w:r>
      <w:proofErr w:type="spellStart"/>
      <w:r>
        <w:rPr>
          <w:rFonts w:ascii="Arial" w:hAnsi="Arial" w:cs="Arial"/>
        </w:rPr>
        <w:t>referenceConfig</w:t>
      </w:r>
      <w:proofErr w:type="spellEnd"/>
      <w:r>
        <w:rPr>
          <w:rFonts w:ascii="Arial" w:hAnsi="Arial" w:cs="Arial"/>
        </w:rPr>
        <w:t xml:space="preserve"> as the reference for delta, whenever there is an RRC message from the SN (until explicitly released).</w:t>
      </w:r>
    </w:p>
    <w:tbl>
      <w:tblPr>
        <w:tblStyle w:val="TableGrid"/>
        <w:tblW w:w="0" w:type="auto"/>
        <w:tblLook w:val="04A0" w:firstRow="1" w:lastRow="0" w:firstColumn="1" w:lastColumn="0" w:noHBand="0" w:noVBand="1"/>
      </w:tblPr>
      <w:tblGrid>
        <w:gridCol w:w="9016"/>
      </w:tblGrid>
      <w:tr w:rsidR="00C63D4E" w14:paraId="234E38B9" w14:textId="77777777" w:rsidTr="00CA46FD">
        <w:tc>
          <w:tcPr>
            <w:tcW w:w="9016" w:type="dxa"/>
          </w:tcPr>
          <w:p w14:paraId="6CAC2682" w14:textId="0344C9B5" w:rsidR="00C63D4E" w:rsidRDefault="004542FF" w:rsidP="00CA46FD">
            <w:pPr>
              <w:rPr>
                <w:rFonts w:ascii="Arial" w:hAnsi="Arial" w:cs="Arial"/>
              </w:rPr>
            </w:pPr>
            <w:r w:rsidRPr="004542FF">
              <w:rPr>
                <w:rFonts w:ascii="Arial" w:hAnsi="Arial" w:cs="Arial"/>
                <w:noProof/>
              </w:rPr>
              <w:drawing>
                <wp:inline distT="0" distB="0" distL="0" distR="0" wp14:anchorId="00FAC9FF" wp14:editId="3023F9AE">
                  <wp:extent cx="5731510" cy="350393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31510" cy="3503930"/>
                          </a:xfrm>
                          <a:prstGeom prst="rect">
                            <a:avLst/>
                          </a:prstGeom>
                        </pic:spPr>
                      </pic:pic>
                    </a:graphicData>
                  </a:graphic>
                </wp:inline>
              </w:drawing>
            </w:r>
          </w:p>
        </w:tc>
      </w:tr>
    </w:tbl>
    <w:p w14:paraId="0AE2CF7A" w14:textId="77777777" w:rsidR="00C63D4E" w:rsidRPr="00245323" w:rsidRDefault="00C63D4E" w:rsidP="00C63D4E">
      <w:pPr>
        <w:jc w:val="center"/>
        <w:rPr>
          <w:rFonts w:ascii="Arial" w:hAnsi="Arial" w:cs="Arial"/>
          <w:b/>
          <w:bCs/>
          <w:sz w:val="18"/>
          <w:szCs w:val="18"/>
        </w:rPr>
      </w:pPr>
      <w:r w:rsidRPr="00245323">
        <w:rPr>
          <w:rFonts w:ascii="Arial" w:hAnsi="Arial" w:cs="Arial"/>
          <w:b/>
          <w:bCs/>
          <w:sz w:val="18"/>
          <w:szCs w:val="18"/>
        </w:rPr>
        <w:t xml:space="preserve">Figure </w:t>
      </w:r>
      <w:r>
        <w:rPr>
          <w:rFonts w:ascii="Arial" w:hAnsi="Arial" w:cs="Arial"/>
          <w:b/>
          <w:bCs/>
          <w:sz w:val="18"/>
          <w:szCs w:val="18"/>
        </w:rPr>
        <w:t>3</w:t>
      </w:r>
      <w:r w:rsidRPr="00245323">
        <w:rPr>
          <w:rFonts w:ascii="Arial" w:hAnsi="Arial" w:cs="Arial"/>
          <w:b/>
          <w:bCs/>
          <w:sz w:val="18"/>
          <w:szCs w:val="18"/>
        </w:rPr>
        <w:t xml:space="preserve">: </w:t>
      </w:r>
      <w:r>
        <w:rPr>
          <w:rFonts w:ascii="Arial" w:hAnsi="Arial" w:cs="Arial"/>
          <w:b/>
          <w:bCs/>
          <w:sz w:val="18"/>
          <w:szCs w:val="18"/>
        </w:rPr>
        <w:t>Example usage of ref config</w:t>
      </w:r>
    </w:p>
    <w:p w14:paraId="43B6A5FD" w14:textId="0C6DB903" w:rsidR="00460CA0" w:rsidRDefault="00460CA0" w:rsidP="0060350E">
      <w:pPr>
        <w:rPr>
          <w:rFonts w:ascii="Arial" w:hAnsi="Arial" w:cs="Arial"/>
        </w:rPr>
      </w:pPr>
    </w:p>
    <w:tbl>
      <w:tblPr>
        <w:tblStyle w:val="TableGrid"/>
        <w:tblW w:w="0" w:type="auto"/>
        <w:tblLook w:val="04A0" w:firstRow="1" w:lastRow="0" w:firstColumn="1" w:lastColumn="0" w:noHBand="0" w:noVBand="1"/>
      </w:tblPr>
      <w:tblGrid>
        <w:gridCol w:w="9016"/>
      </w:tblGrid>
      <w:tr w:rsidR="000871BC" w14:paraId="37FC38E9" w14:textId="77777777" w:rsidTr="00CA46FD">
        <w:tc>
          <w:tcPr>
            <w:tcW w:w="9016" w:type="dxa"/>
          </w:tcPr>
          <w:p w14:paraId="6BBD8324" w14:textId="51A0CFD0" w:rsidR="000871BC" w:rsidRDefault="000871BC" w:rsidP="00CA46FD">
            <w:pPr>
              <w:rPr>
                <w:rFonts w:ascii="Arial" w:hAnsi="Arial" w:cs="Arial"/>
              </w:rPr>
            </w:pPr>
          </w:p>
          <w:p w14:paraId="43AB7C10" w14:textId="763AD383" w:rsidR="006F6890" w:rsidRPr="00B55E3E" w:rsidRDefault="006F6890" w:rsidP="006F6890">
            <w:pPr>
              <w:pStyle w:val="PL"/>
            </w:pPr>
            <w:r w:rsidRPr="00B55E3E">
              <w:t xml:space="preserve">CG-ConfigInfo-IEs ::=             </w:t>
            </w:r>
            <w:r w:rsidRPr="00B55E3E">
              <w:rPr>
                <w:color w:val="993366"/>
              </w:rPr>
              <w:t>SEQUENCE</w:t>
            </w:r>
            <w:r w:rsidRPr="00B55E3E">
              <w:t xml:space="preserve"> {</w:t>
            </w:r>
          </w:p>
          <w:p w14:paraId="215136AE" w14:textId="5855FF95" w:rsidR="006F6890" w:rsidRDefault="006F6890" w:rsidP="00CA46FD">
            <w:pPr>
              <w:rPr>
                <w:rFonts w:ascii="Arial" w:hAnsi="Arial" w:cs="Arial"/>
              </w:rPr>
            </w:pPr>
            <w:r>
              <w:rPr>
                <w:rFonts w:ascii="Arial" w:hAnsi="Arial" w:cs="Arial"/>
              </w:rPr>
              <w:lastRenderedPageBreak/>
              <w:t>&lt;&lt; skipped&gt;&gt;</w:t>
            </w:r>
          </w:p>
          <w:p w14:paraId="21F50D6C" w14:textId="78EED055" w:rsidR="006F6890" w:rsidRDefault="006F6890" w:rsidP="006F6890">
            <w:pPr>
              <w:pStyle w:val="PL"/>
            </w:pPr>
            <w:r>
              <w:t>…………………</w:t>
            </w:r>
          </w:p>
          <w:p w14:paraId="7CBB4489" w14:textId="77777777" w:rsidR="006F6890" w:rsidRPr="00B55E3E" w:rsidRDefault="006F6890" w:rsidP="006F6890">
            <w:pPr>
              <w:pStyle w:val="PL"/>
            </w:pPr>
          </w:p>
          <w:p w14:paraId="5110B748" w14:textId="77777777" w:rsidR="006F6890" w:rsidRPr="00B55E3E" w:rsidRDefault="006F6890" w:rsidP="006F6890">
            <w:pPr>
              <w:pStyle w:val="PL"/>
            </w:pPr>
            <w:r w:rsidRPr="00B55E3E">
              <w:t xml:space="preserve">CG-ConfigInfo-v1700-IEs ::=             </w:t>
            </w:r>
            <w:r w:rsidRPr="00B55E3E">
              <w:rPr>
                <w:color w:val="993366"/>
              </w:rPr>
              <w:t>SEQUENCE</w:t>
            </w:r>
            <w:r w:rsidRPr="00B55E3E">
              <w:t xml:space="preserve"> {</w:t>
            </w:r>
          </w:p>
          <w:p w14:paraId="09543733" w14:textId="77777777" w:rsidR="006F6890" w:rsidRPr="00B55E3E" w:rsidRDefault="006F6890" w:rsidP="006F6890">
            <w:pPr>
              <w:pStyle w:val="PL"/>
            </w:pPr>
            <w:r w:rsidRPr="00B55E3E">
              <w:t xml:space="preserve">    candidateCellListCPC-r17                CandidateCellListCPC-r17                     </w:t>
            </w:r>
            <w:r w:rsidRPr="00B55E3E">
              <w:rPr>
                <w:color w:val="993366"/>
              </w:rPr>
              <w:t>OPTIONAL</w:t>
            </w:r>
            <w:r w:rsidRPr="00B55E3E">
              <w:t>,</w:t>
            </w:r>
          </w:p>
          <w:p w14:paraId="7ED66488" w14:textId="77777777" w:rsidR="006F6890" w:rsidRPr="00B55E3E" w:rsidRDefault="006F6890" w:rsidP="006F6890">
            <w:pPr>
              <w:pStyle w:val="PL"/>
            </w:pPr>
            <w:r w:rsidRPr="00B55E3E">
              <w:t xml:space="preserve">    twoPHRModeMCG-r17                       </w:t>
            </w:r>
            <w:r w:rsidRPr="00B55E3E">
              <w:rPr>
                <w:color w:val="993366"/>
              </w:rPr>
              <w:t>ENUMERATED</w:t>
            </w:r>
            <w:r w:rsidRPr="00B55E3E">
              <w:t xml:space="preserve"> {enabled}                         </w:t>
            </w:r>
            <w:r w:rsidRPr="00B55E3E">
              <w:rPr>
                <w:color w:val="993366"/>
              </w:rPr>
              <w:t>OPTIONAL</w:t>
            </w:r>
            <w:r w:rsidRPr="00B55E3E">
              <w:t>,</w:t>
            </w:r>
          </w:p>
          <w:p w14:paraId="01DBC0C7" w14:textId="77777777" w:rsidR="006F6890" w:rsidRPr="00B55E3E" w:rsidRDefault="006F6890" w:rsidP="006F6890">
            <w:pPr>
              <w:pStyle w:val="PL"/>
            </w:pPr>
            <w:r w:rsidRPr="00B55E3E">
              <w:t xml:space="preserve">    </w:t>
            </w:r>
            <w:r w:rsidRPr="00B55E3E">
              <w:rPr>
                <w:rFonts w:eastAsia="DengXian"/>
              </w:rPr>
              <w:t>lowMobilityEvaluationConnectedInPCell-r17</w:t>
            </w:r>
            <w:r w:rsidRPr="00B55E3E">
              <w:t xml:space="preserve"> </w:t>
            </w:r>
            <w:r w:rsidRPr="00B55E3E">
              <w:rPr>
                <w:rFonts w:eastAsia="DengXian"/>
                <w:color w:val="993366"/>
              </w:rPr>
              <w:t>ENUMERATED</w:t>
            </w:r>
            <w:r w:rsidRPr="00B55E3E">
              <w:rPr>
                <w:rFonts w:eastAsia="DengXian"/>
              </w:rPr>
              <w:t xml:space="preserve"> {enabled}</w:t>
            </w:r>
            <w:r w:rsidRPr="00B55E3E">
              <w:t xml:space="preserve">                       </w:t>
            </w:r>
            <w:r w:rsidRPr="00B55E3E">
              <w:rPr>
                <w:color w:val="993366"/>
              </w:rPr>
              <w:t>OPTIONAL</w:t>
            </w:r>
            <w:r w:rsidRPr="00B55E3E">
              <w:t>,</w:t>
            </w:r>
          </w:p>
          <w:p w14:paraId="667F4012" w14:textId="2E7CCDEF" w:rsidR="006F6890" w:rsidRPr="00B55E3E" w:rsidRDefault="006F6890" w:rsidP="006F6890">
            <w:pPr>
              <w:pStyle w:val="PL"/>
            </w:pPr>
            <w:r w:rsidRPr="00B55E3E">
              <w:t xml:space="preserve">    nonCriticalExtension                    CG-ConfigInfo-v1</w:t>
            </w:r>
            <w:r>
              <w:t>8</w:t>
            </w:r>
            <w:r w:rsidRPr="00B55E3E">
              <w:t xml:space="preserve">00-IEs {}                                  </w:t>
            </w:r>
            <w:r w:rsidRPr="00B55E3E">
              <w:rPr>
                <w:color w:val="993366"/>
              </w:rPr>
              <w:t>OPTIONAL</w:t>
            </w:r>
          </w:p>
          <w:p w14:paraId="3AC9F212" w14:textId="77777777" w:rsidR="006F6890" w:rsidRPr="00B55E3E" w:rsidRDefault="006F6890" w:rsidP="006F6890">
            <w:pPr>
              <w:pStyle w:val="PL"/>
              <w:rPr>
                <w:rFonts w:eastAsia="DengXian"/>
              </w:rPr>
            </w:pPr>
            <w:r w:rsidRPr="00B55E3E">
              <w:t>}</w:t>
            </w:r>
          </w:p>
          <w:p w14:paraId="6BB595C2" w14:textId="77777777" w:rsidR="006F6890" w:rsidRDefault="006F6890" w:rsidP="00CA46FD">
            <w:pPr>
              <w:rPr>
                <w:rFonts w:ascii="Arial" w:hAnsi="Arial" w:cs="Arial"/>
              </w:rPr>
            </w:pPr>
          </w:p>
          <w:p w14:paraId="303F2B83" w14:textId="4C59BCE4" w:rsidR="006F6890" w:rsidRPr="00B55E3E" w:rsidRDefault="006F6890" w:rsidP="006F6890">
            <w:pPr>
              <w:pStyle w:val="PL"/>
            </w:pPr>
            <w:r w:rsidRPr="00B55E3E">
              <w:t>CG-ConfigInfo-v1</w:t>
            </w:r>
            <w:r>
              <w:t>8</w:t>
            </w:r>
            <w:r w:rsidRPr="00B55E3E">
              <w:t xml:space="preserve">00-IEs ::=             </w:t>
            </w:r>
            <w:r w:rsidRPr="00B55E3E">
              <w:rPr>
                <w:color w:val="993366"/>
              </w:rPr>
              <w:t>SEQUENCE</w:t>
            </w:r>
            <w:r w:rsidRPr="00B55E3E">
              <w:t xml:space="preserve"> {</w:t>
            </w:r>
          </w:p>
          <w:p w14:paraId="5D41DBAE" w14:textId="70935776" w:rsidR="006F6890" w:rsidRPr="00B55E3E" w:rsidRDefault="006F6890" w:rsidP="006F6890">
            <w:pPr>
              <w:pStyle w:val="PL"/>
            </w:pPr>
            <w:r>
              <w:t xml:space="preserve">    </w:t>
            </w:r>
            <w:r w:rsidRPr="006F6890">
              <w:rPr>
                <w:highlight w:val="yellow"/>
              </w:rPr>
              <w:t xml:space="preserve">referenceConfigSCG-r18                 </w:t>
            </w:r>
            <w:r w:rsidRPr="006F6890">
              <w:rPr>
                <w:color w:val="993366"/>
                <w:highlight w:val="yellow"/>
              </w:rPr>
              <w:t>OCTET</w:t>
            </w:r>
            <w:r w:rsidRPr="006F6890">
              <w:rPr>
                <w:highlight w:val="yellow"/>
              </w:rPr>
              <w:t xml:space="preserve"> </w:t>
            </w:r>
            <w:r w:rsidRPr="006F6890">
              <w:rPr>
                <w:color w:val="993366"/>
                <w:highlight w:val="yellow"/>
              </w:rPr>
              <w:t>STRING</w:t>
            </w:r>
            <w:r w:rsidRPr="006F6890">
              <w:rPr>
                <w:highlight w:val="yellow"/>
              </w:rPr>
              <w:t xml:space="preserve"> (CONTAINING RRCReconfiguration)</w:t>
            </w:r>
            <w:r w:rsidRPr="00B55E3E">
              <w:t xml:space="preserve">                      </w:t>
            </w:r>
          </w:p>
          <w:p w14:paraId="429585F1" w14:textId="77777777" w:rsidR="006F6890" w:rsidRPr="00B55E3E" w:rsidRDefault="006F6890" w:rsidP="006F6890">
            <w:pPr>
              <w:pStyle w:val="PL"/>
            </w:pPr>
            <w:r w:rsidRPr="00B55E3E">
              <w:t xml:space="preserve">    nonCriticalExtension                    </w:t>
            </w:r>
            <w:r w:rsidRPr="00B55E3E">
              <w:rPr>
                <w:color w:val="993366"/>
              </w:rPr>
              <w:t>SEQUENCE</w:t>
            </w:r>
            <w:r w:rsidRPr="00B55E3E">
              <w:t xml:space="preserve"> {}                                  </w:t>
            </w:r>
            <w:r w:rsidRPr="00B55E3E">
              <w:rPr>
                <w:color w:val="993366"/>
              </w:rPr>
              <w:t>OPTIONAL</w:t>
            </w:r>
          </w:p>
          <w:p w14:paraId="7D403F52" w14:textId="77777777" w:rsidR="006F6890" w:rsidRPr="00B55E3E" w:rsidRDefault="006F6890" w:rsidP="006F6890">
            <w:pPr>
              <w:pStyle w:val="PL"/>
              <w:rPr>
                <w:rFonts w:eastAsia="DengXian"/>
              </w:rPr>
            </w:pPr>
            <w:r w:rsidRPr="00B55E3E">
              <w:t>}</w:t>
            </w:r>
          </w:p>
          <w:p w14:paraId="4AFA0E65" w14:textId="77777777" w:rsidR="006F6890" w:rsidRDefault="006F6890" w:rsidP="00CA46FD">
            <w:pPr>
              <w:rPr>
                <w:rFonts w:ascii="Arial" w:hAnsi="Arial" w:cs="Arial"/>
              </w:rPr>
            </w:pPr>
          </w:p>
          <w:p w14:paraId="51080675" w14:textId="77777777" w:rsidR="00F5330E" w:rsidRPr="00B55E3E" w:rsidRDefault="00F5330E" w:rsidP="00F5330E">
            <w:pPr>
              <w:pStyle w:val="PL"/>
            </w:pPr>
            <w:r w:rsidRPr="00B55E3E">
              <w:t xml:space="preserve">ConditionalReconfiguration-r16 ::=   </w:t>
            </w:r>
            <w:r w:rsidRPr="00B55E3E">
              <w:rPr>
                <w:color w:val="993366"/>
              </w:rPr>
              <w:t>SEQUENCE</w:t>
            </w:r>
            <w:r w:rsidRPr="00B55E3E">
              <w:t xml:space="preserve"> {</w:t>
            </w:r>
          </w:p>
          <w:p w14:paraId="3BEC87A7" w14:textId="77777777" w:rsidR="00F5330E" w:rsidRPr="00B55E3E" w:rsidRDefault="00F5330E" w:rsidP="00F5330E">
            <w:pPr>
              <w:pStyle w:val="PL"/>
              <w:rPr>
                <w:color w:val="808080"/>
              </w:rPr>
            </w:pPr>
            <w:r w:rsidRPr="00B55E3E">
              <w:t xml:space="preserve">    attemptCondReconfig-r16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Cond CHO</w:t>
            </w:r>
          </w:p>
          <w:p w14:paraId="7C1CE0A4" w14:textId="77777777" w:rsidR="00F5330E" w:rsidRPr="00B55E3E" w:rsidRDefault="00F5330E" w:rsidP="00F5330E">
            <w:pPr>
              <w:pStyle w:val="PL"/>
              <w:rPr>
                <w:color w:val="808080"/>
              </w:rPr>
            </w:pPr>
            <w:r w:rsidRPr="00B55E3E">
              <w:t xml:space="preserve">    condReconfigToRemoveList-r16         CondReconfigToRemoveList-r16   </w:t>
            </w:r>
            <w:r w:rsidRPr="00B55E3E">
              <w:rPr>
                <w:color w:val="993366"/>
              </w:rPr>
              <w:t>OPTIONAL</w:t>
            </w:r>
            <w:r w:rsidRPr="00B55E3E">
              <w:t xml:space="preserve">,   </w:t>
            </w:r>
            <w:r w:rsidRPr="00B55E3E">
              <w:rPr>
                <w:color w:val="808080"/>
              </w:rPr>
              <w:t>-- Need N</w:t>
            </w:r>
          </w:p>
          <w:p w14:paraId="7AE2DEA6" w14:textId="77777777" w:rsidR="00F5330E" w:rsidRPr="00B55E3E" w:rsidRDefault="00F5330E" w:rsidP="00F5330E">
            <w:pPr>
              <w:pStyle w:val="PL"/>
              <w:rPr>
                <w:color w:val="808080"/>
              </w:rPr>
            </w:pPr>
            <w:r w:rsidRPr="00B55E3E">
              <w:t xml:space="preserve">    condReconfigToAddModList-r16         CondReconfigToAddModList-r16   </w:t>
            </w:r>
            <w:r w:rsidRPr="00B55E3E">
              <w:rPr>
                <w:color w:val="993366"/>
              </w:rPr>
              <w:t>OPTIONAL</w:t>
            </w:r>
            <w:r w:rsidRPr="00B55E3E">
              <w:t xml:space="preserve">,   </w:t>
            </w:r>
            <w:r w:rsidRPr="00B55E3E">
              <w:rPr>
                <w:color w:val="808080"/>
              </w:rPr>
              <w:t>-- Need N</w:t>
            </w:r>
          </w:p>
          <w:p w14:paraId="6C8475DF" w14:textId="6FB80D03" w:rsidR="00F5330E" w:rsidRDefault="00F5330E" w:rsidP="00F5330E">
            <w:pPr>
              <w:pStyle w:val="PL"/>
            </w:pPr>
            <w:r w:rsidRPr="00B55E3E">
              <w:t xml:space="preserve">    ...</w:t>
            </w:r>
            <w:r>
              <w:t>,</w:t>
            </w:r>
          </w:p>
          <w:p w14:paraId="02D81E0F" w14:textId="2C2BA3AE" w:rsidR="00F5330E" w:rsidRDefault="00F5330E" w:rsidP="00F5330E">
            <w:pPr>
              <w:pStyle w:val="PL"/>
            </w:pPr>
            <w:r>
              <w:t xml:space="preserve">    [[</w:t>
            </w:r>
          </w:p>
          <w:p w14:paraId="21332314" w14:textId="4DD05925" w:rsidR="00F5330E" w:rsidRDefault="00F5330E" w:rsidP="00F5330E">
            <w:pPr>
              <w:pStyle w:val="PL"/>
            </w:pPr>
            <w:r>
              <w:t xml:space="preserve">    c</w:t>
            </w:r>
            <w:r w:rsidRPr="00B55E3E">
              <w:t>onditionalReconfiguration-r1</w:t>
            </w:r>
            <w:r>
              <w:t xml:space="preserve">8      </w:t>
            </w:r>
            <w:r w:rsidRPr="00B55E3E">
              <w:t>ConditionalReconfiguration-r1</w:t>
            </w:r>
            <w:r>
              <w:t xml:space="preserve">8 </w:t>
            </w:r>
            <w:r w:rsidRPr="00B55E3E">
              <w:rPr>
                <w:color w:val="993366"/>
              </w:rPr>
              <w:t>OPTIONAL</w:t>
            </w:r>
          </w:p>
          <w:p w14:paraId="35B91381" w14:textId="546CBD3A" w:rsidR="00F5330E" w:rsidRPr="00B55E3E" w:rsidRDefault="00F5330E" w:rsidP="00F5330E">
            <w:pPr>
              <w:pStyle w:val="PL"/>
            </w:pPr>
            <w:r>
              <w:t xml:space="preserve">    ]]</w:t>
            </w:r>
          </w:p>
          <w:p w14:paraId="30AAD7AF" w14:textId="77777777" w:rsidR="00F5330E" w:rsidRPr="00B55E3E" w:rsidRDefault="00F5330E" w:rsidP="00F5330E">
            <w:pPr>
              <w:pStyle w:val="PL"/>
            </w:pPr>
            <w:r w:rsidRPr="00B55E3E">
              <w:t>}</w:t>
            </w:r>
          </w:p>
          <w:p w14:paraId="25212F2A" w14:textId="77777777" w:rsidR="00F5330E" w:rsidRPr="00B55E3E" w:rsidRDefault="00F5330E" w:rsidP="00F5330E">
            <w:pPr>
              <w:pStyle w:val="PL"/>
            </w:pPr>
          </w:p>
          <w:p w14:paraId="67383BB8" w14:textId="26BE44D4" w:rsidR="00F5330E" w:rsidRPr="00B55E3E" w:rsidRDefault="00F5330E" w:rsidP="00F5330E">
            <w:pPr>
              <w:pStyle w:val="PL"/>
            </w:pPr>
            <w:r w:rsidRPr="00B55E3E">
              <w:t>ConditionalReconfiguration-r1</w:t>
            </w:r>
            <w:r>
              <w:t>8</w:t>
            </w:r>
            <w:r w:rsidRPr="00B55E3E">
              <w:t xml:space="preserve"> ::=   </w:t>
            </w:r>
            <w:r w:rsidRPr="00B55E3E">
              <w:rPr>
                <w:color w:val="993366"/>
              </w:rPr>
              <w:t>SEQUENCE</w:t>
            </w:r>
            <w:r w:rsidRPr="00B55E3E">
              <w:t xml:space="preserve"> {</w:t>
            </w:r>
          </w:p>
          <w:p w14:paraId="7357FDEC" w14:textId="5E3F1C24" w:rsidR="00F5330E" w:rsidRPr="00B55E3E" w:rsidRDefault="00F5330E" w:rsidP="00F5330E">
            <w:pPr>
              <w:pStyle w:val="PL"/>
              <w:rPr>
                <w:color w:val="808080"/>
              </w:rPr>
            </w:pPr>
            <w:r w:rsidRPr="00B55E3E">
              <w:t xml:space="preserve">    </w:t>
            </w:r>
            <w:r w:rsidRPr="006F6890">
              <w:rPr>
                <w:highlight w:val="yellow"/>
              </w:rPr>
              <w:t xml:space="preserve">referenceConfigSCG-r18                 </w:t>
            </w:r>
            <w:r w:rsidRPr="006F6890">
              <w:rPr>
                <w:color w:val="993366"/>
                <w:highlight w:val="yellow"/>
              </w:rPr>
              <w:t>OCTET</w:t>
            </w:r>
            <w:r w:rsidRPr="006F6890">
              <w:rPr>
                <w:highlight w:val="yellow"/>
              </w:rPr>
              <w:t xml:space="preserve"> </w:t>
            </w:r>
            <w:r w:rsidRPr="006F6890">
              <w:rPr>
                <w:color w:val="993366"/>
                <w:highlight w:val="yellow"/>
              </w:rPr>
              <w:t>STRING</w:t>
            </w:r>
            <w:r w:rsidRPr="006F6890">
              <w:rPr>
                <w:highlight w:val="yellow"/>
              </w:rPr>
              <w:t xml:space="preserve"> (CONTAINING RRCReconfiguration)</w:t>
            </w:r>
            <w:r w:rsidRPr="00B55E3E">
              <w:t xml:space="preserve">              </w:t>
            </w:r>
            <w:r w:rsidRPr="00B55E3E">
              <w:rPr>
                <w:color w:val="993366"/>
              </w:rPr>
              <w:t>OPTIONAL</w:t>
            </w:r>
            <w:r w:rsidRPr="00B55E3E">
              <w:t xml:space="preserve">   </w:t>
            </w:r>
            <w:r w:rsidR="00E80972" w:rsidRPr="00E80972">
              <w:rPr>
                <w:color w:val="808080"/>
                <w:highlight w:val="yellow"/>
              </w:rPr>
              <w:t>-- Need M</w:t>
            </w:r>
          </w:p>
          <w:p w14:paraId="196AC8EF" w14:textId="77777777" w:rsidR="00F5330E" w:rsidRPr="00B55E3E" w:rsidRDefault="00F5330E" w:rsidP="00F5330E">
            <w:pPr>
              <w:pStyle w:val="PL"/>
            </w:pPr>
            <w:r w:rsidRPr="00B55E3E">
              <w:t>}</w:t>
            </w:r>
          </w:p>
          <w:p w14:paraId="2D0F1DF0" w14:textId="23E2B302" w:rsidR="00F5330E" w:rsidRDefault="00F5330E" w:rsidP="00CA46FD">
            <w:pPr>
              <w:rPr>
                <w:rFonts w:ascii="Arial" w:hAnsi="Arial" w:cs="Arial"/>
              </w:rPr>
            </w:pPr>
          </w:p>
        </w:tc>
      </w:tr>
    </w:tbl>
    <w:p w14:paraId="35A20691" w14:textId="77777777" w:rsidR="00F5330E" w:rsidRDefault="00F5330E" w:rsidP="000871BC">
      <w:pPr>
        <w:jc w:val="center"/>
        <w:rPr>
          <w:rFonts w:ascii="Arial" w:hAnsi="Arial" w:cs="Arial"/>
          <w:b/>
          <w:bCs/>
          <w:sz w:val="18"/>
          <w:szCs w:val="18"/>
        </w:rPr>
      </w:pPr>
    </w:p>
    <w:p w14:paraId="62200960" w14:textId="5FCC2486" w:rsidR="000871BC" w:rsidRPr="00245323" w:rsidRDefault="000871BC" w:rsidP="000871BC">
      <w:pPr>
        <w:jc w:val="center"/>
        <w:rPr>
          <w:rFonts w:ascii="Arial" w:hAnsi="Arial" w:cs="Arial"/>
          <w:b/>
          <w:bCs/>
          <w:sz w:val="18"/>
          <w:szCs w:val="18"/>
        </w:rPr>
      </w:pPr>
      <w:r w:rsidRPr="00245323">
        <w:rPr>
          <w:rFonts w:ascii="Arial" w:hAnsi="Arial" w:cs="Arial"/>
          <w:b/>
          <w:bCs/>
          <w:sz w:val="18"/>
          <w:szCs w:val="18"/>
        </w:rPr>
        <w:t xml:space="preserve">Figure </w:t>
      </w:r>
      <w:r>
        <w:rPr>
          <w:rFonts w:ascii="Arial" w:hAnsi="Arial" w:cs="Arial"/>
          <w:b/>
          <w:bCs/>
          <w:sz w:val="18"/>
          <w:szCs w:val="18"/>
        </w:rPr>
        <w:t>4</w:t>
      </w:r>
      <w:r w:rsidRPr="00245323">
        <w:rPr>
          <w:rFonts w:ascii="Arial" w:hAnsi="Arial" w:cs="Arial"/>
          <w:b/>
          <w:bCs/>
          <w:sz w:val="18"/>
          <w:szCs w:val="18"/>
        </w:rPr>
        <w:t xml:space="preserve">: </w:t>
      </w:r>
      <w:r>
        <w:rPr>
          <w:rFonts w:ascii="Arial" w:hAnsi="Arial" w:cs="Arial"/>
          <w:b/>
          <w:bCs/>
          <w:sz w:val="18"/>
          <w:szCs w:val="18"/>
        </w:rPr>
        <w:t>ASN.1 template for reference config</w:t>
      </w:r>
    </w:p>
    <w:p w14:paraId="685F5A11" w14:textId="77777777" w:rsidR="000871BC" w:rsidRDefault="000871BC" w:rsidP="0060350E">
      <w:pPr>
        <w:rPr>
          <w:rFonts w:ascii="Arial" w:hAnsi="Arial" w:cs="Arial"/>
        </w:rPr>
      </w:pPr>
    </w:p>
    <w:p w14:paraId="74F415CD" w14:textId="464CD3B0" w:rsidR="00CC5A46" w:rsidRDefault="00CC5A46" w:rsidP="0060350E">
      <w:pPr>
        <w:rPr>
          <w:rFonts w:ascii="Arial" w:hAnsi="Arial" w:cs="Arial"/>
        </w:rPr>
      </w:pPr>
      <w:r>
        <w:rPr>
          <w:rFonts w:ascii="Arial" w:hAnsi="Arial" w:cs="Arial"/>
        </w:rPr>
        <w:t>While we acknowledge that RAN3 impacts are present with this direction, we think that RAN2 agreement in this direction, as well as discussion on using the RAN2 maintained internode messages (via CG-</w:t>
      </w:r>
      <w:proofErr w:type="spellStart"/>
      <w:r>
        <w:rPr>
          <w:rFonts w:ascii="Arial" w:hAnsi="Arial" w:cs="Arial"/>
        </w:rPr>
        <w:t>Confing</w:t>
      </w:r>
      <w:proofErr w:type="spellEnd"/>
      <w:r>
        <w:rPr>
          <w:rFonts w:ascii="Arial" w:hAnsi="Arial" w:cs="Arial"/>
        </w:rPr>
        <w:t xml:space="preserve"> and CG-</w:t>
      </w:r>
      <w:proofErr w:type="spellStart"/>
      <w:r>
        <w:rPr>
          <w:rFonts w:ascii="Arial" w:hAnsi="Arial" w:cs="Arial"/>
        </w:rPr>
        <w:t>ConfigInfo</w:t>
      </w:r>
      <w:proofErr w:type="spellEnd"/>
      <w:r>
        <w:rPr>
          <w:rFonts w:ascii="Arial" w:hAnsi="Arial" w:cs="Arial"/>
        </w:rPr>
        <w:t>) can direct RAN3 on how to build upon the refence config method.</w:t>
      </w:r>
    </w:p>
    <w:p w14:paraId="0C61DAC9" w14:textId="33B15885" w:rsidR="00CC5A46" w:rsidRDefault="00CC5A46" w:rsidP="0060350E">
      <w:pPr>
        <w:rPr>
          <w:rFonts w:ascii="Arial" w:hAnsi="Arial" w:cs="Arial"/>
        </w:rPr>
      </w:pPr>
      <w:r>
        <w:rPr>
          <w:rFonts w:ascii="Arial" w:hAnsi="Arial" w:cs="Arial"/>
        </w:rPr>
        <w:t xml:space="preserve">We think </w:t>
      </w:r>
      <w:r w:rsidR="00FD7BCB">
        <w:rPr>
          <w:rFonts w:ascii="Arial" w:hAnsi="Arial" w:cs="Arial"/>
        </w:rPr>
        <w:t>one option is for the</w:t>
      </w:r>
      <w:r>
        <w:rPr>
          <w:rFonts w:ascii="Arial" w:hAnsi="Arial" w:cs="Arial"/>
        </w:rPr>
        <w:t xml:space="preserve"> MN </w:t>
      </w:r>
      <w:r w:rsidR="00FD7BCB">
        <w:rPr>
          <w:rFonts w:ascii="Arial" w:hAnsi="Arial" w:cs="Arial"/>
        </w:rPr>
        <w:t>to</w:t>
      </w:r>
      <w:r>
        <w:rPr>
          <w:rFonts w:ascii="Arial" w:hAnsi="Arial" w:cs="Arial"/>
        </w:rPr>
        <w:t xml:space="preserve"> decide the reference config, and such decision can be based on MN alone, or based on the input from an SN. The main idea being that the MN then provides this reference config to all the SNs that are part of the candidate SNs to which the UE might </w:t>
      </w:r>
      <w:proofErr w:type="gramStart"/>
      <w:r>
        <w:rPr>
          <w:rFonts w:ascii="Arial" w:hAnsi="Arial" w:cs="Arial"/>
        </w:rPr>
        <w:t>potential</w:t>
      </w:r>
      <w:proofErr w:type="gramEnd"/>
      <w:r>
        <w:rPr>
          <w:rFonts w:ascii="Arial" w:hAnsi="Arial" w:cs="Arial"/>
        </w:rPr>
        <w:t xml:space="preserve"> switch to.</w:t>
      </w:r>
    </w:p>
    <w:p w14:paraId="0DF0FC06" w14:textId="61714504" w:rsidR="00750BE8" w:rsidRPr="0047779A" w:rsidRDefault="00750BE8" w:rsidP="00EB1F19">
      <w:pPr>
        <w:rPr>
          <w:rFonts w:ascii="Arial" w:hAnsi="Arial" w:cs="Arial"/>
          <w:b/>
          <w:bCs/>
        </w:rPr>
      </w:pPr>
      <w:r w:rsidRPr="0047779A">
        <w:rPr>
          <w:rFonts w:ascii="Arial" w:hAnsi="Arial" w:cs="Arial"/>
          <w:b/>
          <w:bCs/>
        </w:rPr>
        <w:t xml:space="preserve">Observation </w:t>
      </w:r>
      <w:r w:rsidR="004542FF">
        <w:rPr>
          <w:rFonts w:ascii="Arial" w:hAnsi="Arial" w:cs="Arial"/>
          <w:b/>
          <w:bCs/>
        </w:rPr>
        <w:t>5</w:t>
      </w:r>
      <w:r w:rsidRPr="0047779A">
        <w:rPr>
          <w:rFonts w:ascii="Arial" w:hAnsi="Arial" w:cs="Arial"/>
          <w:b/>
          <w:bCs/>
        </w:rPr>
        <w:t xml:space="preserve">: RAN2 inter-node </w:t>
      </w:r>
      <w:proofErr w:type="spellStart"/>
      <w:r w:rsidRPr="0047779A">
        <w:rPr>
          <w:rFonts w:ascii="Arial" w:hAnsi="Arial" w:cs="Arial"/>
          <w:b/>
          <w:bCs/>
        </w:rPr>
        <w:t>signaling</w:t>
      </w:r>
      <w:proofErr w:type="spellEnd"/>
      <w:r w:rsidRPr="0047779A">
        <w:rPr>
          <w:rFonts w:ascii="Arial" w:hAnsi="Arial" w:cs="Arial"/>
          <w:b/>
          <w:bCs/>
        </w:rPr>
        <w:t xml:space="preserve"> (using CG-config/CG-</w:t>
      </w:r>
      <w:proofErr w:type="spellStart"/>
      <w:r w:rsidRPr="0047779A">
        <w:rPr>
          <w:rFonts w:ascii="Arial" w:hAnsi="Arial" w:cs="Arial"/>
          <w:b/>
          <w:bCs/>
        </w:rPr>
        <w:t>configInfo</w:t>
      </w:r>
      <w:proofErr w:type="spellEnd"/>
      <w:r w:rsidRPr="0047779A">
        <w:rPr>
          <w:rFonts w:ascii="Arial" w:hAnsi="Arial" w:cs="Arial"/>
          <w:b/>
          <w:bCs/>
        </w:rPr>
        <w:t xml:space="preserve"> for </w:t>
      </w:r>
      <w:proofErr w:type="spellStart"/>
      <w:r w:rsidRPr="0047779A">
        <w:rPr>
          <w:rFonts w:ascii="Arial" w:hAnsi="Arial" w:cs="Arial"/>
          <w:b/>
          <w:bCs/>
        </w:rPr>
        <w:t>eg</w:t>
      </w:r>
      <w:proofErr w:type="spellEnd"/>
      <w:r w:rsidRPr="0047779A">
        <w:rPr>
          <w:rFonts w:ascii="Arial" w:hAnsi="Arial" w:cs="Arial"/>
          <w:b/>
          <w:bCs/>
        </w:rPr>
        <w:t xml:space="preserve">) can be used to mediate by the MN during SN switches triggered by the UE (CPC based) or RAN3 can add necessary </w:t>
      </w:r>
      <w:proofErr w:type="spellStart"/>
      <w:r w:rsidRPr="0047779A">
        <w:rPr>
          <w:rFonts w:ascii="Arial" w:hAnsi="Arial" w:cs="Arial"/>
          <w:b/>
          <w:bCs/>
        </w:rPr>
        <w:t>signaling</w:t>
      </w:r>
      <w:proofErr w:type="spellEnd"/>
      <w:r w:rsidRPr="0047779A">
        <w:rPr>
          <w:rFonts w:ascii="Arial" w:hAnsi="Arial" w:cs="Arial"/>
          <w:b/>
          <w:bCs/>
        </w:rPr>
        <w:t>. The aim is for the UE (and the SNs) to know which reference config to use the next configuration.</w:t>
      </w:r>
    </w:p>
    <w:p w14:paraId="5F904BCB" w14:textId="1DAA3002" w:rsidR="00750BE8" w:rsidRDefault="00750BE8" w:rsidP="00EB1F19">
      <w:pPr>
        <w:rPr>
          <w:rFonts w:ascii="Arial" w:hAnsi="Arial" w:cs="Arial"/>
        </w:rPr>
      </w:pPr>
      <w:r>
        <w:rPr>
          <w:rFonts w:ascii="Arial" w:hAnsi="Arial" w:cs="Arial"/>
        </w:rPr>
        <w:t xml:space="preserve">We understand that many details related to Obj#2 are to first </w:t>
      </w:r>
      <w:proofErr w:type="gramStart"/>
      <w:r>
        <w:rPr>
          <w:rFonts w:ascii="Arial" w:hAnsi="Arial" w:cs="Arial"/>
        </w:rPr>
        <w:t>aligned</w:t>
      </w:r>
      <w:proofErr w:type="gramEnd"/>
      <w:r>
        <w:rPr>
          <w:rFonts w:ascii="Arial" w:hAnsi="Arial" w:cs="Arial"/>
        </w:rPr>
        <w:t xml:space="preserve">, before the full details on the actual reference signalling can be devised. </w:t>
      </w:r>
      <w:proofErr w:type="gramStart"/>
      <w:r>
        <w:rPr>
          <w:rFonts w:ascii="Arial" w:hAnsi="Arial" w:cs="Arial"/>
        </w:rPr>
        <w:t>Therefore</w:t>
      </w:r>
      <w:proofErr w:type="gramEnd"/>
      <w:r>
        <w:rPr>
          <w:rFonts w:ascii="Arial" w:hAnsi="Arial" w:cs="Arial"/>
        </w:rPr>
        <w:t xml:space="preserve"> it would be a good idea to first agree on pursuing this method, with the intent to finalize the signalling (and ASN.1 details) in later meetings.</w:t>
      </w:r>
    </w:p>
    <w:p w14:paraId="0EADB113" w14:textId="0C00F682" w:rsidR="00750BE8" w:rsidRPr="0047779A" w:rsidRDefault="00750BE8" w:rsidP="00EB1F19">
      <w:pPr>
        <w:rPr>
          <w:rFonts w:ascii="Arial" w:hAnsi="Arial" w:cs="Arial"/>
          <w:b/>
          <w:bCs/>
        </w:rPr>
      </w:pPr>
      <w:r w:rsidRPr="0047779A">
        <w:rPr>
          <w:rFonts w:ascii="Arial" w:hAnsi="Arial" w:cs="Arial"/>
          <w:b/>
          <w:bCs/>
        </w:rPr>
        <w:lastRenderedPageBreak/>
        <w:t xml:space="preserve">Observation </w:t>
      </w:r>
      <w:r w:rsidR="004542FF">
        <w:rPr>
          <w:rFonts w:ascii="Arial" w:hAnsi="Arial" w:cs="Arial"/>
          <w:b/>
          <w:bCs/>
        </w:rPr>
        <w:t>6</w:t>
      </w:r>
      <w:r w:rsidRPr="0047779A">
        <w:rPr>
          <w:rFonts w:ascii="Arial" w:hAnsi="Arial" w:cs="Arial"/>
          <w:b/>
          <w:bCs/>
        </w:rPr>
        <w:t>: RAN2 can proceed with first agreeing to pursue this method, with further details to be ironed out in the subsequent meetings, once RAN2 progresses further on WID obj#2.</w:t>
      </w:r>
    </w:p>
    <w:p w14:paraId="04F839DB" w14:textId="3CED9975" w:rsidR="00EB1F19" w:rsidRPr="0047779A" w:rsidRDefault="00EB1F19" w:rsidP="00EB1F19">
      <w:pPr>
        <w:rPr>
          <w:rFonts w:ascii="Arial" w:hAnsi="Arial" w:cs="Arial"/>
          <w:b/>
          <w:bCs/>
        </w:rPr>
      </w:pPr>
      <w:r w:rsidRPr="0047779A">
        <w:rPr>
          <w:rFonts w:ascii="Arial" w:hAnsi="Arial" w:cs="Arial"/>
          <w:b/>
          <w:bCs/>
        </w:rPr>
        <w:t xml:space="preserve">Proposal </w:t>
      </w:r>
      <w:r w:rsidR="004542FF">
        <w:rPr>
          <w:rFonts w:ascii="Arial" w:hAnsi="Arial" w:cs="Arial"/>
          <w:b/>
          <w:bCs/>
        </w:rPr>
        <w:t>4</w:t>
      </w:r>
      <w:r w:rsidRPr="0047779A">
        <w:rPr>
          <w:rFonts w:ascii="Arial" w:hAnsi="Arial" w:cs="Arial"/>
          <w:b/>
          <w:bCs/>
        </w:rPr>
        <w:t>:</w:t>
      </w:r>
      <w:r w:rsidR="0047779A" w:rsidRPr="0047779A">
        <w:rPr>
          <w:rFonts w:ascii="Arial" w:hAnsi="Arial" w:cs="Arial"/>
          <w:b/>
          <w:bCs/>
        </w:rPr>
        <w:t xml:space="preserve"> A reference config</w:t>
      </w:r>
      <w:r w:rsidRPr="0047779A">
        <w:rPr>
          <w:rFonts w:ascii="Arial" w:hAnsi="Arial" w:cs="Arial"/>
          <w:b/>
          <w:bCs/>
        </w:rPr>
        <w:t xml:space="preserve"> </w:t>
      </w:r>
      <w:r w:rsidR="0047779A" w:rsidRPr="0047779A">
        <w:rPr>
          <w:rFonts w:ascii="Arial" w:hAnsi="Arial" w:cs="Arial"/>
          <w:b/>
          <w:bCs/>
        </w:rPr>
        <w:t>can be given to the UE that can be used for delta config from different SNs and this reference config is stored at the UE even through SN switches (until the NW releases such config). FFS on the details of how the config is provided and by which node.</w:t>
      </w:r>
      <w:r w:rsidRPr="0047779A">
        <w:rPr>
          <w:rFonts w:ascii="Arial" w:hAnsi="Arial" w:cs="Arial"/>
          <w:b/>
          <w:bCs/>
        </w:rPr>
        <w:t xml:space="preserve">  </w:t>
      </w:r>
    </w:p>
    <w:p w14:paraId="07388B9C" w14:textId="3B210159" w:rsidR="005C0434" w:rsidRDefault="005C0434" w:rsidP="005C0434">
      <w:pPr>
        <w:pStyle w:val="Heading1"/>
      </w:pPr>
      <w:r>
        <w:t>Conclusions</w:t>
      </w:r>
    </w:p>
    <w:p w14:paraId="0A9EA8B2" w14:textId="77777777" w:rsidR="00F10412" w:rsidRPr="00D11BD6" w:rsidRDefault="00F10412" w:rsidP="00F10412">
      <w:pPr>
        <w:rPr>
          <w:rFonts w:ascii="Arial" w:hAnsi="Arial" w:cs="Arial"/>
          <w:b/>
          <w:bCs/>
        </w:rPr>
      </w:pPr>
      <w:r w:rsidRPr="00D11BD6">
        <w:rPr>
          <w:rFonts w:ascii="Arial" w:hAnsi="Arial" w:cs="Arial"/>
          <w:b/>
          <w:bCs/>
        </w:rPr>
        <w:t>Observation 1: NW can always configure the current source SN as part of the candidate SNs.</w:t>
      </w:r>
    </w:p>
    <w:p w14:paraId="03BA5F27" w14:textId="77777777" w:rsidR="00F10412" w:rsidRPr="00D11BD6" w:rsidRDefault="00F10412" w:rsidP="00F10412">
      <w:pPr>
        <w:rPr>
          <w:rFonts w:ascii="Arial" w:hAnsi="Arial" w:cs="Arial"/>
          <w:b/>
          <w:bCs/>
        </w:rPr>
      </w:pPr>
      <w:r w:rsidRPr="00D11BD6">
        <w:rPr>
          <w:rFonts w:ascii="Arial" w:hAnsi="Arial" w:cs="Arial"/>
          <w:b/>
          <w:bCs/>
        </w:rPr>
        <w:t>Observation 2: It is efficient to not repeat the source SN configuration as part of the candidate SN configuration.</w:t>
      </w:r>
    </w:p>
    <w:p w14:paraId="777CB534" w14:textId="77777777" w:rsidR="00F10412" w:rsidRDefault="00F10412" w:rsidP="00F10412">
      <w:pPr>
        <w:rPr>
          <w:rFonts w:ascii="Arial" w:hAnsi="Arial" w:cs="Arial"/>
          <w:b/>
          <w:bCs/>
        </w:rPr>
      </w:pPr>
      <w:r w:rsidRPr="00D11BD6">
        <w:rPr>
          <w:rFonts w:ascii="Arial" w:hAnsi="Arial" w:cs="Arial"/>
          <w:b/>
          <w:bCs/>
        </w:rPr>
        <w:t xml:space="preserve">Observation 3: </w:t>
      </w:r>
      <w:proofErr w:type="gramStart"/>
      <w:r w:rsidRPr="00D11BD6">
        <w:rPr>
          <w:rFonts w:ascii="Arial" w:hAnsi="Arial" w:cs="Arial"/>
          <w:b/>
          <w:bCs/>
        </w:rPr>
        <w:t>It can be seen that such</w:t>
      </w:r>
      <w:proofErr w:type="gramEnd"/>
      <w:r w:rsidRPr="00D11BD6">
        <w:rPr>
          <w:rFonts w:ascii="Arial" w:hAnsi="Arial" w:cs="Arial"/>
          <w:b/>
          <w:bCs/>
        </w:rPr>
        <w:t xml:space="preserve"> delta container can hold the SN key (</w:t>
      </w:r>
      <w:proofErr w:type="spellStart"/>
      <w:r w:rsidRPr="00D11BD6">
        <w:rPr>
          <w:rFonts w:ascii="Arial" w:hAnsi="Arial" w:cs="Arial"/>
          <w:b/>
          <w:bCs/>
        </w:rPr>
        <w:t>sk</w:t>
      </w:r>
      <w:proofErr w:type="spellEnd"/>
      <w:r w:rsidRPr="00D11BD6">
        <w:rPr>
          <w:rFonts w:ascii="Arial" w:hAnsi="Arial" w:cs="Arial"/>
          <w:b/>
          <w:bCs/>
        </w:rPr>
        <w:t>-Counter IE) so that the same key re-use can be prevented when the UE selects this SN as the target SN later on.</w:t>
      </w:r>
    </w:p>
    <w:p w14:paraId="1C6EFE62" w14:textId="77777777" w:rsidR="00F10412" w:rsidRPr="00C63D4E" w:rsidRDefault="00F10412" w:rsidP="00F10412">
      <w:pPr>
        <w:rPr>
          <w:rFonts w:ascii="Arial" w:hAnsi="Arial" w:cs="Arial"/>
          <w:b/>
          <w:bCs/>
        </w:rPr>
      </w:pPr>
      <w:r w:rsidRPr="00C63D4E">
        <w:rPr>
          <w:rFonts w:ascii="Arial" w:hAnsi="Arial" w:cs="Arial"/>
          <w:b/>
          <w:bCs/>
        </w:rPr>
        <w:t xml:space="preserve">Observation 4: Rel-16 CPC without MN involvement </w:t>
      </w:r>
      <w:proofErr w:type="gramStart"/>
      <w:r w:rsidRPr="00C63D4E">
        <w:rPr>
          <w:rFonts w:ascii="Arial" w:hAnsi="Arial" w:cs="Arial"/>
          <w:b/>
          <w:bCs/>
        </w:rPr>
        <w:t>lead</w:t>
      </w:r>
      <w:proofErr w:type="gramEnd"/>
      <w:r w:rsidRPr="00C63D4E">
        <w:rPr>
          <w:rFonts w:ascii="Arial" w:hAnsi="Arial" w:cs="Arial"/>
          <w:b/>
          <w:bCs/>
        </w:rPr>
        <w:t xml:space="preserve"> to many issues in </w:t>
      </w:r>
      <w:proofErr w:type="spellStart"/>
      <w:r w:rsidRPr="00C63D4E">
        <w:rPr>
          <w:rFonts w:ascii="Arial" w:hAnsi="Arial" w:cs="Arial"/>
          <w:b/>
          <w:bCs/>
        </w:rPr>
        <w:t>it’s</w:t>
      </w:r>
      <w:proofErr w:type="spellEnd"/>
      <w:r w:rsidRPr="00C63D4E">
        <w:rPr>
          <w:rFonts w:ascii="Arial" w:hAnsi="Arial" w:cs="Arial"/>
          <w:b/>
          <w:bCs/>
        </w:rPr>
        <w:t xml:space="preserve"> interplay with Rel-17 CPC.</w:t>
      </w:r>
    </w:p>
    <w:p w14:paraId="16241CF9" w14:textId="77777777" w:rsidR="00F10412" w:rsidRPr="0047779A" w:rsidRDefault="00F10412" w:rsidP="00F10412">
      <w:pPr>
        <w:rPr>
          <w:rFonts w:ascii="Arial" w:hAnsi="Arial" w:cs="Arial"/>
          <w:b/>
          <w:bCs/>
        </w:rPr>
      </w:pPr>
      <w:r w:rsidRPr="0047779A">
        <w:rPr>
          <w:rFonts w:ascii="Arial" w:hAnsi="Arial" w:cs="Arial"/>
          <w:b/>
          <w:bCs/>
        </w:rPr>
        <w:t xml:space="preserve">Observation </w:t>
      </w:r>
      <w:r>
        <w:rPr>
          <w:rFonts w:ascii="Arial" w:hAnsi="Arial" w:cs="Arial"/>
          <w:b/>
          <w:bCs/>
        </w:rPr>
        <w:t>5</w:t>
      </w:r>
      <w:r w:rsidRPr="0047779A">
        <w:rPr>
          <w:rFonts w:ascii="Arial" w:hAnsi="Arial" w:cs="Arial"/>
          <w:b/>
          <w:bCs/>
        </w:rPr>
        <w:t xml:space="preserve">: RAN2 inter-node </w:t>
      </w:r>
      <w:proofErr w:type="spellStart"/>
      <w:r w:rsidRPr="0047779A">
        <w:rPr>
          <w:rFonts w:ascii="Arial" w:hAnsi="Arial" w:cs="Arial"/>
          <w:b/>
          <w:bCs/>
        </w:rPr>
        <w:t>signaling</w:t>
      </w:r>
      <w:proofErr w:type="spellEnd"/>
      <w:r w:rsidRPr="0047779A">
        <w:rPr>
          <w:rFonts w:ascii="Arial" w:hAnsi="Arial" w:cs="Arial"/>
          <w:b/>
          <w:bCs/>
        </w:rPr>
        <w:t xml:space="preserve"> (using CG-config/CG-</w:t>
      </w:r>
      <w:proofErr w:type="spellStart"/>
      <w:r w:rsidRPr="0047779A">
        <w:rPr>
          <w:rFonts w:ascii="Arial" w:hAnsi="Arial" w:cs="Arial"/>
          <w:b/>
          <w:bCs/>
        </w:rPr>
        <w:t>configInfo</w:t>
      </w:r>
      <w:proofErr w:type="spellEnd"/>
      <w:r w:rsidRPr="0047779A">
        <w:rPr>
          <w:rFonts w:ascii="Arial" w:hAnsi="Arial" w:cs="Arial"/>
          <w:b/>
          <w:bCs/>
        </w:rPr>
        <w:t xml:space="preserve"> for </w:t>
      </w:r>
      <w:proofErr w:type="spellStart"/>
      <w:r w:rsidRPr="0047779A">
        <w:rPr>
          <w:rFonts w:ascii="Arial" w:hAnsi="Arial" w:cs="Arial"/>
          <w:b/>
          <w:bCs/>
        </w:rPr>
        <w:t>eg</w:t>
      </w:r>
      <w:proofErr w:type="spellEnd"/>
      <w:r w:rsidRPr="0047779A">
        <w:rPr>
          <w:rFonts w:ascii="Arial" w:hAnsi="Arial" w:cs="Arial"/>
          <w:b/>
          <w:bCs/>
        </w:rPr>
        <w:t xml:space="preserve">) can be used to mediate by the MN during SN switches triggered by the UE (CPC based) or RAN3 can add necessary </w:t>
      </w:r>
      <w:proofErr w:type="spellStart"/>
      <w:r w:rsidRPr="0047779A">
        <w:rPr>
          <w:rFonts w:ascii="Arial" w:hAnsi="Arial" w:cs="Arial"/>
          <w:b/>
          <w:bCs/>
        </w:rPr>
        <w:t>signaling</w:t>
      </w:r>
      <w:proofErr w:type="spellEnd"/>
      <w:r w:rsidRPr="0047779A">
        <w:rPr>
          <w:rFonts w:ascii="Arial" w:hAnsi="Arial" w:cs="Arial"/>
          <w:b/>
          <w:bCs/>
        </w:rPr>
        <w:t>. The aim is for the UE (and the SNs) to know which reference config to use the next configuration.</w:t>
      </w:r>
    </w:p>
    <w:p w14:paraId="5FB1C9B0" w14:textId="6354A5C0" w:rsidR="00F10412" w:rsidRDefault="00F10412" w:rsidP="00F10412">
      <w:pPr>
        <w:rPr>
          <w:rFonts w:ascii="Arial" w:hAnsi="Arial" w:cs="Arial"/>
          <w:b/>
          <w:bCs/>
        </w:rPr>
      </w:pPr>
      <w:r w:rsidRPr="0047779A">
        <w:rPr>
          <w:rFonts w:ascii="Arial" w:hAnsi="Arial" w:cs="Arial"/>
          <w:b/>
          <w:bCs/>
        </w:rPr>
        <w:t xml:space="preserve">Observation </w:t>
      </w:r>
      <w:r>
        <w:rPr>
          <w:rFonts w:ascii="Arial" w:hAnsi="Arial" w:cs="Arial"/>
          <w:b/>
          <w:bCs/>
        </w:rPr>
        <w:t>6</w:t>
      </w:r>
      <w:r w:rsidRPr="0047779A">
        <w:rPr>
          <w:rFonts w:ascii="Arial" w:hAnsi="Arial" w:cs="Arial"/>
          <w:b/>
          <w:bCs/>
        </w:rPr>
        <w:t>: RAN2 can proceed with first agreeing to pursue this method, with further details to be ironed out in the subsequent meetings, once RAN2 progresses further on WID obj#2.</w:t>
      </w:r>
    </w:p>
    <w:p w14:paraId="2806F102" w14:textId="77777777" w:rsidR="00F10412" w:rsidRDefault="00F10412" w:rsidP="00F10412">
      <w:pPr>
        <w:rPr>
          <w:rFonts w:ascii="Arial" w:hAnsi="Arial" w:cs="Arial"/>
          <w:b/>
          <w:bCs/>
        </w:rPr>
      </w:pPr>
    </w:p>
    <w:p w14:paraId="064074DE" w14:textId="42934D3D" w:rsidR="00F10412" w:rsidRPr="00D11BD6" w:rsidRDefault="00F10412" w:rsidP="00F10412">
      <w:pPr>
        <w:rPr>
          <w:rFonts w:ascii="Arial" w:hAnsi="Arial" w:cs="Arial"/>
          <w:b/>
          <w:bCs/>
        </w:rPr>
      </w:pPr>
      <w:r w:rsidRPr="00D11BD6">
        <w:rPr>
          <w:rFonts w:ascii="Arial" w:hAnsi="Arial" w:cs="Arial"/>
          <w:b/>
          <w:bCs/>
        </w:rPr>
        <w:t xml:space="preserve">Proposal 1: For the case of NW configuring the source SN as also one of the </w:t>
      </w:r>
      <w:proofErr w:type="gramStart"/>
      <w:r w:rsidRPr="00D11BD6">
        <w:rPr>
          <w:rFonts w:ascii="Arial" w:hAnsi="Arial" w:cs="Arial"/>
          <w:b/>
          <w:bCs/>
        </w:rPr>
        <w:t>candidate</w:t>
      </w:r>
      <w:proofErr w:type="gramEnd"/>
      <w:r w:rsidRPr="00D11BD6">
        <w:rPr>
          <w:rFonts w:ascii="Arial" w:hAnsi="Arial" w:cs="Arial"/>
          <w:b/>
          <w:bCs/>
        </w:rPr>
        <w:t xml:space="preserve"> SNs, the NW configures this SN as a candidate with a delta config container such that the UE applies the diff between the current source config and the delta container when this SN becomes the target SN from the list of candidate SNs.</w:t>
      </w:r>
    </w:p>
    <w:p w14:paraId="5A96E97B" w14:textId="77777777" w:rsidR="00F10412" w:rsidRPr="00A75D36" w:rsidRDefault="00F10412" w:rsidP="00F10412">
      <w:pPr>
        <w:rPr>
          <w:rFonts w:ascii="Arial" w:hAnsi="Arial" w:cs="Arial"/>
          <w:b/>
          <w:bCs/>
        </w:rPr>
      </w:pPr>
      <w:r w:rsidRPr="00A75D36">
        <w:rPr>
          <w:rFonts w:ascii="Arial" w:hAnsi="Arial" w:cs="Arial"/>
          <w:b/>
          <w:bCs/>
        </w:rPr>
        <w:t xml:space="preserve">Proposal 2: Inform SA3 about the “pre” configuration of source SN (as a potential candidate SN) with </w:t>
      </w:r>
      <w:proofErr w:type="spellStart"/>
      <w:r w:rsidRPr="00A75D36">
        <w:rPr>
          <w:rFonts w:ascii="Arial" w:hAnsi="Arial" w:cs="Arial"/>
          <w:b/>
          <w:bCs/>
        </w:rPr>
        <w:t>sk</w:t>
      </w:r>
      <w:proofErr w:type="spellEnd"/>
      <w:r w:rsidRPr="00A75D36">
        <w:rPr>
          <w:rFonts w:ascii="Arial" w:hAnsi="Arial" w:cs="Arial"/>
          <w:b/>
          <w:bCs/>
        </w:rPr>
        <w:t>-offset to be used in the future, and seek their input for such procedure, from security perspective.</w:t>
      </w:r>
    </w:p>
    <w:p w14:paraId="19B51AE4" w14:textId="77777777" w:rsidR="00F10412" w:rsidRPr="00C63D4E" w:rsidRDefault="00F10412" w:rsidP="00F10412">
      <w:pPr>
        <w:rPr>
          <w:rFonts w:ascii="Arial" w:hAnsi="Arial" w:cs="Arial"/>
          <w:b/>
          <w:bCs/>
        </w:rPr>
      </w:pPr>
      <w:r w:rsidRPr="00C63D4E">
        <w:rPr>
          <w:rFonts w:ascii="Arial" w:hAnsi="Arial" w:cs="Arial"/>
          <w:b/>
          <w:bCs/>
        </w:rPr>
        <w:t>Proposal 3: All Rel-18 CPC enhancements should be handled by MN.</w:t>
      </w:r>
    </w:p>
    <w:p w14:paraId="4167A006" w14:textId="77777777" w:rsidR="00F10412" w:rsidRPr="0047779A" w:rsidRDefault="00F10412" w:rsidP="00F10412">
      <w:pPr>
        <w:rPr>
          <w:rFonts w:ascii="Arial" w:hAnsi="Arial" w:cs="Arial"/>
          <w:b/>
          <w:bCs/>
        </w:rPr>
      </w:pPr>
      <w:r w:rsidRPr="0047779A">
        <w:rPr>
          <w:rFonts w:ascii="Arial" w:hAnsi="Arial" w:cs="Arial"/>
          <w:b/>
          <w:bCs/>
        </w:rPr>
        <w:t xml:space="preserve">Proposal </w:t>
      </w:r>
      <w:r>
        <w:rPr>
          <w:rFonts w:ascii="Arial" w:hAnsi="Arial" w:cs="Arial"/>
          <w:b/>
          <w:bCs/>
        </w:rPr>
        <w:t>4</w:t>
      </w:r>
      <w:r w:rsidRPr="0047779A">
        <w:rPr>
          <w:rFonts w:ascii="Arial" w:hAnsi="Arial" w:cs="Arial"/>
          <w:b/>
          <w:bCs/>
        </w:rPr>
        <w:t xml:space="preserve">: A reference config can be given to the UE that can be used for delta config from different SNs and this reference config is stored at the UE even through SN switches (until the NW releases such config). FFS on the details of how the config is provided and by which node.  </w:t>
      </w:r>
    </w:p>
    <w:p w14:paraId="2B858577" w14:textId="1FE10E45" w:rsidR="00856B0F" w:rsidRDefault="00856B0F" w:rsidP="00D07AF6"/>
    <w:p w14:paraId="17ED4243" w14:textId="0413CBFA" w:rsidR="00F10412" w:rsidRDefault="00F10412" w:rsidP="00D07AF6"/>
    <w:p w14:paraId="0684DBD0" w14:textId="77777777" w:rsidR="00F10412" w:rsidRDefault="00F10412" w:rsidP="00D07AF6"/>
    <w:p w14:paraId="0CF580AE" w14:textId="598B13FD" w:rsidR="00993914" w:rsidRDefault="00993914" w:rsidP="00993914">
      <w:pPr>
        <w:pStyle w:val="Heading1"/>
      </w:pPr>
      <w:r>
        <w:lastRenderedPageBreak/>
        <w:t>References</w:t>
      </w:r>
    </w:p>
    <w:p w14:paraId="3379E62C" w14:textId="0C6589C4" w:rsidR="00363D74" w:rsidRDefault="00993914" w:rsidP="00437304">
      <w:pPr>
        <w:rPr>
          <w:rFonts w:ascii="Arial" w:hAnsi="Arial" w:cs="Arial"/>
        </w:rPr>
      </w:pPr>
      <w:r w:rsidRPr="0023168D">
        <w:rPr>
          <w:rFonts w:ascii="Arial" w:hAnsi="Arial" w:cs="Arial"/>
        </w:rPr>
        <w:t>[1]</w:t>
      </w:r>
      <w:r w:rsidR="00363D74">
        <w:rPr>
          <w:rFonts w:ascii="Arial" w:hAnsi="Arial" w:cs="Arial"/>
        </w:rPr>
        <w:tab/>
      </w:r>
      <w:r w:rsidR="00CB0B63" w:rsidRPr="00CB0B63">
        <w:rPr>
          <w:rFonts w:ascii="Arial" w:hAnsi="Arial" w:cs="Arial"/>
        </w:rPr>
        <w:t>R2 119bis-e Chair Notes EOM rev1</w:t>
      </w:r>
    </w:p>
    <w:p w14:paraId="1EF3E06D" w14:textId="67765550" w:rsidR="00437304" w:rsidRPr="00867976" w:rsidRDefault="00363D74" w:rsidP="00437304">
      <w:r>
        <w:rPr>
          <w:rFonts w:ascii="Arial" w:hAnsi="Arial" w:cs="Arial"/>
        </w:rPr>
        <w:t>[2]</w:t>
      </w:r>
      <w:r>
        <w:rPr>
          <w:rFonts w:ascii="Arial" w:hAnsi="Arial" w:cs="Arial"/>
        </w:rPr>
        <w:tab/>
      </w:r>
      <w:r w:rsidR="00867976" w:rsidRPr="00867976">
        <w:rPr>
          <w:rFonts w:ascii="Arial" w:hAnsi="Arial" w:cs="Arial"/>
        </w:rPr>
        <w:t>R2-</w:t>
      </w:r>
      <w:proofErr w:type="gramStart"/>
      <w:r w:rsidR="00867976" w:rsidRPr="00867976">
        <w:rPr>
          <w:rFonts w:ascii="Arial" w:hAnsi="Arial" w:cs="Arial"/>
        </w:rPr>
        <w:t>2209789</w:t>
      </w:r>
      <w:r w:rsidR="00867976">
        <w:rPr>
          <w:rFonts w:ascii="Arial" w:hAnsi="Arial" w:cs="Arial"/>
        </w:rPr>
        <w:t xml:space="preserve">  </w:t>
      </w:r>
      <w:r w:rsidR="00867976" w:rsidRPr="00867976">
        <w:rPr>
          <w:rFonts w:ascii="Arial" w:hAnsi="Arial" w:cs="Arial"/>
        </w:rPr>
        <w:t>Security</w:t>
      </w:r>
      <w:proofErr w:type="gramEnd"/>
      <w:r w:rsidR="00867976" w:rsidRPr="00867976">
        <w:rPr>
          <w:rFonts w:ascii="Arial" w:hAnsi="Arial" w:cs="Arial"/>
        </w:rPr>
        <w:t xml:space="preserve"> from UE mobility across SNs and limiting SN changes to within a single MN</w:t>
      </w:r>
    </w:p>
    <w:p w14:paraId="6F79AA7D" w14:textId="5DF5C4CF" w:rsidR="0023168D" w:rsidRPr="00D07AF6" w:rsidRDefault="0023168D" w:rsidP="00D07AF6"/>
    <w:sectPr w:rsidR="0023168D"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89442" w14:textId="77777777" w:rsidR="00382EF2" w:rsidRDefault="00382EF2" w:rsidP="000E43D2">
      <w:pPr>
        <w:spacing w:after="0"/>
      </w:pPr>
      <w:r>
        <w:separator/>
      </w:r>
    </w:p>
  </w:endnote>
  <w:endnote w:type="continuationSeparator" w:id="0">
    <w:p w14:paraId="5CEA884D" w14:textId="77777777" w:rsidR="00382EF2" w:rsidRDefault="00382EF2"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2C506" w14:textId="77777777" w:rsidR="00382EF2" w:rsidRDefault="00382EF2" w:rsidP="000E43D2">
      <w:pPr>
        <w:spacing w:after="0"/>
      </w:pPr>
      <w:r>
        <w:separator/>
      </w:r>
    </w:p>
  </w:footnote>
  <w:footnote w:type="continuationSeparator" w:id="0">
    <w:p w14:paraId="1C1DD71F" w14:textId="77777777" w:rsidR="00382EF2" w:rsidRDefault="00382EF2"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5"/>
  </w:num>
  <w:num w:numId="9" w16cid:durableId="302470555">
    <w:abstractNumId w:val="10"/>
  </w:num>
  <w:num w:numId="10" w16cid:durableId="55668815">
    <w:abstractNumId w:val="16"/>
  </w:num>
  <w:num w:numId="11" w16cid:durableId="1947928206">
    <w:abstractNumId w:val="8"/>
  </w:num>
  <w:num w:numId="12" w16cid:durableId="1695182576">
    <w:abstractNumId w:val="11"/>
  </w:num>
  <w:num w:numId="13" w16cid:durableId="249436846">
    <w:abstractNumId w:val="7"/>
  </w:num>
  <w:num w:numId="14" w16cid:durableId="1110050603">
    <w:abstractNumId w:val="13"/>
  </w:num>
  <w:num w:numId="15" w16cid:durableId="1611737473">
    <w:abstractNumId w:val="9"/>
  </w:num>
  <w:num w:numId="16" w16cid:durableId="18037699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2"/>
  </w:num>
  <w:num w:numId="20" w16cid:durableId="2038357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6973"/>
    <w:rsid w:val="0001002A"/>
    <w:rsid w:val="00010F1C"/>
    <w:rsid w:val="00011FB5"/>
    <w:rsid w:val="00015C2C"/>
    <w:rsid w:val="0001799E"/>
    <w:rsid w:val="0002147A"/>
    <w:rsid w:val="00032718"/>
    <w:rsid w:val="00034894"/>
    <w:rsid w:val="000558D0"/>
    <w:rsid w:val="00066CF1"/>
    <w:rsid w:val="000671A4"/>
    <w:rsid w:val="0008241A"/>
    <w:rsid w:val="000871BC"/>
    <w:rsid w:val="000948F8"/>
    <w:rsid w:val="000B15B6"/>
    <w:rsid w:val="000B53D9"/>
    <w:rsid w:val="000B54B1"/>
    <w:rsid w:val="000C0AF6"/>
    <w:rsid w:val="000C3111"/>
    <w:rsid w:val="000D59A4"/>
    <w:rsid w:val="000E43D2"/>
    <w:rsid w:val="00102339"/>
    <w:rsid w:val="00102701"/>
    <w:rsid w:val="00106917"/>
    <w:rsid w:val="0011345C"/>
    <w:rsid w:val="00114533"/>
    <w:rsid w:val="0011455F"/>
    <w:rsid w:val="00115010"/>
    <w:rsid w:val="0012786E"/>
    <w:rsid w:val="00130151"/>
    <w:rsid w:val="001309DA"/>
    <w:rsid w:val="00131DF0"/>
    <w:rsid w:val="001325C2"/>
    <w:rsid w:val="00135D53"/>
    <w:rsid w:val="00143A2A"/>
    <w:rsid w:val="00145881"/>
    <w:rsid w:val="00155758"/>
    <w:rsid w:val="0016652A"/>
    <w:rsid w:val="00175A3F"/>
    <w:rsid w:val="00177438"/>
    <w:rsid w:val="00181154"/>
    <w:rsid w:val="001817CD"/>
    <w:rsid w:val="0018400D"/>
    <w:rsid w:val="0018595C"/>
    <w:rsid w:val="0019163F"/>
    <w:rsid w:val="001A0773"/>
    <w:rsid w:val="001A410C"/>
    <w:rsid w:val="001B01FD"/>
    <w:rsid w:val="001D1997"/>
    <w:rsid w:val="001E1868"/>
    <w:rsid w:val="001F0BF8"/>
    <w:rsid w:val="00200B6F"/>
    <w:rsid w:val="00201AD1"/>
    <w:rsid w:val="00210B2D"/>
    <w:rsid w:val="002141C4"/>
    <w:rsid w:val="00215350"/>
    <w:rsid w:val="00216B1A"/>
    <w:rsid w:val="002209DF"/>
    <w:rsid w:val="00221950"/>
    <w:rsid w:val="0023168D"/>
    <w:rsid w:val="0023754E"/>
    <w:rsid w:val="002474E7"/>
    <w:rsid w:val="0026249B"/>
    <w:rsid w:val="002632C8"/>
    <w:rsid w:val="00266D9F"/>
    <w:rsid w:val="0027286D"/>
    <w:rsid w:val="00283661"/>
    <w:rsid w:val="0028575D"/>
    <w:rsid w:val="00285D58"/>
    <w:rsid w:val="002A2374"/>
    <w:rsid w:val="002B47D7"/>
    <w:rsid w:val="002B5369"/>
    <w:rsid w:val="002C4289"/>
    <w:rsid w:val="002D3B10"/>
    <w:rsid w:val="002E0CBA"/>
    <w:rsid w:val="002E2212"/>
    <w:rsid w:val="002E4823"/>
    <w:rsid w:val="00301024"/>
    <w:rsid w:val="00303CC1"/>
    <w:rsid w:val="00313E60"/>
    <w:rsid w:val="003161A9"/>
    <w:rsid w:val="00322937"/>
    <w:rsid w:val="0033267D"/>
    <w:rsid w:val="00334FFE"/>
    <w:rsid w:val="00335BCE"/>
    <w:rsid w:val="003439D1"/>
    <w:rsid w:val="003553F1"/>
    <w:rsid w:val="00363D74"/>
    <w:rsid w:val="0036542B"/>
    <w:rsid w:val="00370BED"/>
    <w:rsid w:val="003739BF"/>
    <w:rsid w:val="00382EF2"/>
    <w:rsid w:val="0038715A"/>
    <w:rsid w:val="00387B25"/>
    <w:rsid w:val="003A0E5B"/>
    <w:rsid w:val="003B2E54"/>
    <w:rsid w:val="003B6738"/>
    <w:rsid w:val="003C135D"/>
    <w:rsid w:val="003C41A7"/>
    <w:rsid w:val="003C681D"/>
    <w:rsid w:val="003D4F59"/>
    <w:rsid w:val="003D597C"/>
    <w:rsid w:val="003D6AA9"/>
    <w:rsid w:val="003D6F3F"/>
    <w:rsid w:val="003E0AA3"/>
    <w:rsid w:val="003E4741"/>
    <w:rsid w:val="003F1A0A"/>
    <w:rsid w:val="0040377C"/>
    <w:rsid w:val="00413864"/>
    <w:rsid w:val="00414C30"/>
    <w:rsid w:val="00415B6E"/>
    <w:rsid w:val="00421897"/>
    <w:rsid w:val="00434CB8"/>
    <w:rsid w:val="00437304"/>
    <w:rsid w:val="00437F18"/>
    <w:rsid w:val="004542FF"/>
    <w:rsid w:val="00457703"/>
    <w:rsid w:val="00460CA0"/>
    <w:rsid w:val="00461122"/>
    <w:rsid w:val="00464CCE"/>
    <w:rsid w:val="004738AD"/>
    <w:rsid w:val="0047779A"/>
    <w:rsid w:val="00477A09"/>
    <w:rsid w:val="004837D9"/>
    <w:rsid w:val="004848AA"/>
    <w:rsid w:val="00491BEA"/>
    <w:rsid w:val="00495E19"/>
    <w:rsid w:val="00495E63"/>
    <w:rsid w:val="004967D6"/>
    <w:rsid w:val="004A40EC"/>
    <w:rsid w:val="004D38A3"/>
    <w:rsid w:val="004D65C1"/>
    <w:rsid w:val="004E4636"/>
    <w:rsid w:val="004E4F93"/>
    <w:rsid w:val="004F25E9"/>
    <w:rsid w:val="004F275C"/>
    <w:rsid w:val="004F3398"/>
    <w:rsid w:val="004F353B"/>
    <w:rsid w:val="004F6631"/>
    <w:rsid w:val="004F6F22"/>
    <w:rsid w:val="00505606"/>
    <w:rsid w:val="00510832"/>
    <w:rsid w:val="0052091B"/>
    <w:rsid w:val="00521E8A"/>
    <w:rsid w:val="00524266"/>
    <w:rsid w:val="00560726"/>
    <w:rsid w:val="00572EAD"/>
    <w:rsid w:val="0058588B"/>
    <w:rsid w:val="005939D1"/>
    <w:rsid w:val="00595327"/>
    <w:rsid w:val="00596DB2"/>
    <w:rsid w:val="005A13B4"/>
    <w:rsid w:val="005B1CE9"/>
    <w:rsid w:val="005C0434"/>
    <w:rsid w:val="005D31B1"/>
    <w:rsid w:val="005E0F03"/>
    <w:rsid w:val="005E3FA7"/>
    <w:rsid w:val="005F5334"/>
    <w:rsid w:val="0060350E"/>
    <w:rsid w:val="006049AC"/>
    <w:rsid w:val="00605982"/>
    <w:rsid w:val="00606C6B"/>
    <w:rsid w:val="00633BA4"/>
    <w:rsid w:val="00637070"/>
    <w:rsid w:val="00637910"/>
    <w:rsid w:val="0064205B"/>
    <w:rsid w:val="00643F9A"/>
    <w:rsid w:val="00647C88"/>
    <w:rsid w:val="00655941"/>
    <w:rsid w:val="00672266"/>
    <w:rsid w:val="00684DE0"/>
    <w:rsid w:val="006A2D08"/>
    <w:rsid w:val="006C2518"/>
    <w:rsid w:val="006D0E83"/>
    <w:rsid w:val="006D2A6D"/>
    <w:rsid w:val="006D62A8"/>
    <w:rsid w:val="006E4962"/>
    <w:rsid w:val="006F3A06"/>
    <w:rsid w:val="006F6890"/>
    <w:rsid w:val="007024E1"/>
    <w:rsid w:val="00705EC8"/>
    <w:rsid w:val="00707116"/>
    <w:rsid w:val="007129CD"/>
    <w:rsid w:val="00723AC7"/>
    <w:rsid w:val="00724CE7"/>
    <w:rsid w:val="00727592"/>
    <w:rsid w:val="00727F8A"/>
    <w:rsid w:val="00732B80"/>
    <w:rsid w:val="007501BB"/>
    <w:rsid w:val="00750BE8"/>
    <w:rsid w:val="007603DC"/>
    <w:rsid w:val="00766693"/>
    <w:rsid w:val="007720E0"/>
    <w:rsid w:val="00772626"/>
    <w:rsid w:val="007733A5"/>
    <w:rsid w:val="007827DD"/>
    <w:rsid w:val="007A0412"/>
    <w:rsid w:val="007A0DBC"/>
    <w:rsid w:val="007A2F26"/>
    <w:rsid w:val="007A4847"/>
    <w:rsid w:val="007A6DF7"/>
    <w:rsid w:val="007A6F8D"/>
    <w:rsid w:val="007C422A"/>
    <w:rsid w:val="007C45E7"/>
    <w:rsid w:val="007D226E"/>
    <w:rsid w:val="007D2961"/>
    <w:rsid w:val="007E687E"/>
    <w:rsid w:val="007F01DA"/>
    <w:rsid w:val="007F056D"/>
    <w:rsid w:val="007F3862"/>
    <w:rsid w:val="007F6D2D"/>
    <w:rsid w:val="00801615"/>
    <w:rsid w:val="00806753"/>
    <w:rsid w:val="008105F8"/>
    <w:rsid w:val="0081231F"/>
    <w:rsid w:val="008225B1"/>
    <w:rsid w:val="0082459F"/>
    <w:rsid w:val="00826C75"/>
    <w:rsid w:val="008361B8"/>
    <w:rsid w:val="008378AF"/>
    <w:rsid w:val="00856B0F"/>
    <w:rsid w:val="00867976"/>
    <w:rsid w:val="0088227E"/>
    <w:rsid w:val="00882F38"/>
    <w:rsid w:val="00887B70"/>
    <w:rsid w:val="008A0DF6"/>
    <w:rsid w:val="008B0BB5"/>
    <w:rsid w:val="008C3760"/>
    <w:rsid w:val="008C5FED"/>
    <w:rsid w:val="008C6DC1"/>
    <w:rsid w:val="008D4FB6"/>
    <w:rsid w:val="008D6E93"/>
    <w:rsid w:val="008E0C48"/>
    <w:rsid w:val="008E1B52"/>
    <w:rsid w:val="008E5BF2"/>
    <w:rsid w:val="008F5B07"/>
    <w:rsid w:val="009062AD"/>
    <w:rsid w:val="00907F0D"/>
    <w:rsid w:val="00915CDF"/>
    <w:rsid w:val="00921135"/>
    <w:rsid w:val="009220BB"/>
    <w:rsid w:val="00926DE8"/>
    <w:rsid w:val="00932DA4"/>
    <w:rsid w:val="009538BD"/>
    <w:rsid w:val="00955F32"/>
    <w:rsid w:val="00957C54"/>
    <w:rsid w:val="0097271A"/>
    <w:rsid w:val="009864F5"/>
    <w:rsid w:val="00993914"/>
    <w:rsid w:val="0099547F"/>
    <w:rsid w:val="009A1903"/>
    <w:rsid w:val="009A24A4"/>
    <w:rsid w:val="009A3B6E"/>
    <w:rsid w:val="009A75F4"/>
    <w:rsid w:val="009C6AA7"/>
    <w:rsid w:val="009F76FA"/>
    <w:rsid w:val="00A06FE6"/>
    <w:rsid w:val="00A17CEA"/>
    <w:rsid w:val="00A26261"/>
    <w:rsid w:val="00A4589F"/>
    <w:rsid w:val="00A460F3"/>
    <w:rsid w:val="00A52BC0"/>
    <w:rsid w:val="00A5717B"/>
    <w:rsid w:val="00A5751C"/>
    <w:rsid w:val="00A6386C"/>
    <w:rsid w:val="00A64DDC"/>
    <w:rsid w:val="00A65FDF"/>
    <w:rsid w:val="00A7101D"/>
    <w:rsid w:val="00A75D36"/>
    <w:rsid w:val="00A85EEC"/>
    <w:rsid w:val="00A86D45"/>
    <w:rsid w:val="00AB5567"/>
    <w:rsid w:val="00AE1843"/>
    <w:rsid w:val="00AE3297"/>
    <w:rsid w:val="00AF2BE6"/>
    <w:rsid w:val="00AF6DC2"/>
    <w:rsid w:val="00B11EFB"/>
    <w:rsid w:val="00B138F9"/>
    <w:rsid w:val="00B27E57"/>
    <w:rsid w:val="00B30CB8"/>
    <w:rsid w:val="00B327EB"/>
    <w:rsid w:val="00B42AFE"/>
    <w:rsid w:val="00B67DCE"/>
    <w:rsid w:val="00B83C4F"/>
    <w:rsid w:val="00B84BD8"/>
    <w:rsid w:val="00B86D0C"/>
    <w:rsid w:val="00B9289F"/>
    <w:rsid w:val="00BC76AE"/>
    <w:rsid w:val="00BE68D2"/>
    <w:rsid w:val="00BF3815"/>
    <w:rsid w:val="00BF6754"/>
    <w:rsid w:val="00C04B38"/>
    <w:rsid w:val="00C10DD5"/>
    <w:rsid w:val="00C27711"/>
    <w:rsid w:val="00C369CE"/>
    <w:rsid w:val="00C46E44"/>
    <w:rsid w:val="00C509E3"/>
    <w:rsid w:val="00C61E9E"/>
    <w:rsid w:val="00C63D4E"/>
    <w:rsid w:val="00C65B6B"/>
    <w:rsid w:val="00C72CF1"/>
    <w:rsid w:val="00C75E91"/>
    <w:rsid w:val="00C81836"/>
    <w:rsid w:val="00C82B3E"/>
    <w:rsid w:val="00C906D3"/>
    <w:rsid w:val="00CA60C7"/>
    <w:rsid w:val="00CA630B"/>
    <w:rsid w:val="00CB0B63"/>
    <w:rsid w:val="00CB4770"/>
    <w:rsid w:val="00CC5A46"/>
    <w:rsid w:val="00CC6744"/>
    <w:rsid w:val="00CD027C"/>
    <w:rsid w:val="00CD444B"/>
    <w:rsid w:val="00CE18C2"/>
    <w:rsid w:val="00CE473D"/>
    <w:rsid w:val="00CE6F0C"/>
    <w:rsid w:val="00CF0560"/>
    <w:rsid w:val="00CF602D"/>
    <w:rsid w:val="00D07AF6"/>
    <w:rsid w:val="00D11BD6"/>
    <w:rsid w:val="00D14F96"/>
    <w:rsid w:val="00D15C2E"/>
    <w:rsid w:val="00D201C6"/>
    <w:rsid w:val="00D24C6A"/>
    <w:rsid w:val="00D25F36"/>
    <w:rsid w:val="00D3111F"/>
    <w:rsid w:val="00D454BB"/>
    <w:rsid w:val="00D51CC8"/>
    <w:rsid w:val="00D55188"/>
    <w:rsid w:val="00D7439A"/>
    <w:rsid w:val="00D80926"/>
    <w:rsid w:val="00D80F25"/>
    <w:rsid w:val="00D845BD"/>
    <w:rsid w:val="00DA5623"/>
    <w:rsid w:val="00DB1657"/>
    <w:rsid w:val="00DB60E8"/>
    <w:rsid w:val="00DC290E"/>
    <w:rsid w:val="00DC4E8A"/>
    <w:rsid w:val="00DD4466"/>
    <w:rsid w:val="00DD6565"/>
    <w:rsid w:val="00DE16AF"/>
    <w:rsid w:val="00DE5A88"/>
    <w:rsid w:val="00DF0873"/>
    <w:rsid w:val="00DF6AF2"/>
    <w:rsid w:val="00E017AB"/>
    <w:rsid w:val="00E06A25"/>
    <w:rsid w:val="00E31181"/>
    <w:rsid w:val="00E31EC0"/>
    <w:rsid w:val="00E33811"/>
    <w:rsid w:val="00E51B4A"/>
    <w:rsid w:val="00E61A95"/>
    <w:rsid w:val="00E666CD"/>
    <w:rsid w:val="00E80972"/>
    <w:rsid w:val="00E82928"/>
    <w:rsid w:val="00E83E98"/>
    <w:rsid w:val="00E84A07"/>
    <w:rsid w:val="00E95C0E"/>
    <w:rsid w:val="00E9612C"/>
    <w:rsid w:val="00EB1661"/>
    <w:rsid w:val="00EB1F19"/>
    <w:rsid w:val="00EB2EC6"/>
    <w:rsid w:val="00EB6433"/>
    <w:rsid w:val="00EC26B0"/>
    <w:rsid w:val="00ED578C"/>
    <w:rsid w:val="00EE0157"/>
    <w:rsid w:val="00EE2E37"/>
    <w:rsid w:val="00EE577A"/>
    <w:rsid w:val="00EF00AF"/>
    <w:rsid w:val="00EF137A"/>
    <w:rsid w:val="00EF461C"/>
    <w:rsid w:val="00F10412"/>
    <w:rsid w:val="00F12CD1"/>
    <w:rsid w:val="00F176D9"/>
    <w:rsid w:val="00F20C61"/>
    <w:rsid w:val="00F20E48"/>
    <w:rsid w:val="00F24F2D"/>
    <w:rsid w:val="00F4118B"/>
    <w:rsid w:val="00F41430"/>
    <w:rsid w:val="00F45CD0"/>
    <w:rsid w:val="00F46232"/>
    <w:rsid w:val="00F51A58"/>
    <w:rsid w:val="00F5330E"/>
    <w:rsid w:val="00F5744E"/>
    <w:rsid w:val="00F602EF"/>
    <w:rsid w:val="00F6125C"/>
    <w:rsid w:val="00F70EF8"/>
    <w:rsid w:val="00F76BFF"/>
    <w:rsid w:val="00F8434B"/>
    <w:rsid w:val="00F90655"/>
    <w:rsid w:val="00F94BB7"/>
    <w:rsid w:val="00FA0B09"/>
    <w:rsid w:val="00FA769F"/>
    <w:rsid w:val="00FB1B47"/>
    <w:rsid w:val="00FC2534"/>
    <w:rsid w:val="00FC62D9"/>
    <w:rsid w:val="00FD7BCB"/>
    <w:rsid w:val="00FE2EB7"/>
    <w:rsid w:val="00FE51B0"/>
    <w:rsid w:val="00FE6165"/>
    <w:rsid w:val="00FF224C"/>
    <w:rsid w:val="00FF2B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1154"/>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basedOn w:val="Normal"/>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C04B38"/>
    <w:pPr>
      <w:numPr>
        <w:numId w:val="20"/>
      </w:numPr>
      <w:overflowPunct/>
      <w:autoSpaceDE/>
      <w:autoSpaceDN/>
      <w:adjustRightInd/>
      <w:spacing w:before="60" w:after="0"/>
      <w:jc w:val="left"/>
      <w:textAlignment w:val="auto"/>
    </w:pPr>
    <w:rPr>
      <w:rFonts w:ascii="Arial" w:eastAsia="MS Mincho" w:hAnsi="Arial"/>
      <w:b/>
      <w:sz w:val="20"/>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2</TotalTime>
  <Pages>7</Pages>
  <Words>1687</Words>
  <Characters>9619</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11284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3</cp:revision>
  <cp:lastPrinted>2020-07-28T11:49:00Z</cp:lastPrinted>
  <dcterms:created xsi:type="dcterms:W3CDTF">2022-11-04T01:57:00Z</dcterms:created>
  <dcterms:modified xsi:type="dcterms:W3CDTF">2022-11-04T01:59:00Z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