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D1FB08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284867">
        <w:rPr>
          <w:bCs/>
          <w:noProof w:val="0"/>
          <w:sz w:val="24"/>
          <w:szCs w:val="24"/>
        </w:rPr>
        <w:t>11363</w:t>
      </w:r>
      <w:r w:rsidR="00A66F93">
        <w:rPr>
          <w:bCs/>
          <w:noProof w:val="0"/>
          <w:sz w:val="24"/>
          <w:szCs w:val="24"/>
        </w:rPr>
        <w:t>4</w:t>
      </w:r>
    </w:p>
    <w:p w14:paraId="11776FA6" w14:textId="342859A3"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76A4D6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4867">
        <w:rPr>
          <w:rFonts w:cs="Arial"/>
          <w:b/>
          <w:bCs/>
          <w:sz w:val="24"/>
        </w:rPr>
        <w:t>6.21.1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52FB4F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84867">
        <w:rPr>
          <w:rFonts w:ascii="Arial" w:hAnsi="Arial" w:cs="Arial"/>
          <w:b/>
          <w:bCs/>
          <w:sz w:val="24"/>
        </w:rPr>
        <w:t>More granular per-FR gaps</w:t>
      </w:r>
    </w:p>
    <w:p w14:paraId="25F387E8" w14:textId="18AEA11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B4FD6">
        <w:rPr>
          <w:rFonts w:ascii="Arial" w:hAnsi="Arial" w:cs="Arial"/>
          <w:b/>
          <w:bCs/>
          <w:sz w:val="24"/>
        </w:rPr>
        <w:t>TEI17</w:t>
      </w:r>
      <w:r w:rsidRPr="00112F1A">
        <w:rPr>
          <w:rFonts w:ascii="Arial" w:hAnsi="Arial" w:cs="Arial"/>
          <w:b/>
          <w:bCs/>
          <w:sz w:val="24"/>
        </w:rPr>
        <w:t xml:space="preserve"> </w:t>
      </w:r>
      <w:r>
        <w:rPr>
          <w:rFonts w:ascii="Arial" w:hAnsi="Arial" w:cs="Arial"/>
          <w:b/>
          <w:bCs/>
          <w:sz w:val="24"/>
        </w:rPr>
        <w:t xml:space="preserve">- Release </w:t>
      </w:r>
      <w:r w:rsidR="00FB4FD6">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3FB46B4" w14:textId="77777777" w:rsidR="00284867" w:rsidRPr="00F7320B" w:rsidRDefault="00284867" w:rsidP="00284867">
      <w:r w:rsidRPr="00F7320B">
        <w:t>RAN#97e concluded the following:</w:t>
      </w:r>
    </w:p>
    <w:tbl>
      <w:tblPr>
        <w:tblStyle w:val="TableGrid"/>
        <w:tblW w:w="0" w:type="auto"/>
        <w:tblLook w:val="04A0" w:firstRow="1" w:lastRow="0" w:firstColumn="1" w:lastColumn="0" w:noHBand="0" w:noVBand="1"/>
      </w:tblPr>
      <w:tblGrid>
        <w:gridCol w:w="9631"/>
      </w:tblGrid>
      <w:tr w:rsidR="00284867" w:rsidRPr="00F7320B" w14:paraId="7D80DA1E" w14:textId="77777777" w:rsidTr="00AA1D4D">
        <w:tc>
          <w:tcPr>
            <w:tcW w:w="9631" w:type="dxa"/>
          </w:tcPr>
          <w:p w14:paraId="49D4425A" w14:textId="77777777" w:rsidR="00284867" w:rsidRPr="00F7320B" w:rsidRDefault="00284867" w:rsidP="00AA1D4D">
            <w:pPr>
              <w:widowControl w:val="0"/>
              <w:tabs>
                <w:tab w:val="left" w:pos="90"/>
                <w:tab w:val="left" w:pos="1868"/>
                <w:tab w:val="right" w:pos="10648"/>
              </w:tabs>
              <w:autoSpaceDE w:val="0"/>
              <w:autoSpaceDN w:val="0"/>
              <w:adjustRightInd w:val="0"/>
              <w:spacing w:before="53" w:after="0"/>
              <w:rPr>
                <w:b/>
                <w:bCs/>
                <w:i/>
                <w:iCs/>
                <w:color w:val="000000"/>
                <w:sz w:val="25"/>
                <w:szCs w:val="25"/>
              </w:rPr>
            </w:pPr>
            <w:r w:rsidRPr="00F7320B">
              <w:rPr>
                <w:b/>
                <w:bCs/>
                <w:i/>
                <w:iCs/>
                <w:color w:val="0000FF"/>
              </w:rPr>
              <w:t>RP-222590</w:t>
            </w:r>
            <w:r w:rsidRPr="00F7320B">
              <w:rPr>
                <w:rFonts w:ascii="Arial" w:hAnsi="Arial" w:cs="Arial"/>
                <w:i/>
                <w:iCs/>
                <w:sz w:val="24"/>
                <w:szCs w:val="24"/>
              </w:rPr>
              <w:tab/>
            </w:r>
            <w:r w:rsidRPr="00F7320B">
              <w:rPr>
                <w:rFonts w:ascii="Times" w:hAnsi="Times" w:cs="Times"/>
                <w:b/>
                <w:bCs/>
                <w:i/>
                <w:iCs/>
                <w:color w:val="000000"/>
              </w:rPr>
              <w:t>Moderator's summary for discussion [97e-30-UE-Capabilities]</w:t>
            </w:r>
            <w:r w:rsidRPr="00F7320B">
              <w:rPr>
                <w:rFonts w:ascii="Arial" w:hAnsi="Arial" w:cs="Arial"/>
                <w:i/>
                <w:iCs/>
                <w:sz w:val="24"/>
                <w:szCs w:val="24"/>
              </w:rPr>
              <w:tab/>
            </w:r>
            <w:r w:rsidRPr="00F7320B">
              <w:rPr>
                <w:b/>
                <w:bCs/>
                <w:i/>
                <w:iCs/>
                <w:color w:val="000000"/>
              </w:rPr>
              <w:t>RAN2 chair (MediaTek)</w:t>
            </w:r>
          </w:p>
          <w:p w14:paraId="6F02642A" w14:textId="77777777" w:rsidR="00284867" w:rsidRPr="00F7320B" w:rsidRDefault="00284867" w:rsidP="00AA1D4D">
            <w:pPr>
              <w:widowControl w:val="0"/>
              <w:tabs>
                <w:tab w:val="left" w:pos="1133"/>
              </w:tabs>
              <w:autoSpaceDE w:val="0"/>
              <w:autoSpaceDN w:val="0"/>
              <w:adjustRightInd w:val="0"/>
              <w:spacing w:after="0"/>
              <w:rPr>
                <w:rFonts w:ascii="Arial" w:hAnsi="Arial" w:cs="Arial"/>
                <w:i/>
                <w:iCs/>
                <w:color w:val="000000"/>
                <w:sz w:val="21"/>
                <w:szCs w:val="21"/>
              </w:rPr>
            </w:pPr>
            <w:r w:rsidRPr="00F7320B">
              <w:rPr>
                <w:rFonts w:ascii="Arial" w:hAnsi="Arial" w:cs="Arial"/>
                <w:i/>
                <w:iCs/>
                <w:sz w:val="24"/>
                <w:szCs w:val="24"/>
              </w:rPr>
              <w:tab/>
            </w:r>
            <w:r w:rsidRPr="00F7320B">
              <w:rPr>
                <w:rFonts w:ascii="Arial" w:hAnsi="Arial" w:cs="Arial"/>
                <w:i/>
                <w:iCs/>
                <w:color w:val="000000"/>
                <w:sz w:val="16"/>
                <w:szCs w:val="16"/>
              </w:rPr>
              <w:t>handled Tdocs: RP-222068, 2276, 2366, 2473, 2474, 2475</w:t>
            </w:r>
          </w:p>
          <w:p w14:paraId="49C9878F" w14:textId="77777777" w:rsidR="00284867" w:rsidRPr="00F7320B" w:rsidRDefault="00284867" w:rsidP="00AA1D4D">
            <w:pPr>
              <w:widowControl w:val="0"/>
              <w:tabs>
                <w:tab w:val="left" w:pos="1190"/>
              </w:tabs>
              <w:autoSpaceDE w:val="0"/>
              <w:autoSpaceDN w:val="0"/>
              <w:adjustRightInd w:val="0"/>
              <w:spacing w:before="100" w:after="0"/>
              <w:rPr>
                <w:i/>
                <w:iCs/>
                <w:color w:val="000000"/>
                <w:sz w:val="25"/>
                <w:szCs w:val="25"/>
              </w:rPr>
            </w:pPr>
            <w:r w:rsidRPr="00F7320B">
              <w:rPr>
                <w:rFonts w:ascii="Arial" w:hAnsi="Arial" w:cs="Arial"/>
                <w:i/>
                <w:iCs/>
                <w:sz w:val="24"/>
                <w:szCs w:val="24"/>
              </w:rPr>
              <w:tab/>
            </w:r>
            <w:r w:rsidRPr="00F7320B">
              <w:rPr>
                <w:i/>
                <w:iCs/>
                <w:color w:val="000000"/>
              </w:rPr>
              <w:t>conclusions:</w:t>
            </w:r>
          </w:p>
          <w:p w14:paraId="53624CCB" w14:textId="77777777" w:rsidR="00284867" w:rsidRPr="00F7320B" w:rsidRDefault="00284867" w:rsidP="00AA1D4D">
            <w:pPr>
              <w:widowControl w:val="0"/>
              <w:tabs>
                <w:tab w:val="left" w:pos="1190"/>
              </w:tabs>
              <w:autoSpaceDE w:val="0"/>
              <w:autoSpaceDN w:val="0"/>
              <w:adjustRightInd w:val="0"/>
              <w:spacing w:after="0"/>
              <w:rPr>
                <w:i/>
                <w:iCs/>
                <w:color w:val="000000"/>
              </w:rPr>
            </w:pPr>
            <w:r w:rsidRPr="00F7320B">
              <w:rPr>
                <w:rFonts w:ascii="Arial" w:hAnsi="Arial" w:cs="Arial"/>
                <w:i/>
                <w:iCs/>
                <w:sz w:val="24"/>
                <w:szCs w:val="24"/>
              </w:rPr>
              <w:tab/>
            </w:r>
            <w:r w:rsidRPr="00F7320B">
              <w:rPr>
                <w:i/>
                <w:iCs/>
                <w:color w:val="000000"/>
              </w:rPr>
              <w:t>Per FR Gaps:</w:t>
            </w:r>
          </w:p>
          <w:p w14:paraId="7D28EB66" w14:textId="77777777" w:rsidR="00284867" w:rsidRPr="00F7320B" w:rsidRDefault="00284867" w:rsidP="00AA1D4D">
            <w:pPr>
              <w:widowControl w:val="0"/>
              <w:tabs>
                <w:tab w:val="left" w:pos="1190"/>
              </w:tabs>
              <w:autoSpaceDE w:val="0"/>
              <w:autoSpaceDN w:val="0"/>
              <w:adjustRightInd w:val="0"/>
              <w:spacing w:after="0"/>
              <w:rPr>
                <w:i/>
                <w:iCs/>
                <w:color w:val="000000"/>
              </w:rPr>
            </w:pPr>
            <w:r w:rsidRPr="00F7320B">
              <w:rPr>
                <w:rFonts w:ascii="Arial" w:hAnsi="Arial" w:cs="Arial"/>
                <w:i/>
                <w:iCs/>
                <w:sz w:val="24"/>
                <w:szCs w:val="24"/>
              </w:rPr>
              <w:tab/>
            </w:r>
            <w:r w:rsidRPr="00F7320B">
              <w:rPr>
                <w:i/>
                <w:iCs/>
                <w:color w:val="000000"/>
              </w:rPr>
              <w:t>- Conclusion F1: The following Root Cause / Justification is applicable:</w:t>
            </w:r>
          </w:p>
          <w:p w14:paraId="25DB9839" w14:textId="77777777" w:rsidR="00284867" w:rsidRPr="00F7320B" w:rsidRDefault="00284867" w:rsidP="00AA1D4D">
            <w:pPr>
              <w:widowControl w:val="0"/>
              <w:tabs>
                <w:tab w:val="left" w:pos="1190"/>
              </w:tabs>
              <w:autoSpaceDE w:val="0"/>
              <w:autoSpaceDN w:val="0"/>
              <w:adjustRightInd w:val="0"/>
              <w:spacing w:after="0"/>
              <w:rPr>
                <w:i/>
                <w:iCs/>
                <w:color w:val="000000"/>
              </w:rPr>
            </w:pPr>
            <w:r w:rsidRPr="00F7320B">
              <w:rPr>
                <w:rFonts w:ascii="Arial" w:hAnsi="Arial" w:cs="Arial"/>
                <w:i/>
                <w:iCs/>
                <w:sz w:val="24"/>
                <w:szCs w:val="24"/>
              </w:rPr>
              <w:tab/>
            </w:r>
            <w:r w:rsidRPr="00F7320B">
              <w:rPr>
                <w:i/>
                <w:iCs/>
                <w:color w:val="000000"/>
              </w:rPr>
              <w:t xml:space="preserve">  a) the possibility to do gapless measurements is valuable, which is possible by using per-FR-gaps,</w:t>
            </w:r>
          </w:p>
          <w:p w14:paraId="746B9965" w14:textId="77777777" w:rsidR="00284867" w:rsidRPr="00F7320B" w:rsidRDefault="00284867" w:rsidP="00AA1D4D">
            <w:pPr>
              <w:widowControl w:val="0"/>
              <w:tabs>
                <w:tab w:val="left" w:pos="1190"/>
              </w:tabs>
              <w:autoSpaceDE w:val="0"/>
              <w:autoSpaceDN w:val="0"/>
              <w:adjustRightInd w:val="0"/>
              <w:spacing w:after="0"/>
              <w:rPr>
                <w:i/>
                <w:iCs/>
                <w:color w:val="000000"/>
              </w:rPr>
            </w:pPr>
            <w:r w:rsidRPr="00F7320B">
              <w:rPr>
                <w:rFonts w:ascii="Arial" w:hAnsi="Arial" w:cs="Arial"/>
                <w:i/>
                <w:iCs/>
                <w:sz w:val="24"/>
                <w:szCs w:val="24"/>
              </w:rPr>
              <w:tab/>
            </w:r>
            <w:r w:rsidRPr="00F7320B">
              <w:rPr>
                <w:i/>
                <w:iCs/>
                <w:color w:val="000000"/>
              </w:rPr>
              <w:t xml:space="preserve">  b) the assumption behind per-FR-gaps that FR1 and FR2 has separate resources in the UE is no longer </w:t>
            </w:r>
            <w:proofErr w:type="gramStart"/>
            <w:r w:rsidRPr="00F7320B">
              <w:rPr>
                <w:i/>
                <w:iCs/>
                <w:color w:val="000000"/>
              </w:rPr>
              <w:t>true, and</w:t>
            </w:r>
            <w:proofErr w:type="gramEnd"/>
            <w:r w:rsidRPr="00F7320B">
              <w:rPr>
                <w:i/>
                <w:iCs/>
                <w:color w:val="000000"/>
              </w:rPr>
              <w:t xml:space="preserve"> is the main reason why per-FR gaps need more fine-granular capability, or why other solution like needforgap should be considered.</w:t>
            </w:r>
          </w:p>
          <w:p w14:paraId="5EE8BDF6" w14:textId="77777777" w:rsidR="00284867" w:rsidRPr="00F7320B" w:rsidRDefault="00284867" w:rsidP="00AA1D4D">
            <w:pPr>
              <w:widowControl w:val="0"/>
              <w:tabs>
                <w:tab w:val="left" w:pos="1190"/>
              </w:tabs>
              <w:autoSpaceDE w:val="0"/>
              <w:autoSpaceDN w:val="0"/>
              <w:adjustRightInd w:val="0"/>
              <w:spacing w:after="0"/>
              <w:rPr>
                <w:i/>
                <w:iCs/>
                <w:color w:val="000000"/>
              </w:rPr>
            </w:pPr>
            <w:r w:rsidRPr="00F7320B">
              <w:rPr>
                <w:rFonts w:ascii="Arial" w:hAnsi="Arial" w:cs="Arial"/>
                <w:i/>
                <w:iCs/>
                <w:sz w:val="24"/>
                <w:szCs w:val="24"/>
              </w:rPr>
              <w:tab/>
            </w:r>
            <w:r w:rsidRPr="00F7320B">
              <w:rPr>
                <w:i/>
                <w:iCs/>
                <w:color w:val="000000"/>
              </w:rPr>
              <w:t xml:space="preserve">- Conclusion F2: RAN2 to be tasked to progress this issue (also </w:t>
            </w:r>
            <w:proofErr w:type="gramStart"/>
            <w:r w:rsidRPr="00F7320B">
              <w:rPr>
                <w:i/>
                <w:iCs/>
                <w:color w:val="000000"/>
              </w:rPr>
              <w:t>taking into account</w:t>
            </w:r>
            <w:proofErr w:type="gramEnd"/>
            <w:r w:rsidRPr="00F7320B">
              <w:rPr>
                <w:i/>
                <w:iCs/>
                <w:color w:val="000000"/>
              </w:rPr>
              <w:t xml:space="preserve"> comments collected at</w:t>
            </w:r>
            <w:r w:rsidRPr="00F7320B">
              <w:rPr>
                <w:rFonts w:ascii="Arial" w:hAnsi="Arial" w:cs="Arial"/>
                <w:i/>
                <w:iCs/>
                <w:sz w:val="24"/>
                <w:szCs w:val="24"/>
              </w:rPr>
              <w:t xml:space="preserve"> </w:t>
            </w:r>
            <w:r w:rsidRPr="00F7320B">
              <w:rPr>
                <w:i/>
                <w:iCs/>
                <w:color w:val="000000"/>
              </w:rPr>
              <w:t>TSG RAN), including solutions</w:t>
            </w:r>
          </w:p>
          <w:p w14:paraId="21CC7364" w14:textId="77777777" w:rsidR="00284867" w:rsidRPr="00F7320B" w:rsidRDefault="00284867" w:rsidP="00AA1D4D">
            <w:pPr>
              <w:widowControl w:val="0"/>
              <w:tabs>
                <w:tab w:val="left" w:pos="1190"/>
              </w:tabs>
              <w:autoSpaceDE w:val="0"/>
              <w:autoSpaceDN w:val="0"/>
              <w:adjustRightInd w:val="0"/>
              <w:spacing w:after="0"/>
              <w:rPr>
                <w:i/>
                <w:iCs/>
                <w:color w:val="000000"/>
              </w:rPr>
            </w:pPr>
            <w:r w:rsidRPr="00F7320B">
              <w:rPr>
                <w:rFonts w:ascii="Arial" w:hAnsi="Arial" w:cs="Arial"/>
                <w:i/>
                <w:iCs/>
                <w:sz w:val="24"/>
                <w:szCs w:val="24"/>
              </w:rPr>
              <w:tab/>
            </w:r>
            <w:r w:rsidRPr="00F7320B">
              <w:rPr>
                <w:i/>
                <w:iCs/>
                <w:color w:val="000000"/>
              </w:rPr>
              <w:t xml:space="preserve">  - Alt 1.1 (More fine grained capability for Per-FR-Gaps, 1 bit per BC),</w:t>
            </w:r>
          </w:p>
          <w:p w14:paraId="3B7381D2" w14:textId="77777777" w:rsidR="00284867" w:rsidRPr="00F7320B" w:rsidRDefault="00284867" w:rsidP="00AA1D4D">
            <w:pPr>
              <w:widowControl w:val="0"/>
              <w:tabs>
                <w:tab w:val="left" w:pos="1190"/>
              </w:tabs>
              <w:autoSpaceDE w:val="0"/>
              <w:autoSpaceDN w:val="0"/>
              <w:adjustRightInd w:val="0"/>
              <w:spacing w:after="0"/>
              <w:rPr>
                <w:i/>
                <w:iCs/>
                <w:color w:val="000000"/>
              </w:rPr>
            </w:pPr>
            <w:r w:rsidRPr="00F7320B">
              <w:rPr>
                <w:rFonts w:ascii="Arial" w:hAnsi="Arial" w:cs="Arial"/>
                <w:i/>
                <w:iCs/>
                <w:sz w:val="24"/>
                <w:szCs w:val="24"/>
              </w:rPr>
              <w:tab/>
            </w:r>
            <w:r w:rsidRPr="00F7320B">
              <w:rPr>
                <w:i/>
                <w:iCs/>
                <w:color w:val="000000"/>
              </w:rPr>
              <w:t xml:space="preserve">  - Alt 1.3 (more fine grained capability for Per-FR-Gaps - limited by number of carriers), and</w:t>
            </w:r>
          </w:p>
          <w:p w14:paraId="59481B7F" w14:textId="77777777" w:rsidR="00284867" w:rsidRPr="00F7320B" w:rsidRDefault="00284867" w:rsidP="00AA1D4D">
            <w:pPr>
              <w:widowControl w:val="0"/>
              <w:tabs>
                <w:tab w:val="left" w:pos="1190"/>
              </w:tabs>
              <w:autoSpaceDE w:val="0"/>
              <w:autoSpaceDN w:val="0"/>
              <w:adjustRightInd w:val="0"/>
              <w:spacing w:after="0"/>
              <w:rPr>
                <w:i/>
                <w:iCs/>
                <w:color w:val="000000"/>
              </w:rPr>
            </w:pPr>
            <w:r w:rsidRPr="00F7320B">
              <w:rPr>
                <w:rFonts w:ascii="Arial" w:hAnsi="Arial" w:cs="Arial"/>
                <w:i/>
                <w:iCs/>
                <w:sz w:val="24"/>
                <w:szCs w:val="24"/>
              </w:rPr>
              <w:tab/>
            </w:r>
            <w:r w:rsidRPr="00F7320B">
              <w:rPr>
                <w:i/>
                <w:iCs/>
                <w:color w:val="000000"/>
              </w:rPr>
              <w:t xml:space="preserve">  - Alt 2 (Use similar framework/procedure as </w:t>
            </w:r>
            <w:proofErr w:type="gramStart"/>
            <w:r w:rsidRPr="00F7320B">
              <w:rPr>
                <w:i/>
                <w:iCs/>
                <w:color w:val="000000"/>
              </w:rPr>
              <w:t>for ”NeedForGap</w:t>
            </w:r>
            <w:proofErr w:type="gramEnd"/>
            <w:r w:rsidRPr="00F7320B">
              <w:rPr>
                <w:i/>
                <w:iCs/>
                <w:color w:val="000000"/>
              </w:rPr>
              <w:t>”).</w:t>
            </w:r>
          </w:p>
          <w:p w14:paraId="3E53B88B" w14:textId="77777777" w:rsidR="00284867" w:rsidRPr="00F7320B" w:rsidRDefault="00284867" w:rsidP="00AA1D4D">
            <w:pPr>
              <w:widowControl w:val="0"/>
              <w:tabs>
                <w:tab w:val="left" w:pos="1190"/>
              </w:tabs>
              <w:autoSpaceDE w:val="0"/>
              <w:autoSpaceDN w:val="0"/>
              <w:adjustRightInd w:val="0"/>
              <w:spacing w:after="0"/>
              <w:rPr>
                <w:i/>
                <w:iCs/>
                <w:color w:val="000000"/>
              </w:rPr>
            </w:pPr>
            <w:r w:rsidRPr="00F7320B">
              <w:rPr>
                <w:rFonts w:ascii="Arial" w:hAnsi="Arial" w:cs="Arial"/>
                <w:i/>
                <w:iCs/>
                <w:sz w:val="24"/>
                <w:szCs w:val="24"/>
              </w:rPr>
              <w:tab/>
            </w:r>
            <w:r w:rsidRPr="00F7320B">
              <w:rPr>
                <w:i/>
                <w:iCs/>
                <w:color w:val="000000"/>
              </w:rPr>
              <w:t>- Conclusion F3: RAN2 to consider Alt. 1.1, 1.3 and 2, and discuss the signaling overhead and network</w:t>
            </w:r>
            <w:r w:rsidRPr="00F7320B">
              <w:rPr>
                <w:rFonts w:ascii="Arial" w:hAnsi="Arial" w:cs="Arial"/>
                <w:i/>
                <w:iCs/>
                <w:sz w:val="24"/>
                <w:szCs w:val="24"/>
              </w:rPr>
              <w:t xml:space="preserve"> </w:t>
            </w:r>
            <w:r w:rsidRPr="00F7320B">
              <w:rPr>
                <w:i/>
                <w:iCs/>
                <w:color w:val="000000"/>
              </w:rPr>
              <w:t>processing requirements/complexity. RAN2 is tasked to provide results after one Quarter, and leave final</w:t>
            </w:r>
          </w:p>
          <w:p w14:paraId="2CDB8B6F" w14:textId="77777777" w:rsidR="00284867" w:rsidRPr="00F7320B" w:rsidRDefault="00284867" w:rsidP="00AA1D4D">
            <w:pPr>
              <w:widowControl w:val="0"/>
              <w:tabs>
                <w:tab w:val="left" w:pos="1190"/>
              </w:tabs>
              <w:autoSpaceDE w:val="0"/>
              <w:autoSpaceDN w:val="0"/>
              <w:adjustRightInd w:val="0"/>
              <w:spacing w:after="0"/>
              <w:rPr>
                <w:i/>
                <w:iCs/>
                <w:color w:val="000000"/>
              </w:rPr>
            </w:pPr>
            <w:r w:rsidRPr="00F7320B">
              <w:rPr>
                <w:rFonts w:ascii="Arial" w:hAnsi="Arial" w:cs="Arial"/>
                <w:i/>
                <w:iCs/>
                <w:sz w:val="24"/>
                <w:szCs w:val="24"/>
              </w:rPr>
              <w:tab/>
            </w:r>
            <w:r w:rsidRPr="00F7320B">
              <w:rPr>
                <w:i/>
                <w:iCs/>
                <w:color w:val="000000"/>
              </w:rPr>
              <w:t>decision(s) to TSG RAN.</w:t>
            </w:r>
          </w:p>
        </w:tc>
      </w:tr>
    </w:tbl>
    <w:p w14:paraId="533CA4F6" w14:textId="77777777" w:rsidR="00284867" w:rsidRPr="00F7320B" w:rsidRDefault="00284867" w:rsidP="00284867">
      <w:pPr>
        <w:widowControl w:val="0"/>
        <w:tabs>
          <w:tab w:val="left" w:pos="1190"/>
        </w:tabs>
        <w:autoSpaceDE w:val="0"/>
        <w:autoSpaceDN w:val="0"/>
        <w:adjustRightInd w:val="0"/>
        <w:spacing w:after="0"/>
        <w:rPr>
          <w:color w:val="000000"/>
        </w:rPr>
      </w:pPr>
    </w:p>
    <w:p w14:paraId="34C191DE" w14:textId="77777777" w:rsidR="00284867" w:rsidRDefault="00284867" w:rsidP="00284867">
      <w:r>
        <w:t xml:space="preserve">Based on this, </w:t>
      </w:r>
      <w:r w:rsidRPr="00F7320B">
        <w:t>RAN2</w:t>
      </w:r>
      <w:r>
        <w:t>#119bis-e discussed the topic and conclude on the following:</w:t>
      </w:r>
    </w:p>
    <w:p w14:paraId="74CFA8A0" w14:textId="77777777" w:rsidR="00284867" w:rsidRDefault="00284867" w:rsidP="00284867">
      <w:pPr>
        <w:pStyle w:val="Agreement"/>
      </w:pPr>
      <w:r>
        <w:t xml:space="preserve">Exclude Alt 1.1 for now. </w:t>
      </w:r>
    </w:p>
    <w:p w14:paraId="5D84E601" w14:textId="77777777" w:rsidR="00284867" w:rsidRDefault="00284867" w:rsidP="00284867">
      <w:pPr>
        <w:pStyle w:val="Agreement"/>
        <w:rPr>
          <w:lang w:val="en-US"/>
        </w:rPr>
      </w:pPr>
      <w:r>
        <w:rPr>
          <w:lang w:val="en-US"/>
        </w:rPr>
        <w:t>On the table: Alt 1.3, Alt 1.3 per BC, Alt 2 (add info, based on current config as today, FFS excl/incl DC)</w:t>
      </w:r>
    </w:p>
    <w:p w14:paraId="1EF0DBA8" w14:textId="77777777" w:rsidR="00284867" w:rsidRDefault="00284867" w:rsidP="00284867"/>
    <w:p w14:paraId="58915924" w14:textId="4B8DEE04" w:rsidR="00284867" w:rsidRPr="00F7320B" w:rsidRDefault="00284867" w:rsidP="00284867">
      <w:r>
        <w:t>In this contribution, we propose how to finalize the discussion.</w:t>
      </w:r>
    </w:p>
    <w:p w14:paraId="7D484B6E" w14:textId="06110A31" w:rsidR="009339CB" w:rsidRPr="006E13D1" w:rsidRDefault="009339CB" w:rsidP="009339CB">
      <w:pPr>
        <w:pStyle w:val="Heading1"/>
      </w:pPr>
      <w:r w:rsidRPr="006E13D1">
        <w:t>2</w:t>
      </w:r>
      <w:r w:rsidRPr="006E13D1">
        <w:tab/>
      </w:r>
      <w:r w:rsidR="0073791B">
        <w:t>Per-FR gap capabilities</w:t>
      </w:r>
    </w:p>
    <w:p w14:paraId="5982B445" w14:textId="7FCE15FA" w:rsidR="009339CB" w:rsidRPr="006E13D1" w:rsidRDefault="009339CB" w:rsidP="009339CB">
      <w:pPr>
        <w:pStyle w:val="Heading2"/>
      </w:pPr>
      <w:r>
        <w:t>2</w:t>
      </w:r>
      <w:r w:rsidRPr="006E13D1">
        <w:t>.1</w:t>
      </w:r>
      <w:r w:rsidRPr="006E13D1">
        <w:tab/>
      </w:r>
      <w:r w:rsidR="0073791B">
        <w:t>Signalling options</w:t>
      </w:r>
    </w:p>
    <w:p w14:paraId="7A060474" w14:textId="77777777" w:rsidR="0073791B" w:rsidRDefault="0073791B" w:rsidP="009339CB">
      <w:r>
        <w:t>The following options are on the table:</w:t>
      </w:r>
    </w:p>
    <w:p w14:paraId="7D0891AA" w14:textId="77777777" w:rsidR="0073791B" w:rsidRDefault="0073791B" w:rsidP="0073791B">
      <w:pPr>
        <w:pStyle w:val="Agreement"/>
        <w:rPr>
          <w:lang w:val="en-US"/>
        </w:rPr>
      </w:pPr>
      <w:r>
        <w:rPr>
          <w:lang w:val="en-US"/>
        </w:rPr>
        <w:t>On the table: Alt 1.3, Alt 1.3 per BC, Alt 2 (add info, based on current config as today, FFS excl/incl DC)</w:t>
      </w:r>
    </w:p>
    <w:p w14:paraId="2F7A2C77" w14:textId="77777777" w:rsidR="0073791B" w:rsidRPr="0073791B" w:rsidRDefault="0073791B" w:rsidP="009339CB">
      <w:pPr>
        <w:rPr>
          <w:lang w:val="en-US"/>
        </w:rPr>
      </w:pPr>
    </w:p>
    <w:p w14:paraId="2A714734" w14:textId="4CC92F0D" w:rsidR="009339CB" w:rsidRPr="006E13D1" w:rsidRDefault="009339CB" w:rsidP="0073791B">
      <w:r w:rsidRPr="006E13D1">
        <w:t xml:space="preserve">Normal style, normal style, normal style, normal style, normal style, normal style, normal style, normal style, normal </w:t>
      </w:r>
    </w:p>
    <w:p w14:paraId="56C56636" w14:textId="1D6CA8E5" w:rsidR="009339CB" w:rsidRPr="006E13D1" w:rsidRDefault="009339CB" w:rsidP="009339CB">
      <w:pPr>
        <w:pStyle w:val="B1"/>
      </w:pPr>
      <w:r w:rsidRPr="006E13D1">
        <w:t>-</w:t>
      </w:r>
      <w:r w:rsidRPr="006E13D1">
        <w:tab/>
      </w:r>
      <w:r w:rsidR="0073791B" w:rsidRPr="002167F1">
        <w:rPr>
          <w:b/>
          <w:bCs/>
        </w:rPr>
        <w:t xml:space="preserve">Alt.1.3: </w:t>
      </w:r>
      <w:r w:rsidR="0073791B">
        <w:t>UE capability indicating maximum supported CCs for per-FR gaps</w:t>
      </w:r>
    </w:p>
    <w:p w14:paraId="08ECCD96" w14:textId="02D38A2A" w:rsidR="009339CB" w:rsidRPr="006E13D1" w:rsidRDefault="009339CB" w:rsidP="009339CB">
      <w:pPr>
        <w:pStyle w:val="B2"/>
      </w:pPr>
      <w:r w:rsidRPr="006E13D1">
        <w:lastRenderedPageBreak/>
        <w:t>-</w:t>
      </w:r>
      <w:r w:rsidRPr="006E13D1">
        <w:tab/>
      </w:r>
      <w:r w:rsidR="0073791B">
        <w:t>A: UE capability is per-UE (similar to existing per-FR gap capability)</w:t>
      </w:r>
    </w:p>
    <w:p w14:paraId="7F97B8A6" w14:textId="02D977F0" w:rsidR="009339CB" w:rsidRPr="006E13D1" w:rsidRDefault="009339CB" w:rsidP="009339CB">
      <w:pPr>
        <w:pStyle w:val="B2"/>
      </w:pPr>
      <w:r w:rsidRPr="006E13D1">
        <w:t>-</w:t>
      </w:r>
      <w:r w:rsidRPr="006E13D1">
        <w:tab/>
        <w:t>B</w:t>
      </w:r>
      <w:r w:rsidR="0073791B">
        <w:t>: UE capability is per BC (allowing UE to indicate different capabilities for each BC based on corresponding processing capabilities)</w:t>
      </w:r>
      <w:r>
        <w:t>.</w:t>
      </w:r>
    </w:p>
    <w:p w14:paraId="7A93AB3E" w14:textId="3E2B599E" w:rsidR="009339CB" w:rsidRDefault="009339CB" w:rsidP="009339CB">
      <w:pPr>
        <w:pStyle w:val="B1"/>
      </w:pPr>
      <w:r w:rsidRPr="006E13D1">
        <w:t>-</w:t>
      </w:r>
      <w:r w:rsidRPr="006E13D1">
        <w:tab/>
      </w:r>
      <w:r w:rsidR="0073791B" w:rsidRPr="002167F1">
        <w:rPr>
          <w:b/>
          <w:bCs/>
        </w:rPr>
        <w:t>Alt.2:</w:t>
      </w:r>
      <w:r w:rsidR="0073791B">
        <w:t xml:space="preserve"> Use NeedForGap framework (i.e. network requests per-FR gap support in RRCReconfiguration, corresponding to current UE configuration)</w:t>
      </w:r>
      <w:r>
        <w:t>.</w:t>
      </w:r>
    </w:p>
    <w:p w14:paraId="2019DC3D" w14:textId="4DFC079E" w:rsidR="0073791B" w:rsidRDefault="0073791B" w:rsidP="0073791B">
      <w:pPr>
        <w:pStyle w:val="B2"/>
      </w:pPr>
      <w:r w:rsidRPr="006E13D1">
        <w:t>-</w:t>
      </w:r>
      <w:r w:rsidRPr="006E13D1">
        <w:tab/>
      </w:r>
      <w:r>
        <w:t>UE just indicates whether it supports per-FR gaps</w:t>
      </w:r>
      <w:r>
        <w:t xml:space="preserve"> (similar to existing per-FR gap capability)</w:t>
      </w:r>
    </w:p>
    <w:p w14:paraId="2CEF7257" w14:textId="357376E2" w:rsidR="0073791B" w:rsidRDefault="0073791B" w:rsidP="0073791B">
      <w:pPr>
        <w:pStyle w:val="B1"/>
      </w:pPr>
      <w:r w:rsidRPr="006E13D1">
        <w:t>-</w:t>
      </w:r>
      <w:r w:rsidRPr="006E13D1">
        <w:tab/>
      </w:r>
      <w:r w:rsidRPr="002167F1">
        <w:rPr>
          <w:b/>
          <w:bCs/>
        </w:rPr>
        <w:t>Alt.</w:t>
      </w:r>
      <w:r w:rsidRPr="002167F1">
        <w:rPr>
          <w:b/>
          <w:bCs/>
        </w:rPr>
        <w:t>3.3</w:t>
      </w:r>
      <w:r w:rsidRPr="002167F1">
        <w:rPr>
          <w:b/>
          <w:bCs/>
        </w:rPr>
        <w:t>:</w:t>
      </w:r>
      <w:r>
        <w:t xml:space="preserve"> </w:t>
      </w:r>
      <w:r>
        <w:t xml:space="preserve">Alt.1.3 + Alt.2, i.e. </w:t>
      </w:r>
      <w:r>
        <w:t xml:space="preserve">Use NeedForGap framework </w:t>
      </w:r>
      <w:r>
        <w:t>with max CCs for per-FR gaps</w:t>
      </w:r>
    </w:p>
    <w:p w14:paraId="672E4DEC" w14:textId="2831C586" w:rsidR="0073791B" w:rsidRDefault="0073791B" w:rsidP="0073791B">
      <w:pPr>
        <w:pStyle w:val="B2"/>
      </w:pPr>
      <w:r w:rsidRPr="006E13D1">
        <w:t>-</w:t>
      </w:r>
      <w:r w:rsidRPr="006E13D1">
        <w:tab/>
      </w:r>
      <w:r>
        <w:t>UE indicates up to which number of CCs it supports per-FR gaps (allowing UE to consider current processing capabilities).</w:t>
      </w:r>
    </w:p>
    <w:p w14:paraId="57E25FC4" w14:textId="1BEEBBF5" w:rsidR="00F643F2" w:rsidRDefault="0073791B" w:rsidP="0073791B">
      <w:pPr>
        <w:pStyle w:val="B1"/>
        <w:ind w:left="0" w:firstLine="0"/>
      </w:pPr>
      <w:r>
        <w:t>We note that the Alt.3.3 is just a term to denote the “Alt.1.3 + Alt.2A</w:t>
      </w:r>
      <w:proofErr w:type="gramStart"/>
      <w:r>
        <w:t>”, and</w:t>
      </w:r>
      <w:proofErr w:type="gramEnd"/>
      <w:r>
        <w:t xml:space="preserve"> </w:t>
      </w:r>
      <w:r w:rsidR="002167F1">
        <w:t xml:space="preserve">note that the real question is just whether RAN2 extends the NeedForGaps or just uses “plain” UE capabilities. As we have noted earlier in </w:t>
      </w:r>
      <w:hyperlink r:id="rId12" w:history="1">
        <w:r w:rsidR="00356487">
          <w:rPr>
            <w:rStyle w:val="Hyperlink"/>
          </w:rPr>
          <w:t>R2-2210237</w:t>
        </w:r>
      </w:hyperlink>
      <w:r w:rsidR="002167F1">
        <w:t xml:space="preserve">, whether UE can use the per-FR gaps depends entirely on the used configuration, but </w:t>
      </w:r>
      <w:r w:rsidR="00F643F2">
        <w:t>not</w:t>
      </w:r>
      <w:r w:rsidR="002167F1">
        <w:t xml:space="preserve"> on the actually measured frequencies: Gaps are either needed or not needed, and the measured frequencies only impact on how long the measurements may take</w:t>
      </w:r>
      <w:r w:rsidR="00F643F2">
        <w:t xml:space="preserve">. </w:t>
      </w:r>
    </w:p>
    <w:p w14:paraId="11F2EC53" w14:textId="7A25A5B9" w:rsidR="0073791B" w:rsidRDefault="00F643F2" w:rsidP="0073791B">
      <w:pPr>
        <w:pStyle w:val="B1"/>
        <w:ind w:left="0" w:firstLine="0"/>
      </w:pPr>
      <w:r w:rsidRPr="00F643F2">
        <w:rPr>
          <w:b/>
          <w:bCs/>
        </w:rPr>
        <w:t>Observation 1:</w:t>
      </w:r>
      <w:r>
        <w:t xml:space="preserve"> Whether UE can use per-FR gaps depends on the used RRC configuration, </w:t>
      </w:r>
      <w:r>
        <w:rPr>
          <w:b/>
          <w:bCs/>
        </w:rPr>
        <w:t>not</w:t>
      </w:r>
      <w:r>
        <w:t xml:space="preserve"> on the measured frequencies. </w:t>
      </w:r>
    </w:p>
    <w:p w14:paraId="1153A2FF" w14:textId="67B48D3B" w:rsidR="00F643F2" w:rsidRDefault="00F643F2" w:rsidP="0073791B">
      <w:pPr>
        <w:pStyle w:val="B1"/>
        <w:ind w:left="0" w:firstLine="0"/>
      </w:pPr>
      <w:r>
        <w:t>As already discussed during RAN2#119bis-e, the per-BC capabilities always open up a question on the fallback BC capabilities: UE normally only reports the highest-order CA/DC band combination, where it is most likely that UE may not support the per-FR gaps in case there are processing issues. So any per-BC capability tends to open up the discussion on how the fallback indications work</w:t>
      </w:r>
      <w:r w:rsidR="00600DC0">
        <w:t xml:space="preserve">. In contrast, with the NeedForGaps framework, the result is always conditioned on the currently used configuration: If a serving cell is dropped from the configuration, network has to do that with an </w:t>
      </w:r>
      <w:r w:rsidR="00600DC0" w:rsidRPr="00600DC0">
        <w:rPr>
          <w:i/>
          <w:iCs/>
        </w:rPr>
        <w:t>RRCReconfiguration</w:t>
      </w:r>
      <w:r w:rsidR="00600DC0">
        <w:t>, which also allows network to ask for UE to provide updated per-FR capabilities.</w:t>
      </w:r>
    </w:p>
    <w:p w14:paraId="7A4DF344" w14:textId="77777777" w:rsidR="00600DC0" w:rsidRDefault="00600DC0" w:rsidP="0073791B">
      <w:pPr>
        <w:pStyle w:val="B1"/>
        <w:ind w:left="0" w:firstLine="0"/>
      </w:pPr>
      <w:r w:rsidRPr="00600DC0">
        <w:rPr>
          <w:b/>
          <w:bCs/>
        </w:rPr>
        <w:t>Observation 2:</w:t>
      </w:r>
      <w:r>
        <w:t xml:space="preserve"> With per-BC capabilities for per-FR gaps, there is a need to discuss how the capabilities work with fallback BCs. </w:t>
      </w:r>
    </w:p>
    <w:p w14:paraId="42064B27" w14:textId="76460BAF" w:rsidR="00600DC0" w:rsidRDefault="00600DC0" w:rsidP="0073791B">
      <w:pPr>
        <w:pStyle w:val="B1"/>
        <w:ind w:left="0" w:firstLine="0"/>
      </w:pPr>
      <w:r w:rsidRPr="00600DC0">
        <w:rPr>
          <w:b/>
          <w:bCs/>
        </w:rPr>
        <w:t xml:space="preserve">Observation 3: </w:t>
      </w:r>
      <w:r>
        <w:t>With NeedForGaps, the per-FR gap capabilities are always related to the current configuration and require no discussion of fallback BC capabilities.</w:t>
      </w:r>
    </w:p>
    <w:p w14:paraId="29464513" w14:textId="3788B75C" w:rsidR="00600DC0" w:rsidRDefault="00600DC0" w:rsidP="0073791B">
      <w:pPr>
        <w:pStyle w:val="B1"/>
        <w:ind w:left="0" w:firstLine="0"/>
      </w:pPr>
      <w:r>
        <w:t xml:space="preserve">Some questions were raised in RAN2#119bis-e that the current NeedForGap -framework does not support MR-DC, and specifically not NR-DC. This is because during Rel-16 there was no time to discss how to do MN-SN coordination of the queries, which might require additional answers (e.g. Can SN ask for NeedForGaps? If it can, does it need to inform MN? Can there be conflicts and how to resolve the need for signalling the information between the nodes?). However, this was because the NeedForGaps was inherently about the </w:t>
      </w:r>
      <w:r>
        <w:rPr>
          <w:b/>
          <w:bCs/>
        </w:rPr>
        <w:t>measured frequencies</w:t>
      </w:r>
      <w:r>
        <w:t xml:space="preserve">: </w:t>
      </w:r>
      <w:r w:rsidR="00FD1F18" w:rsidRPr="00FD1F18">
        <w:rPr>
          <w:u w:val="single"/>
        </w:rPr>
        <w:t xml:space="preserve">Does the UE need gaps to </w:t>
      </w:r>
      <w:r w:rsidR="00FD1F18" w:rsidRPr="00FD1F18">
        <w:rPr>
          <w:b/>
          <w:bCs/>
          <w:u w:val="single"/>
        </w:rPr>
        <w:t>measure frequencies f</w:t>
      </w:r>
      <w:proofErr w:type="gramStart"/>
      <w:r w:rsidR="00FD1F18" w:rsidRPr="00FD1F18">
        <w:rPr>
          <w:b/>
          <w:bCs/>
          <w:u w:val="single"/>
        </w:rPr>
        <w:t>1,…,fN</w:t>
      </w:r>
      <w:proofErr w:type="gramEnd"/>
      <w:r w:rsidR="00FD1F18" w:rsidRPr="00FD1F18">
        <w:rPr>
          <w:u w:val="single"/>
        </w:rPr>
        <w:t xml:space="preserve"> with the current configuration?</w:t>
      </w:r>
      <w:r w:rsidR="00FD1F18">
        <w:t xml:space="preserve"> For the per-FR gaps, the measured frequencies are less important: The question is about </w:t>
      </w:r>
      <w:r w:rsidR="00FD1F18" w:rsidRPr="00FD1F18">
        <w:rPr>
          <w:u w:val="single"/>
        </w:rPr>
        <w:t xml:space="preserve">whether UE </w:t>
      </w:r>
      <w:r w:rsidR="00FD1F18" w:rsidRPr="00FD1F18">
        <w:rPr>
          <w:b/>
          <w:bCs/>
          <w:u w:val="single"/>
        </w:rPr>
        <w:t>can use per-FR gaps</w:t>
      </w:r>
      <w:r w:rsidR="00FD1F18" w:rsidRPr="00FD1F18">
        <w:rPr>
          <w:u w:val="single"/>
        </w:rPr>
        <w:t xml:space="preserve"> with the current configuration?</w:t>
      </w:r>
      <w:r w:rsidR="00FD1F18">
        <w:t xml:space="preserve"> The need for MN-SN coordination is thus only relevant in case both MN and SN can use per-FR gaps, but already with current specification (see below) this is limited to MCG (in NR-DC or NE-DC) or SCG (in case of EN-DC or NGEN-DC). Thus, since it is anyway always controlled by one CG, there is no real risk of having issues with per-FR gap coordination in NR-DC.</w:t>
      </w:r>
    </w:p>
    <w:tbl>
      <w:tblPr>
        <w:tblW w:w="949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93"/>
      </w:tblGrid>
      <w:tr w:rsidR="00FD1F18" w:rsidRPr="00B55E3E" w14:paraId="129AAD0B" w14:textId="77777777" w:rsidTr="00FD1F18">
        <w:trPr>
          <w:cantSplit/>
        </w:trPr>
        <w:tc>
          <w:tcPr>
            <w:tcW w:w="9493" w:type="dxa"/>
            <w:tcBorders>
              <w:top w:val="single" w:sz="4" w:space="0" w:color="808080"/>
              <w:left w:val="single" w:sz="4" w:space="0" w:color="808080"/>
              <w:bottom w:val="single" w:sz="4" w:space="0" w:color="808080"/>
              <w:right w:val="single" w:sz="4" w:space="0" w:color="808080"/>
            </w:tcBorders>
            <w:hideMark/>
          </w:tcPr>
          <w:p w14:paraId="7B017191" w14:textId="77777777" w:rsidR="00FD1F18" w:rsidRPr="00B55E3E" w:rsidRDefault="00FD1F18" w:rsidP="00AA1D4D">
            <w:pPr>
              <w:pStyle w:val="TAL"/>
              <w:rPr>
                <w:b/>
                <w:bCs/>
                <w:i/>
                <w:lang w:eastAsia="en-GB"/>
              </w:rPr>
            </w:pPr>
            <w:r w:rsidRPr="00B55E3E">
              <w:rPr>
                <w:b/>
                <w:bCs/>
                <w:i/>
                <w:lang w:eastAsia="en-GB"/>
              </w:rPr>
              <w:t>gapFR1</w:t>
            </w:r>
          </w:p>
          <w:p w14:paraId="016ECC27" w14:textId="77777777" w:rsidR="00FD1F18" w:rsidRPr="00B55E3E" w:rsidRDefault="00FD1F18" w:rsidP="00AA1D4D">
            <w:pPr>
              <w:pStyle w:val="TAL"/>
              <w:rPr>
                <w:b/>
                <w:bCs/>
                <w:i/>
                <w:lang w:eastAsia="en-GB"/>
              </w:rPr>
            </w:pPr>
            <w:r w:rsidRPr="00B55E3E">
              <w:rPr>
                <w:rFonts w:cs="Arial"/>
                <w:szCs w:val="18"/>
                <w:lang w:eastAsia="sv-SE"/>
              </w:rPr>
              <w:t>Indicates</w:t>
            </w:r>
            <w:r w:rsidRPr="00B55E3E">
              <w:rPr>
                <w:rFonts w:cs="Arial"/>
                <w:szCs w:val="18"/>
                <w:lang w:eastAsia="zh-CN"/>
              </w:rPr>
              <w:t xml:space="preserve"> measurement gap configuration that </w:t>
            </w:r>
            <w:r w:rsidRPr="00B55E3E">
              <w:rPr>
                <w:lang w:eastAsia="sv-SE"/>
              </w:rPr>
              <w:t xml:space="preserve">applies to FR1 only. In (NG)EN-DC, </w:t>
            </w:r>
            <w:r w:rsidRPr="00B55E3E">
              <w:rPr>
                <w:i/>
                <w:lang w:eastAsia="sv-SE"/>
              </w:rPr>
              <w:t>gapFR1</w:t>
            </w:r>
            <w:r w:rsidRPr="00B55E3E">
              <w:rPr>
                <w:lang w:eastAsia="sv-SE"/>
              </w:rPr>
              <w:t xml:space="preserve"> cannot be set up by NR RRC (i.e. only LTE RRC can configure FR1 measurement gap). In NE-DC, </w:t>
            </w:r>
            <w:r w:rsidRPr="00B55E3E">
              <w:rPr>
                <w:i/>
                <w:lang w:eastAsia="sv-SE"/>
              </w:rPr>
              <w:t>gapFR1</w:t>
            </w:r>
            <w:r w:rsidRPr="00B55E3E">
              <w:rPr>
                <w:lang w:eastAsia="sv-SE"/>
              </w:rPr>
              <w:t xml:space="preserve"> can only be set up by NR RRC (i.e. LTE RRC cannot configure FR1 gap). </w:t>
            </w:r>
            <w:r w:rsidRPr="00FD1F18">
              <w:rPr>
                <w:highlight w:val="yellow"/>
                <w:lang w:eastAsia="sv-SE"/>
              </w:rPr>
              <w:t xml:space="preserve">In NR-DC, </w:t>
            </w:r>
            <w:r w:rsidRPr="00FD1F18">
              <w:rPr>
                <w:i/>
                <w:highlight w:val="yellow"/>
                <w:lang w:eastAsia="sv-SE"/>
              </w:rPr>
              <w:t>gapFR1</w:t>
            </w:r>
            <w:r w:rsidRPr="00FD1F18">
              <w:rPr>
                <w:highlight w:val="yellow"/>
                <w:lang w:eastAsia="sv-SE"/>
              </w:rPr>
              <w:t xml:space="preserve"> can only be set up in the </w:t>
            </w:r>
            <w:r w:rsidRPr="00FD1F18">
              <w:rPr>
                <w:i/>
                <w:highlight w:val="yellow"/>
                <w:lang w:eastAsia="sv-SE"/>
              </w:rPr>
              <w:t>measConfig</w:t>
            </w:r>
            <w:r w:rsidRPr="00FD1F18">
              <w:rPr>
                <w:highlight w:val="yellow"/>
                <w:lang w:eastAsia="sv-SE"/>
              </w:rPr>
              <w:t xml:space="preserve"> associated with MCG.</w:t>
            </w:r>
            <w:r w:rsidRPr="00B55E3E">
              <w:rPr>
                <w:lang w:eastAsia="sv-SE"/>
              </w:rPr>
              <w:t xml:space="preserve"> </w:t>
            </w:r>
            <w:r w:rsidRPr="00B55E3E">
              <w:rPr>
                <w:i/>
                <w:lang w:eastAsia="sv-SE"/>
              </w:rPr>
              <w:t>gapFR1</w:t>
            </w:r>
            <w:r w:rsidRPr="00B55E3E">
              <w:rPr>
                <w:lang w:eastAsia="sv-SE"/>
              </w:rPr>
              <w:t xml:space="preserve"> can not be configured together with </w:t>
            </w:r>
            <w:r w:rsidRPr="00B55E3E">
              <w:rPr>
                <w:i/>
                <w:lang w:eastAsia="sv-SE"/>
              </w:rPr>
              <w:t>gapUE</w:t>
            </w:r>
            <w:r w:rsidRPr="00B55E3E">
              <w:rPr>
                <w:lang w:eastAsia="sv-SE"/>
              </w:rPr>
              <w:t xml:space="preserve">. The applicability of the FR1 measurement gap is according to </w:t>
            </w:r>
            <w:r w:rsidRPr="00B55E3E">
              <w:rPr>
                <w:snapToGrid w:val="0"/>
                <w:lang w:eastAsia="sv-SE"/>
              </w:rPr>
              <w:t>Table 9.1.2-2 and Table 9.1.2-3 in TS 38.133 [14]</w:t>
            </w:r>
            <w:r w:rsidRPr="00B55E3E">
              <w:rPr>
                <w:lang w:eastAsia="sv-SE"/>
              </w:rPr>
              <w:t>.</w:t>
            </w:r>
          </w:p>
        </w:tc>
      </w:tr>
      <w:tr w:rsidR="00FD1F18" w:rsidRPr="00B55E3E" w14:paraId="5E5A349B" w14:textId="77777777" w:rsidTr="00FD1F18">
        <w:trPr>
          <w:cantSplit/>
        </w:trPr>
        <w:tc>
          <w:tcPr>
            <w:tcW w:w="9493" w:type="dxa"/>
            <w:tcBorders>
              <w:top w:val="single" w:sz="4" w:space="0" w:color="808080"/>
              <w:left w:val="single" w:sz="4" w:space="0" w:color="808080"/>
              <w:bottom w:val="single" w:sz="4" w:space="0" w:color="808080"/>
              <w:right w:val="single" w:sz="4" w:space="0" w:color="808080"/>
            </w:tcBorders>
            <w:hideMark/>
          </w:tcPr>
          <w:p w14:paraId="52ED2D4D" w14:textId="77777777" w:rsidR="00FD1F18" w:rsidRPr="00B55E3E" w:rsidRDefault="00FD1F18" w:rsidP="00AA1D4D">
            <w:pPr>
              <w:pStyle w:val="TAL"/>
              <w:rPr>
                <w:b/>
                <w:bCs/>
                <w:i/>
                <w:lang w:eastAsia="en-GB"/>
              </w:rPr>
            </w:pPr>
            <w:r w:rsidRPr="00B55E3E">
              <w:rPr>
                <w:b/>
                <w:bCs/>
                <w:i/>
                <w:lang w:eastAsia="en-GB"/>
              </w:rPr>
              <w:t>gapFR2</w:t>
            </w:r>
          </w:p>
          <w:p w14:paraId="6FEFD20D" w14:textId="77777777" w:rsidR="00FD1F18" w:rsidRPr="00B55E3E" w:rsidRDefault="00FD1F18" w:rsidP="00AA1D4D">
            <w:pPr>
              <w:pStyle w:val="TAL"/>
              <w:rPr>
                <w:lang w:eastAsia="sv-SE"/>
              </w:rPr>
            </w:pPr>
            <w:r w:rsidRPr="00B55E3E">
              <w:rPr>
                <w:rFonts w:cs="Arial"/>
                <w:szCs w:val="18"/>
                <w:lang w:eastAsia="sv-SE"/>
              </w:rPr>
              <w:t>Indicates</w:t>
            </w:r>
            <w:r w:rsidRPr="00B55E3E">
              <w:rPr>
                <w:rFonts w:cs="Arial"/>
                <w:szCs w:val="18"/>
                <w:lang w:eastAsia="zh-CN"/>
              </w:rPr>
              <w:t xml:space="preserve"> measurement gap configuration </w:t>
            </w:r>
            <w:r w:rsidRPr="00B55E3E">
              <w:rPr>
                <w:lang w:eastAsia="sv-SE"/>
              </w:rPr>
              <w:t xml:space="preserve">applies to FR2 only. In (NG)EN-DC or NE-DC, </w:t>
            </w:r>
            <w:r w:rsidRPr="00B55E3E">
              <w:rPr>
                <w:i/>
                <w:lang w:eastAsia="sv-SE"/>
              </w:rPr>
              <w:t>gapFR2</w:t>
            </w:r>
            <w:r w:rsidRPr="00B55E3E">
              <w:rPr>
                <w:lang w:eastAsia="sv-SE"/>
              </w:rPr>
              <w:t xml:space="preserve"> can only be set up by NR RRC (i.e. LTE RRC cannot configure FR2 gap). </w:t>
            </w:r>
            <w:r w:rsidRPr="00FD1F18">
              <w:rPr>
                <w:highlight w:val="yellow"/>
                <w:lang w:eastAsia="sv-SE"/>
              </w:rPr>
              <w:t xml:space="preserve">In NR-DC, </w:t>
            </w:r>
            <w:r w:rsidRPr="00FD1F18">
              <w:rPr>
                <w:i/>
                <w:highlight w:val="yellow"/>
                <w:lang w:eastAsia="sv-SE"/>
              </w:rPr>
              <w:t>gapFR2</w:t>
            </w:r>
            <w:r w:rsidRPr="00FD1F18">
              <w:rPr>
                <w:highlight w:val="yellow"/>
                <w:lang w:eastAsia="sv-SE"/>
              </w:rPr>
              <w:t xml:space="preserve"> can only be set up in the </w:t>
            </w:r>
            <w:r w:rsidRPr="00FD1F18">
              <w:rPr>
                <w:i/>
                <w:highlight w:val="yellow"/>
                <w:lang w:eastAsia="sv-SE"/>
              </w:rPr>
              <w:t>measConfig</w:t>
            </w:r>
            <w:r w:rsidRPr="00FD1F18">
              <w:rPr>
                <w:highlight w:val="yellow"/>
                <w:lang w:eastAsia="sv-SE"/>
              </w:rPr>
              <w:t xml:space="preserve"> associated with MCG.</w:t>
            </w:r>
            <w:r w:rsidRPr="00B55E3E">
              <w:rPr>
                <w:lang w:eastAsia="sv-SE"/>
              </w:rPr>
              <w:t xml:space="preserve"> </w:t>
            </w:r>
            <w:r w:rsidRPr="00B55E3E">
              <w:rPr>
                <w:i/>
                <w:lang w:eastAsia="sv-SE"/>
              </w:rPr>
              <w:t>gapFR2</w:t>
            </w:r>
            <w:r w:rsidRPr="00B55E3E">
              <w:rPr>
                <w:lang w:eastAsia="sv-SE"/>
              </w:rPr>
              <w:t xml:space="preserve"> cannot be configured together with </w:t>
            </w:r>
            <w:r w:rsidRPr="00B55E3E">
              <w:rPr>
                <w:i/>
                <w:lang w:eastAsia="sv-SE"/>
              </w:rPr>
              <w:t>gapUE</w:t>
            </w:r>
            <w:r w:rsidRPr="00B55E3E">
              <w:rPr>
                <w:lang w:eastAsia="sv-SE"/>
              </w:rPr>
              <w:t xml:space="preserve">. The applicability of the FR2 measurement gap is according to </w:t>
            </w:r>
            <w:r w:rsidRPr="00B55E3E">
              <w:rPr>
                <w:snapToGrid w:val="0"/>
                <w:lang w:eastAsia="sv-SE"/>
              </w:rPr>
              <w:t>Table 9.1.2-2 and Table 9.1.2-3 in TS 38.133 [14]</w:t>
            </w:r>
            <w:r w:rsidRPr="00B55E3E">
              <w:rPr>
                <w:lang w:eastAsia="sv-SE"/>
              </w:rPr>
              <w:t>.</w:t>
            </w:r>
          </w:p>
        </w:tc>
      </w:tr>
    </w:tbl>
    <w:p w14:paraId="459EDFED" w14:textId="6E685111" w:rsidR="00FD1F18" w:rsidRDefault="00FD1F18" w:rsidP="0073791B">
      <w:pPr>
        <w:pStyle w:val="B1"/>
        <w:ind w:left="0" w:firstLine="0"/>
      </w:pPr>
    </w:p>
    <w:p w14:paraId="45B290C3" w14:textId="77777777" w:rsidR="00FD1F18" w:rsidRDefault="00FD1F18" w:rsidP="00FD1F18">
      <w:pPr>
        <w:pStyle w:val="B1"/>
        <w:ind w:left="0" w:firstLine="0"/>
      </w:pPr>
      <w:r w:rsidRPr="00FD1F18">
        <w:rPr>
          <w:b/>
          <w:bCs/>
        </w:rPr>
        <w:t>Observation 4:</w:t>
      </w:r>
      <w:r>
        <w:t xml:space="preserve"> Current RRC already limits per-FR gaps to MCG (in NR-DC or NE-DC) or SCG (in case of EN-DC or NGEN-DC), without need for the per-FR gap coordination.</w:t>
      </w:r>
    </w:p>
    <w:p w14:paraId="5A49363C" w14:textId="7E3B6223" w:rsidR="00FD1F18" w:rsidRDefault="00FD1F18" w:rsidP="0073791B">
      <w:pPr>
        <w:pStyle w:val="B1"/>
        <w:ind w:left="0" w:firstLine="0"/>
      </w:pPr>
      <w:r>
        <w:lastRenderedPageBreak/>
        <w:t>There might be some problems with NE-DC, (NG)EN-DC but as long as the request about per-FR NeedForGaps is limited to NR-DC and NR CA, we don’t foresee issues with MN-SN coordination. Thus, limiting the procedure to MCG only seems straightforward and compatible with existing specifications.</w:t>
      </w:r>
    </w:p>
    <w:p w14:paraId="4730D9D1" w14:textId="42FE20E6" w:rsidR="00FD1F18" w:rsidRDefault="00FD1F18" w:rsidP="0073791B">
      <w:pPr>
        <w:pStyle w:val="B1"/>
        <w:ind w:left="0" w:firstLine="0"/>
      </w:pPr>
      <w:r w:rsidRPr="00FD1F18">
        <w:rPr>
          <w:b/>
          <w:bCs/>
        </w:rPr>
        <w:t>Observation 5:</w:t>
      </w:r>
      <w:r>
        <w:t xml:space="preserve"> Limiting usage of NeedForGaps with per-FR gap information to MCG only resolves all problems with NR-DC usage and is compatible with existing specification.</w:t>
      </w:r>
    </w:p>
    <w:p w14:paraId="668DD101" w14:textId="4FEBF5FA" w:rsidR="00826A07" w:rsidRPr="00FD1F18" w:rsidRDefault="00FD1F18" w:rsidP="0073791B">
      <w:pPr>
        <w:pStyle w:val="B1"/>
        <w:ind w:left="0" w:firstLine="0"/>
      </w:pPr>
      <w:r>
        <w:t xml:space="preserve">With this in mind, we </w:t>
      </w:r>
      <w:r w:rsidR="00826A07">
        <w:t>propose that RAN2 adopts the NeedForGaps framework for the per-FR gap capability extension</w:t>
      </w:r>
      <w:r w:rsidR="00356487">
        <w:t>.</w:t>
      </w:r>
      <w:r w:rsidR="00826A07">
        <w:t xml:space="preserve"> </w:t>
      </w:r>
    </w:p>
    <w:p w14:paraId="4DC17B58" w14:textId="16C2F91C" w:rsidR="00600DC0" w:rsidRDefault="00600DC0" w:rsidP="0073791B">
      <w:pPr>
        <w:pStyle w:val="B1"/>
        <w:ind w:left="0" w:firstLine="0"/>
      </w:pPr>
      <w:r w:rsidRPr="00826A07">
        <w:rPr>
          <w:b/>
          <w:bCs/>
        </w:rPr>
        <w:t>Proposal 1:</w:t>
      </w:r>
      <w:r w:rsidR="00826A07">
        <w:t xml:space="preserve"> Use NeedForGaps-framework for the per-FR gap capability query.</w:t>
      </w:r>
    </w:p>
    <w:p w14:paraId="06FDC1F6" w14:textId="1939F29A" w:rsidR="00356487" w:rsidRDefault="00356487" w:rsidP="0073791B">
      <w:pPr>
        <w:pStyle w:val="B1"/>
        <w:ind w:left="0" w:firstLine="0"/>
      </w:pPr>
      <w:r>
        <w:t xml:space="preserve">To allow signalling optimization and avoid network from having to always query the information, we also think that UE could still indicate a per-BC capability that tells whether UE supports per-FR gaps when the number of CCs is less than or equal to the indicated UE capability. </w:t>
      </w:r>
    </w:p>
    <w:p w14:paraId="5F1CB431" w14:textId="0A2CC899" w:rsidR="00356487" w:rsidRDefault="00356487" w:rsidP="0073791B">
      <w:pPr>
        <w:pStyle w:val="B1"/>
        <w:ind w:left="0" w:firstLine="0"/>
      </w:pPr>
      <w:r w:rsidRPr="00356487">
        <w:rPr>
          <w:b/>
          <w:bCs/>
        </w:rPr>
        <w:t>Proposal 2:</w:t>
      </w:r>
      <w:r>
        <w:t xml:space="preserve"> Allow per-BC capability to indicate UE can support per-FR gaps in the band combination when the number of serving cells is less than or equal to indicated number of CCs.</w:t>
      </w:r>
    </w:p>
    <w:p w14:paraId="7F13671F" w14:textId="65F593F4" w:rsidR="00356487" w:rsidRDefault="00356487" w:rsidP="0073791B">
      <w:pPr>
        <w:pStyle w:val="B1"/>
        <w:ind w:left="0" w:firstLine="0"/>
      </w:pPr>
      <w:r>
        <w:t xml:space="preserve">We </w:t>
      </w:r>
      <w:r>
        <w:t xml:space="preserve">have provided example CRs for this in </w:t>
      </w:r>
      <w:hyperlink r:id="rId13" w:history="1">
        <w:r>
          <w:rPr>
            <w:rStyle w:val="Hyperlink"/>
          </w:rPr>
          <w:t>R2-2212373</w:t>
        </w:r>
      </w:hyperlink>
      <w:r>
        <w:t xml:space="preserve"> and </w:t>
      </w:r>
      <w:hyperlink r:id="rId14" w:history="1">
        <w:r>
          <w:rPr>
            <w:rStyle w:val="Hyperlink"/>
          </w:rPr>
          <w:t>R2-2212374</w:t>
        </w:r>
      </w:hyperlink>
      <w:r>
        <w:t>.</w:t>
      </w:r>
    </w:p>
    <w:p w14:paraId="041B8A5B" w14:textId="0669CE1B" w:rsidR="00356487" w:rsidRDefault="00356487" w:rsidP="00356487">
      <w:pPr>
        <w:pStyle w:val="B1"/>
        <w:ind w:left="0" w:firstLine="0"/>
      </w:pPr>
      <w:r w:rsidRPr="00826A07">
        <w:rPr>
          <w:b/>
          <w:bCs/>
        </w:rPr>
        <w:t xml:space="preserve">Proposal </w:t>
      </w:r>
      <w:r>
        <w:rPr>
          <w:b/>
          <w:bCs/>
        </w:rPr>
        <w:t>3</w:t>
      </w:r>
      <w:r w:rsidRPr="00826A07">
        <w:rPr>
          <w:b/>
          <w:bCs/>
        </w:rPr>
        <w:t>:</w:t>
      </w:r>
      <w:r>
        <w:t xml:space="preserve"> Agree to the CRs in </w:t>
      </w:r>
      <w:hyperlink r:id="rId15" w:history="1">
        <w:r>
          <w:rPr>
            <w:rStyle w:val="Hyperlink"/>
          </w:rPr>
          <w:t>R2-2212373</w:t>
        </w:r>
      </w:hyperlink>
      <w:r>
        <w:t xml:space="preserve"> and </w:t>
      </w:r>
      <w:hyperlink r:id="rId16" w:history="1">
        <w:r>
          <w:rPr>
            <w:rStyle w:val="Hyperlink"/>
          </w:rPr>
          <w:t>R2-2212374</w:t>
        </w:r>
      </w:hyperlink>
      <w:r>
        <w:t>.</w:t>
      </w:r>
    </w:p>
    <w:p w14:paraId="69B7B8E6" w14:textId="69E07FC9" w:rsidR="009339CB" w:rsidRPr="006E13D1" w:rsidRDefault="005A13AB" w:rsidP="009339CB">
      <w:pPr>
        <w:pStyle w:val="Heading1"/>
      </w:pPr>
      <w:r>
        <w:t>3</w:t>
      </w:r>
      <w:r w:rsidR="009339CB" w:rsidRPr="006E13D1">
        <w:tab/>
      </w:r>
      <w:r w:rsidR="009339CB">
        <w:t>Conclusion</w:t>
      </w:r>
    </w:p>
    <w:p w14:paraId="6E24B0F4" w14:textId="28FA6AE3" w:rsidR="009339CB" w:rsidRPr="006E13D1" w:rsidRDefault="009339CB" w:rsidP="009339CB">
      <w:r>
        <w:t>This document has made the following observations:</w:t>
      </w:r>
    </w:p>
    <w:p w14:paraId="7E9DD47B" w14:textId="77777777" w:rsidR="00826A07" w:rsidRDefault="00826A07" w:rsidP="00826A07">
      <w:pPr>
        <w:pStyle w:val="B1"/>
        <w:ind w:left="0" w:firstLine="0"/>
      </w:pPr>
      <w:r w:rsidRPr="00F643F2">
        <w:rPr>
          <w:b/>
          <w:bCs/>
        </w:rPr>
        <w:t>Observation 1:</w:t>
      </w:r>
      <w:r>
        <w:t xml:space="preserve"> Whether UE can use per-FR gaps depends on the used RRC configuration, </w:t>
      </w:r>
      <w:r>
        <w:rPr>
          <w:b/>
          <w:bCs/>
        </w:rPr>
        <w:t>not</w:t>
      </w:r>
      <w:r>
        <w:t xml:space="preserve"> on the measured frequencies. </w:t>
      </w:r>
    </w:p>
    <w:p w14:paraId="07ED755D" w14:textId="77777777" w:rsidR="00826A07" w:rsidRDefault="00826A07" w:rsidP="00826A07">
      <w:pPr>
        <w:pStyle w:val="B1"/>
        <w:ind w:left="0" w:firstLine="0"/>
      </w:pPr>
      <w:r w:rsidRPr="00600DC0">
        <w:rPr>
          <w:b/>
          <w:bCs/>
        </w:rPr>
        <w:t>Observation 2:</w:t>
      </w:r>
      <w:r>
        <w:t xml:space="preserve"> With per-BC capabilities for per-FR gaps, there is a need to discuss how the capabilities work with fallback BCs. </w:t>
      </w:r>
    </w:p>
    <w:p w14:paraId="7F8B95B0" w14:textId="77777777" w:rsidR="00826A07" w:rsidRDefault="00826A07" w:rsidP="00826A07">
      <w:pPr>
        <w:pStyle w:val="B1"/>
        <w:ind w:left="0" w:firstLine="0"/>
      </w:pPr>
      <w:r w:rsidRPr="00600DC0">
        <w:rPr>
          <w:b/>
          <w:bCs/>
        </w:rPr>
        <w:t xml:space="preserve">Observation 3: </w:t>
      </w:r>
      <w:r>
        <w:t>With NeedForGaps, the per-FR gap capabilities are always related to the current configuration and require no discussion of fallback BC capabilities.</w:t>
      </w:r>
    </w:p>
    <w:p w14:paraId="418128BA" w14:textId="77777777" w:rsidR="00826A07" w:rsidRDefault="00826A07" w:rsidP="00826A07">
      <w:pPr>
        <w:pStyle w:val="B1"/>
        <w:ind w:left="0" w:firstLine="0"/>
      </w:pPr>
      <w:r w:rsidRPr="00FD1F18">
        <w:rPr>
          <w:b/>
          <w:bCs/>
        </w:rPr>
        <w:t>Observation 4:</w:t>
      </w:r>
      <w:r>
        <w:t xml:space="preserve"> Current RRC already limits per-FR gaps to MCG (in NR-DC or NE-DC) or SCG (in case of EN-DC or NGEN-DC), without need for the per-FR gap coordination.</w:t>
      </w:r>
    </w:p>
    <w:p w14:paraId="13043234" w14:textId="77777777" w:rsidR="00826A07" w:rsidRDefault="00826A07" w:rsidP="00826A07">
      <w:pPr>
        <w:pStyle w:val="B1"/>
        <w:ind w:left="0" w:firstLine="0"/>
      </w:pPr>
      <w:r w:rsidRPr="00FD1F18">
        <w:rPr>
          <w:b/>
          <w:bCs/>
        </w:rPr>
        <w:t>Observation 5:</w:t>
      </w:r>
      <w:r>
        <w:t xml:space="preserve"> Limiting usage of NeedForGaps with per-FR gap information to MCG only resolves all problems with NR-DC usage and is compatible with existing specification.</w:t>
      </w:r>
    </w:p>
    <w:p w14:paraId="3BE72BE2" w14:textId="77777777" w:rsidR="009339CB" w:rsidRPr="004F4540" w:rsidRDefault="009339CB" w:rsidP="009339CB">
      <w:pPr>
        <w:rPr>
          <w:bCs/>
        </w:rPr>
      </w:pPr>
      <w:r>
        <w:rPr>
          <w:bCs/>
        </w:rPr>
        <w:t>And proposed the following:</w:t>
      </w:r>
    </w:p>
    <w:p w14:paraId="7C493478" w14:textId="77777777" w:rsidR="00826A07" w:rsidRDefault="00826A07" w:rsidP="00826A07">
      <w:pPr>
        <w:pStyle w:val="B1"/>
        <w:ind w:left="0" w:firstLine="0"/>
      </w:pPr>
      <w:r w:rsidRPr="00826A07">
        <w:rPr>
          <w:b/>
          <w:bCs/>
        </w:rPr>
        <w:t>Proposal 1:</w:t>
      </w:r>
      <w:r>
        <w:t xml:space="preserve"> Use NeedForGaps-framework for the per-FR gap capability query.</w:t>
      </w:r>
    </w:p>
    <w:p w14:paraId="4074D017" w14:textId="77777777" w:rsidR="00356487" w:rsidRDefault="00356487" w:rsidP="00356487">
      <w:pPr>
        <w:pStyle w:val="B1"/>
        <w:ind w:left="0" w:firstLine="0"/>
      </w:pPr>
      <w:r w:rsidRPr="00356487">
        <w:rPr>
          <w:b/>
          <w:bCs/>
        </w:rPr>
        <w:t>Proposal 2:</w:t>
      </w:r>
      <w:r>
        <w:t xml:space="preserve"> Allow per-BC capability to indicate UE can support per-FR gaps in the band combination when the number of serving cells is less than or equal to indicated number of CCs.</w:t>
      </w:r>
    </w:p>
    <w:p w14:paraId="5C5FE449" w14:textId="77777777" w:rsidR="00356487" w:rsidRDefault="00356487" w:rsidP="00356487">
      <w:pPr>
        <w:pStyle w:val="B1"/>
        <w:ind w:left="0" w:firstLine="0"/>
      </w:pPr>
      <w:r w:rsidRPr="00826A07">
        <w:rPr>
          <w:b/>
          <w:bCs/>
        </w:rPr>
        <w:t xml:space="preserve">Proposal </w:t>
      </w:r>
      <w:r>
        <w:rPr>
          <w:b/>
          <w:bCs/>
        </w:rPr>
        <w:t>3</w:t>
      </w:r>
      <w:r w:rsidRPr="00826A07">
        <w:rPr>
          <w:b/>
          <w:bCs/>
        </w:rPr>
        <w:t>:</w:t>
      </w:r>
      <w:r>
        <w:t xml:space="preserve"> Agree to the CRs in </w:t>
      </w:r>
      <w:hyperlink r:id="rId17" w:history="1">
        <w:r>
          <w:rPr>
            <w:rStyle w:val="Hyperlink"/>
          </w:rPr>
          <w:t>R2-2212373</w:t>
        </w:r>
      </w:hyperlink>
      <w:r>
        <w:t xml:space="preserve"> and </w:t>
      </w:r>
      <w:hyperlink r:id="rId18" w:history="1">
        <w:r>
          <w:rPr>
            <w:rStyle w:val="Hyperlink"/>
          </w:rPr>
          <w:t>R2-2212374</w:t>
        </w:r>
      </w:hyperlink>
      <w:r>
        <w:t>.</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3C466" w14:textId="77777777" w:rsidR="007327F9" w:rsidRDefault="007327F9">
      <w:r>
        <w:separator/>
      </w:r>
    </w:p>
  </w:endnote>
  <w:endnote w:type="continuationSeparator" w:id="0">
    <w:p w14:paraId="76F744C2" w14:textId="77777777" w:rsidR="007327F9" w:rsidRDefault="007327F9">
      <w:r>
        <w:continuationSeparator/>
      </w:r>
    </w:p>
  </w:endnote>
  <w:endnote w:type="continuationNotice" w:id="1">
    <w:p w14:paraId="65EA5B9E" w14:textId="77777777" w:rsidR="007327F9" w:rsidRDefault="007327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94DF7" w14:textId="77777777" w:rsidR="007327F9" w:rsidRDefault="007327F9">
      <w:r>
        <w:separator/>
      </w:r>
    </w:p>
  </w:footnote>
  <w:footnote w:type="continuationSeparator" w:id="0">
    <w:p w14:paraId="60FFF658" w14:textId="77777777" w:rsidR="007327F9" w:rsidRDefault="007327F9">
      <w:r>
        <w:continuationSeparator/>
      </w:r>
    </w:p>
  </w:footnote>
  <w:footnote w:type="continuationNotice" w:id="1">
    <w:p w14:paraId="7DFA5171" w14:textId="77777777" w:rsidR="007327F9" w:rsidRDefault="007327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E55852"/>
    <w:multiLevelType w:val="hybridMultilevel"/>
    <w:tmpl w:val="E676B9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0DD"/>
    <w:rsid w:val="000D58AB"/>
    <w:rsid w:val="00112F1A"/>
    <w:rsid w:val="00145075"/>
    <w:rsid w:val="001741A0"/>
    <w:rsid w:val="00175FA0"/>
    <w:rsid w:val="00194CD0"/>
    <w:rsid w:val="001B49C9"/>
    <w:rsid w:val="001C23F4"/>
    <w:rsid w:val="001C4F79"/>
    <w:rsid w:val="001F168B"/>
    <w:rsid w:val="001F7831"/>
    <w:rsid w:val="00204045"/>
    <w:rsid w:val="0020712B"/>
    <w:rsid w:val="002167F1"/>
    <w:rsid w:val="0022606D"/>
    <w:rsid w:val="00231728"/>
    <w:rsid w:val="00244A05"/>
    <w:rsid w:val="00250404"/>
    <w:rsid w:val="00256B74"/>
    <w:rsid w:val="002610D8"/>
    <w:rsid w:val="002747EC"/>
    <w:rsid w:val="00284867"/>
    <w:rsid w:val="002855BF"/>
    <w:rsid w:val="002B2988"/>
    <w:rsid w:val="002F0D22"/>
    <w:rsid w:val="00311B17"/>
    <w:rsid w:val="003172DC"/>
    <w:rsid w:val="00325AE3"/>
    <w:rsid w:val="00326069"/>
    <w:rsid w:val="0035462D"/>
    <w:rsid w:val="00356487"/>
    <w:rsid w:val="0036459E"/>
    <w:rsid w:val="00364B41"/>
    <w:rsid w:val="00383096"/>
    <w:rsid w:val="0039346C"/>
    <w:rsid w:val="003A41EF"/>
    <w:rsid w:val="003B40AD"/>
    <w:rsid w:val="003C4E37"/>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C766E"/>
    <w:rsid w:val="005C7CD5"/>
    <w:rsid w:val="00600DC0"/>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27F9"/>
    <w:rsid w:val="007342B5"/>
    <w:rsid w:val="00734A5B"/>
    <w:rsid w:val="0073791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26A07"/>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66F93"/>
    <w:rsid w:val="00A703B6"/>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43F2"/>
    <w:rsid w:val="00F653B8"/>
    <w:rsid w:val="00F71B89"/>
    <w:rsid w:val="00F7353C"/>
    <w:rsid w:val="00F76F8F"/>
    <w:rsid w:val="00F87257"/>
    <w:rsid w:val="00F941DF"/>
    <w:rsid w:val="00FA1266"/>
    <w:rsid w:val="00FB36FA"/>
    <w:rsid w:val="00FB4FD6"/>
    <w:rsid w:val="00FC1192"/>
    <w:rsid w:val="00FD1F18"/>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848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84867"/>
    <w:pPr>
      <w:numPr>
        <w:numId w:val="8"/>
      </w:numPr>
      <w:tabs>
        <w:tab w:val="clear" w:pos="1352"/>
        <w:tab w:val="num" w:pos="1619"/>
      </w:tabs>
      <w:spacing w:before="60" w:after="0"/>
      <w:ind w:left="1619"/>
    </w:pPr>
    <w:rPr>
      <w:rFonts w:ascii="Arial" w:eastAsia="MS Mincho" w:hAnsi="Arial"/>
      <w:b/>
      <w:szCs w:val="24"/>
      <w:lang w:eastAsia="en-GB"/>
    </w:rPr>
  </w:style>
  <w:style w:type="character" w:customStyle="1" w:styleId="TALCar">
    <w:name w:val="TAL Car"/>
    <w:link w:val="TAL"/>
    <w:qFormat/>
    <w:rsid w:val="00FD1F1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0/Docs/R2-2212373.zip" TargetMode="External"/><Relationship Id="rId18" Type="http://schemas.openxmlformats.org/officeDocument/2006/relationships/hyperlink" Target="https://www.3gpp.org/ftp/TSG_RAN/WG2_RL2/TSGR2_120/Docs/R2-221237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9bis-e/Docs/R2-2210237.zip" TargetMode="External"/><Relationship Id="rId17" Type="http://schemas.openxmlformats.org/officeDocument/2006/relationships/hyperlink" Target="https://www.3gpp.org/ftp/TSG_RAN/WG2_RL2/TSGR2_120/Docs/R2-2212373.zip" TargetMode="External"/><Relationship Id="rId2" Type="http://schemas.openxmlformats.org/officeDocument/2006/relationships/customXml" Target="../customXml/item2.xml"/><Relationship Id="rId16" Type="http://schemas.openxmlformats.org/officeDocument/2006/relationships/hyperlink" Target="https://www.3gpp.org/ftp/TSG_RAN/WG2_RL2/TSGR2_120/Docs/R2-2212374.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20/Docs/R2-2212373.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0/Docs/R2-22123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5AIRPNAIUNRU-859666464-12865</_dlc_DocId>
    <_dlc_DocIdUrl xmlns="71c5aaf6-e6ce-465b-b873-5148d2a4c105">
      <Url>https://nokia.sharepoint.com/sites/c5g/e2earch/_layouts/15/DocIdRedir.aspx?ID=5AIRPNAIUNRU-859666464-12865</Url>
      <Description>5AIRPNAIUNRU-859666464-12865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3</Pages>
  <Words>1437</Words>
  <Characters>8194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9612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108</cp:revision>
  <dcterms:created xsi:type="dcterms:W3CDTF">2016-08-12T13:53:00Z</dcterms:created>
  <dcterms:modified xsi:type="dcterms:W3CDTF">2022-11-03T19:24:00Z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76433904-1469-4a5c-b7f9-cac8107e05da</vt:lpwstr>
  </property>
</Properties>
</file>