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pPr>
        <w:pStyle w:val="25"/>
        <w:tabs>
          <w:tab w:val="right" w:pos="9639"/>
        </w:tabs>
        <w:jc w:val="both"/>
        <w:rPr>
          <w:bCs/>
          <w:sz w:val="24"/>
        </w:rPr>
      </w:pPr>
      <w:r>
        <w:rPr>
          <w:bCs/>
          <w:sz w:val="24"/>
          <w:szCs w:val="24"/>
          <w:lang w:eastAsia="zh-CN"/>
        </w:rPr>
        <w:t>Elbonia, 10 – 19 October 2022</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[AT119bis-e][119][NR NTN Enh] HO enhancements (Nokia)</w:t>
      </w:r>
    </w:p>
    <w:p>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NR_NTN_enh – Rel-18</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r>
        <w:t xml:space="preserve">This is to discuss the following: </w:t>
      </w:r>
    </w:p>
    <w:p>
      <w:pPr>
        <w:pStyle w:val="79"/>
      </w:pPr>
      <w:r>
        <w:t>[AT119bis-e][119][NR NTN Enh] HO enhancements (Nokia)</w:t>
      </w:r>
    </w:p>
    <w:p>
      <w:pPr>
        <w:pStyle w:val="80"/>
        <w:ind w:left="1619" w:firstLine="0"/>
        <w:rPr>
          <w:color w:val="0000FF"/>
          <w:u w:val="single"/>
        </w:rPr>
      </w:pPr>
      <w:r>
        <w:t xml:space="preserve">Scope: Discuss possible CHO-based approach (p6 in </w:t>
      </w: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rStyle w:val="32"/>
        </w:rPr>
        <w:t>R2-2210353</w:t>
      </w:r>
      <w:r>
        <w:rPr>
          <w:rStyle w:val="32"/>
        </w:rPr>
        <w:fldChar w:fldCharType="end"/>
      </w:r>
      <w:r>
        <w:t xml:space="preserve">) and “same PCI” approach (p5 in </w:t>
      </w:r>
      <w:r>
        <w:fldChar w:fldCharType="begin"/>
      </w:r>
      <w:r>
        <w:instrText xml:space="preserve"> HYPERLINK "file:///C:\\Data\\3GPP\\Extracts\\R2-2210405%20Discussion%20on%20NTN%20mobility%20enhancements.doc" \o "C:Data3GPPExtractsR2-2210405 Discussion on NTN mobility enhancements.doc" </w:instrText>
      </w:r>
      <w:r>
        <w:fldChar w:fldCharType="separate"/>
      </w:r>
      <w:r>
        <w:rPr>
          <w:rStyle w:val="32"/>
        </w:rPr>
        <w:t>R2-2210405</w:t>
      </w:r>
      <w:r>
        <w:rPr>
          <w:rStyle w:val="32"/>
        </w:rPr>
        <w:fldChar w:fldCharType="end"/>
      </w:r>
      <w:r>
        <w:t>) for connected mode mobility enhancements in NTN</w:t>
      </w:r>
    </w:p>
    <w:p>
      <w:pPr>
        <w:pStyle w:val="80"/>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80"/>
        <w:ind w:left="1619" w:firstLine="0"/>
      </w:pPr>
      <w:r>
        <w:rPr>
          <w:color w:val="000000" w:themeColor="text1"/>
          <w14:textFill>
            <w14:solidFill>
              <w14:schemeClr w14:val="tx1"/>
            </w14:solidFill>
          </w14:textFill>
        </w:rPr>
        <w:t xml:space="preserve">Initial deadline </w:t>
      </w:r>
      <w:r>
        <w:t>(for companies' feedback): Tuesday 2022-10-18 1600 UTC</w:t>
      </w:r>
    </w:p>
    <w:p>
      <w:pPr>
        <w:pStyle w:val="80"/>
        <w:ind w:left="1619" w:firstLine="0"/>
      </w:pPr>
      <w:r>
        <w:t>Initial deadline (for rapporteur's summary in R2-2210862): Tuesday 2022-10-18 1800 UTC</w:t>
      </w:r>
    </w:p>
    <w:p>
      <w:pPr>
        <w:jc w:val="both"/>
      </w:pPr>
      <w:r>
        <w:br w:type="textWrapping"/>
      </w:r>
      <w:r>
        <w:t>In the next section we elaborate on CHO enhancements and on reusing the same PCI in quasi-Earth-fixed scenario.</w:t>
      </w:r>
    </w:p>
    <w:p>
      <w:pPr>
        <w:pStyle w:val="2"/>
        <w:jc w:val="both"/>
      </w:pPr>
      <w:r>
        <w:t>2</w:t>
      </w:r>
      <w:r>
        <w:tab/>
      </w:r>
      <w:r>
        <w:t>Discussion</w:t>
      </w:r>
    </w:p>
    <w:p>
      <w:pPr>
        <w:pStyle w:val="3"/>
      </w:pPr>
      <w:r>
        <w:t xml:space="preserve">2.1 </w:t>
      </w:r>
      <w:r>
        <w:tab/>
      </w:r>
      <w:r>
        <w:t>NTN-specific CHO enhancements</w:t>
      </w:r>
    </w:p>
    <w:p>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1:</w:t>
            </w:r>
            <w:r>
              <w:rPr>
                <w:b/>
                <w:bCs/>
                <w:lang w:eastAsia="zh-CN"/>
              </w:rPr>
              <w:t xml:space="preserve"> Do you agree that in NTN the sequence of next serving cells can be predicted?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It requires UE is stationery or in low mobility, and cannot be located at cell edge, which is too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ATT</w:t>
            </w:r>
          </w:p>
        </w:tc>
        <w:tc>
          <w:tcPr>
            <w:tcW w:w="1843" w:type="dxa"/>
          </w:tcPr>
          <w:p>
            <w:pPr>
              <w:jc w:val="both"/>
              <w:rPr>
                <w:lang w:eastAsia="zh-CN"/>
              </w:rPr>
            </w:pPr>
            <w:r>
              <w:rPr>
                <w:rFonts w:hint="eastAsia"/>
                <w:lang w:eastAsia="zh-CN"/>
              </w:rPr>
              <w:t>No</w:t>
            </w:r>
          </w:p>
        </w:tc>
        <w:tc>
          <w:tcPr>
            <w:tcW w:w="5808" w:type="dxa"/>
          </w:tcPr>
          <w:p>
            <w:pPr>
              <w:jc w:val="both"/>
              <w:rPr>
                <w:lang w:eastAsia="zh-CN"/>
              </w:rPr>
            </w:pPr>
            <w:r>
              <w:rPr>
                <w:lang w:eastAsia="zh-CN"/>
              </w:rPr>
              <w:t>We agree the next serving cell can be predicted in some way, but we think it is not feasible to predict multiple cell hops due to the UE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We think it can be predicted if the UE’s mobility is negligible comparing to the satellite’s movement, which is often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rPr>
                <w:lang w:eastAsia="zh-CN"/>
              </w:rPr>
              <w:t>We think the network could predict the sequence of next serving cells with the below restriction:</w:t>
            </w:r>
          </w:p>
          <w:p>
            <w:pPr>
              <w:pStyle w:val="74"/>
              <w:numPr>
                <w:ilvl w:val="0"/>
                <w:numId w:val="3"/>
              </w:numPr>
              <w:jc w:val="both"/>
              <w:rPr>
                <w:lang w:eastAsia="zh-CN"/>
              </w:rPr>
            </w:pPr>
            <w:r>
              <w:rPr>
                <w:lang w:eastAsia="zh-CN"/>
              </w:rPr>
              <w:t>UE is static or in low mobility;</w:t>
            </w:r>
          </w:p>
          <w:p>
            <w:pPr>
              <w:pStyle w:val="74"/>
              <w:numPr>
                <w:ilvl w:val="0"/>
                <w:numId w:val="3"/>
              </w:numPr>
              <w:jc w:val="both"/>
              <w:rPr>
                <w:lang w:eastAsia="zh-CN"/>
              </w:rPr>
            </w:pPr>
            <w:r>
              <w:rPr>
                <w:lang w:eastAsia="zh-CN"/>
              </w:rPr>
              <w:t>Network has the UE location since the next serving cell may provide the different coverage from the current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Y</w:t>
            </w:r>
            <w:r>
              <w:rPr>
                <w:rFonts w:eastAsia="PMingLiU"/>
                <w:lang w:eastAsia="zh-TW"/>
              </w:rPr>
              <w:t>es</w:t>
            </w:r>
          </w:p>
        </w:tc>
        <w:tc>
          <w:tcPr>
            <w:tcW w:w="5808" w:type="dxa"/>
          </w:tcPr>
          <w:p>
            <w:pPr>
              <w:jc w:val="both"/>
              <w:rPr>
                <w:bCs/>
                <w:lang w:eastAsia="zh-CN"/>
              </w:rPr>
            </w:pPr>
            <w:r>
              <w:rPr>
                <w:rFonts w:hint="eastAsia" w:eastAsia="PMingLiU"/>
                <w:lang w:eastAsia="zh-TW"/>
              </w:rPr>
              <w:t>W</w:t>
            </w:r>
            <w:r>
              <w:rPr>
                <w:rFonts w:eastAsia="PMingLiU"/>
                <w:lang w:eastAsia="zh-TW"/>
              </w:rPr>
              <w:t xml:space="preserve">e agree the sequence of next serving cells could be predicted if UE’s movement is negligible compared to the satellite’s.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O</w:t>
            </w:r>
            <w:r>
              <w:rPr>
                <w:lang w:eastAsia="zh-CN"/>
              </w:rPr>
              <w:t>PPO</w:t>
            </w:r>
          </w:p>
        </w:tc>
        <w:tc>
          <w:tcPr>
            <w:tcW w:w="1843" w:type="dxa"/>
          </w:tcPr>
          <w:p>
            <w:pPr>
              <w:jc w:val="both"/>
              <w:rPr>
                <w:lang w:eastAsia="zh-CN"/>
              </w:rPr>
            </w:pPr>
            <w:r>
              <w:rPr>
                <w:rFonts w:hint="eastAsia"/>
                <w:lang w:eastAsia="zh-CN"/>
              </w:rPr>
              <w:t>Maybe</w:t>
            </w:r>
          </w:p>
        </w:tc>
        <w:tc>
          <w:tcPr>
            <w:tcW w:w="5808" w:type="dxa"/>
          </w:tcPr>
          <w:p>
            <w:pPr>
              <w:jc w:val="both"/>
              <w:rPr>
                <w:lang w:eastAsia="zh-CN"/>
              </w:rPr>
            </w:pPr>
            <w:r>
              <w:rPr>
                <w:lang w:eastAsia="zh-CN"/>
              </w:rPr>
              <w:t>If UE is stationary or in low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Yes</w:t>
            </w:r>
          </w:p>
        </w:tc>
        <w:tc>
          <w:tcPr>
            <w:tcW w:w="5808" w:type="dxa"/>
          </w:tcPr>
          <w:p>
            <w:pPr>
              <w:jc w:val="both"/>
              <w:rPr>
                <w:lang w:eastAsia="zh-CN"/>
              </w:rPr>
            </w:pPr>
            <w:r>
              <w:rPr>
                <w:bCs/>
                <w:lang w:eastAsia="zh-CN"/>
              </w:rPr>
              <w:t>If UE is static or low mobility, next serving cells that are going to serving the current serving cell area can be predicted.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Share the same view with CATT, it is not feasible to predict multiple cell hops due to UE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Transsion Holding</w:t>
            </w:r>
          </w:p>
        </w:tc>
        <w:tc>
          <w:tcPr>
            <w:tcW w:w="1843" w:type="dxa"/>
          </w:tcPr>
          <w:p>
            <w:pPr>
              <w:jc w:val="both"/>
              <w:rPr>
                <w:lang w:val="en-US" w:eastAsia="zh-CN"/>
              </w:rPr>
            </w:pPr>
            <w:r>
              <w:rPr>
                <w:rFonts w:hint="eastAsia"/>
                <w:lang w:val="en-US" w:eastAsia="zh-CN"/>
              </w:rPr>
              <w:t>Yes</w:t>
            </w:r>
          </w:p>
        </w:tc>
        <w:tc>
          <w:tcPr>
            <w:tcW w:w="5808" w:type="dxa"/>
          </w:tcPr>
          <w:p>
            <w:pPr>
              <w:jc w:val="both"/>
              <w:rPr>
                <w:lang w:val="en-US" w:eastAsia="zh-CN"/>
              </w:rPr>
            </w:pPr>
            <w:r>
              <w:rPr>
                <w:rFonts w:hint="eastAsia"/>
                <w:lang w:val="en-US" w:eastAsia="zh-CN"/>
              </w:rPr>
              <w:t>For moving cell scenario, UEs are relative static or low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eastAsia="zh-CN"/>
              </w:rPr>
              <w:t>Apple</w:t>
            </w:r>
          </w:p>
        </w:tc>
        <w:tc>
          <w:tcPr>
            <w:tcW w:w="1843" w:type="dxa"/>
          </w:tcPr>
          <w:p>
            <w:pPr>
              <w:jc w:val="both"/>
              <w:rPr>
                <w:lang w:eastAsia="zh-CN"/>
              </w:rPr>
            </w:pPr>
            <w:r>
              <w:rPr>
                <w:lang w:eastAsia="zh-CN"/>
              </w:rPr>
              <w:t>Yes</w:t>
            </w:r>
          </w:p>
        </w:tc>
        <w:tc>
          <w:tcPr>
            <w:tcW w:w="5808" w:type="dxa"/>
          </w:tcPr>
          <w:p>
            <w:pPr>
              <w:jc w:val="both"/>
              <w:rPr>
                <w:lang w:val="en-US" w:eastAsia="zh-CN"/>
              </w:rPr>
            </w:pPr>
            <w:r>
              <w:rPr>
                <w:lang w:eastAsia="zh-CN"/>
              </w:rPr>
              <w:t xml:space="preserve">For the earth-moving cell scenario, if UE is stationary or in low mobility, the target cell of the subsequent handover is predictable.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lang w:eastAsia="zh-CN"/>
              </w:rPr>
              <w:t>Conditional yes</w:t>
            </w:r>
          </w:p>
        </w:tc>
        <w:tc>
          <w:tcPr>
            <w:tcW w:w="5808" w:type="dxa"/>
          </w:tcPr>
          <w:p>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lang w:val="en-US" w:eastAsia="zh-CN"/>
              </w:rPr>
              <w:t>Yes with comments</w:t>
            </w:r>
          </w:p>
        </w:tc>
        <w:tc>
          <w:tcPr>
            <w:tcW w:w="5808" w:type="dxa"/>
            <w:vAlign w:val="top"/>
          </w:tcPr>
          <w:p>
            <w:pPr>
              <w:jc w:val="both"/>
              <w:rPr>
                <w:rFonts w:hint="default" w:ascii="Times New Roman" w:hAnsi="Times New Roman" w:eastAsia="宋体" w:cs="Times New Roman"/>
                <w:bCs/>
                <w:lang w:val="en-US" w:eastAsia="zh-CN" w:bidi="ar-SA"/>
              </w:rPr>
            </w:pPr>
            <w:r>
              <w:rPr>
                <w:rFonts w:hint="eastAsia"/>
                <w:bCs/>
                <w:lang w:eastAsia="zh-CN"/>
              </w:rPr>
              <w:t>UE</w:t>
            </w:r>
            <w:r>
              <w:rPr>
                <w:rFonts w:hint="default"/>
                <w:bCs/>
                <w:lang w:val="en-US" w:eastAsia="zh-CN"/>
              </w:rPr>
              <w:t>’s</w:t>
            </w:r>
            <w:r>
              <w:rPr>
                <w:rFonts w:hint="eastAsia"/>
                <w:bCs/>
                <w:lang w:eastAsia="zh-CN"/>
              </w:rPr>
              <w:t xml:space="preserve"> movement </w:t>
            </w:r>
            <w:r>
              <w:rPr>
                <w:rFonts w:hint="default"/>
                <w:bCs/>
                <w:lang w:val="en-US" w:eastAsia="zh-CN"/>
              </w:rPr>
              <w:t>may</w:t>
            </w:r>
            <w:r>
              <w:rPr>
                <w:rFonts w:hint="eastAsia"/>
                <w:bCs/>
                <w:lang w:eastAsia="zh-CN"/>
              </w:rPr>
              <w:t xml:space="preserve"> be ignored</w:t>
            </w:r>
            <w:r>
              <w:rPr>
                <w:rFonts w:hint="default"/>
                <w:bCs/>
                <w:lang w:val="en-US" w:eastAsia="zh-CN"/>
              </w:rPr>
              <w:t xml:space="preserve"> c</w:t>
            </w:r>
            <w:r>
              <w:rPr>
                <w:rFonts w:hint="eastAsia"/>
                <w:bCs/>
                <w:lang w:eastAsia="zh-CN"/>
              </w:rPr>
              <w:t xml:space="preserve">ompared </w:t>
            </w:r>
            <w:r>
              <w:rPr>
                <w:rFonts w:hint="default"/>
                <w:bCs/>
                <w:lang w:val="en-US" w:eastAsia="zh-CN"/>
              </w:rPr>
              <w:t>to</w:t>
            </w:r>
            <w:r>
              <w:rPr>
                <w:rFonts w:hint="eastAsia"/>
                <w:bCs/>
                <w:lang w:eastAsia="zh-CN"/>
              </w:rPr>
              <w:t xml:space="preserve"> satellite</w:t>
            </w:r>
            <w:r>
              <w:rPr>
                <w:rFonts w:hint="default"/>
                <w:bCs/>
                <w:lang w:val="en-US" w:eastAsia="zh-CN"/>
              </w:rPr>
              <w:t>, especially LEO case.</w:t>
            </w:r>
            <w:r>
              <w:rPr>
                <w:rFonts w:hint="eastAsia"/>
                <w:bCs/>
                <w:lang w:eastAsia="zh-CN"/>
              </w:rPr>
              <w:t xml:space="preserve"> </w:t>
            </w:r>
            <w:r>
              <w:rPr>
                <w:rFonts w:hint="default"/>
                <w:bCs/>
                <w:lang w:val="en-US" w:eastAsia="zh-CN"/>
              </w:rPr>
              <w:t>Then with some assistance information, further candidate cells could be predicted.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i/>
          <w:iCs/>
        </w:rPr>
      </w:pPr>
      <w:r>
        <w:br w:type="textWrapping"/>
      </w:r>
      <w:r>
        <w:rPr>
          <w:i/>
          <w:iCs/>
        </w:rPr>
        <w:t>Summary for Q1:</w:t>
      </w:r>
    </w:p>
    <w:p>
      <w:pPr>
        <w:jc w:val="both"/>
      </w:pPr>
    </w:p>
    <w:p>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gridSpan w:val="3"/>
          </w:tcPr>
          <w:p>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rFonts w:hint="eastAsia"/>
                <w:lang w:eastAsia="zh-CN"/>
              </w:rPr>
              <w:t>T</w:t>
            </w:r>
            <w:r>
              <w:rPr>
                <w:lang w:eastAsia="zh-CN"/>
              </w:rPr>
              <w:t xml:space="preserve">he gain is not clear to us. </w:t>
            </w:r>
          </w:p>
          <w:p>
            <w:pPr>
              <w:jc w:val="both"/>
              <w:rPr>
                <w:lang w:eastAsia="zh-CN"/>
              </w:rPr>
            </w:pPr>
            <w:r>
              <w:rPr>
                <w:lang w:eastAsia="zh-CN"/>
              </w:rPr>
              <w:t>Configuring multi-hop CHO candidates require multi-hop neighbour cells to reserve the resources to the UE in advance.</w:t>
            </w:r>
          </w:p>
          <w:p>
            <w:pPr>
              <w:jc w:val="both"/>
              <w:rPr>
                <w:lang w:eastAsia="zh-CN"/>
              </w:rPr>
            </w:pPr>
            <w:r>
              <w:rPr>
                <w:lang w:eastAsia="zh-CN"/>
              </w:rPr>
              <w:t>Besides, the UE complexity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ATT</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Agree with Huawei and CATT that this does not help in reducing signalling overhead and increases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N</w:t>
            </w:r>
            <w:r>
              <w:rPr>
                <w:rFonts w:eastAsia="PMingLiU"/>
                <w:lang w:eastAsia="zh-TW"/>
              </w:rPr>
              <w:t>o</w:t>
            </w:r>
          </w:p>
        </w:tc>
        <w:tc>
          <w:tcPr>
            <w:tcW w:w="5808" w:type="dxa"/>
          </w:tcPr>
          <w:p>
            <w:pPr>
              <w:jc w:val="both"/>
              <w:rPr>
                <w:bCs/>
                <w:lang w:eastAsia="zh-CN"/>
              </w:rPr>
            </w:pPr>
            <w:r>
              <w:rPr>
                <w:rFonts w:hint="eastAsia" w:eastAsia="PMingLiU"/>
                <w:lang w:eastAsia="zh-TW"/>
              </w:rPr>
              <w:t>T</w:t>
            </w:r>
            <w:r>
              <w:rPr>
                <w:rFonts w:eastAsia="PMingLiU"/>
                <w:lang w:eastAsia="zh-TW"/>
              </w:rPr>
              <w:t xml:space="preserve">he benefit in reducing signalling overhead is unclear. In addition, reconfiguration may be needed according to UE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O</w:t>
            </w:r>
            <w:r>
              <w:rPr>
                <w:lang w:eastAsia="zh-CN"/>
              </w:rPr>
              <w:t>PPO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Yes</w:t>
            </w:r>
          </w:p>
        </w:tc>
        <w:tc>
          <w:tcPr>
            <w:tcW w:w="5808" w:type="dxa"/>
          </w:tcPr>
          <w:p>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 Holding</w:t>
            </w:r>
          </w:p>
        </w:tc>
        <w:tc>
          <w:tcPr>
            <w:tcW w:w="1843" w:type="dxa"/>
          </w:tcPr>
          <w:p>
            <w:pPr>
              <w:jc w:val="both"/>
              <w:rPr>
                <w:lang w:val="en-US" w:eastAsia="zh-CN"/>
              </w:rPr>
            </w:pPr>
            <w:r>
              <w:rPr>
                <w:rFonts w:hint="eastAsia"/>
                <w:lang w:val="en-US" w:eastAsia="zh-CN"/>
              </w:rPr>
              <w:t>No</w:t>
            </w:r>
          </w:p>
        </w:tc>
        <w:tc>
          <w:tcPr>
            <w:tcW w:w="5808" w:type="dxa"/>
          </w:tcPr>
          <w:p>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Yes</w:t>
            </w:r>
          </w:p>
        </w:tc>
        <w:tc>
          <w:tcPr>
            <w:tcW w:w="5808" w:type="dxa"/>
          </w:tcPr>
          <w:p>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UE complexity will be increased, while its benefit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lang w:val="en-US" w:eastAsia="zh-CN"/>
              </w:rPr>
              <w:t>Pls. See comments</w:t>
            </w:r>
          </w:p>
        </w:tc>
        <w:tc>
          <w:tcPr>
            <w:tcW w:w="5808" w:type="dxa"/>
            <w:vAlign w:val="top"/>
          </w:tcPr>
          <w:p>
            <w:pPr>
              <w:jc w:val="both"/>
              <w:rPr>
                <w:rFonts w:hint="default" w:ascii="Times New Roman" w:hAnsi="Times New Roman" w:eastAsia="宋体" w:cs="Times New Roman"/>
                <w:bCs/>
                <w:lang w:val="en-US" w:eastAsia="zh-CN" w:bidi="ar-SA"/>
              </w:rPr>
            </w:pPr>
            <w:r>
              <w:rPr>
                <w:rFonts w:hint="default"/>
                <w:bCs/>
                <w:lang w:val="en-US" w:eastAsia="zh-CN"/>
              </w:rPr>
              <w:t xml:space="preserve">Considering that the actual problem needed to be resolved is HO signaling reduction, therefore the gain of the solution may be evaluated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p>
    <w:p>
      <w:pPr>
        <w:jc w:val="both"/>
        <w:rPr>
          <w:i/>
          <w:iCs/>
        </w:rPr>
      </w:pPr>
      <w:r>
        <w:rPr>
          <w:i/>
          <w:iCs/>
        </w:rPr>
        <w:t>Summary for Q2:</w:t>
      </w:r>
    </w:p>
    <w:p>
      <w:pPr>
        <w:jc w:val="both"/>
      </w:pPr>
    </w:p>
    <w:p>
      <w:pPr>
        <w:pStyle w:val="3"/>
      </w:pPr>
      <w:r>
        <w:t xml:space="preserve">2.2 </w:t>
      </w:r>
      <w:r>
        <w:tab/>
      </w:r>
      <w:r>
        <w:t>Reusing PCI after satellite changes</w:t>
      </w:r>
    </w:p>
    <w:p>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pPr>
              <w:pStyle w:val="74"/>
              <w:numPr>
                <w:ilvl w:val="0"/>
                <w:numId w:val="4"/>
              </w:numPr>
              <w:jc w:val="both"/>
              <w:rPr>
                <w:b/>
                <w:bCs/>
                <w:lang w:eastAsia="zh-CN"/>
              </w:rPr>
            </w:pPr>
            <w:r>
              <w:rPr>
                <w:b/>
                <w:bCs/>
                <w:lang w:eastAsia="zh-CN"/>
              </w:rPr>
              <w:t>expected impact on the NW side</w:t>
            </w:r>
          </w:p>
          <w:p>
            <w:pPr>
              <w:pStyle w:val="74"/>
              <w:numPr>
                <w:ilvl w:val="0"/>
                <w:numId w:val="4"/>
              </w:numPr>
              <w:jc w:val="both"/>
              <w:rPr>
                <w:b/>
                <w:bCs/>
                <w:lang w:eastAsia="zh-CN"/>
              </w:rPr>
            </w:pPr>
            <w:r>
              <w:rPr>
                <w:b/>
                <w:bCs/>
                <w:lang w:eastAsia="zh-CN"/>
              </w:rPr>
              <w:t>co-existence with Rel-17 NTN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rPr>
                <w:rFonts w:hint="eastAsia"/>
                <w:lang w:eastAsia="zh-CN"/>
              </w:rPr>
              <w:t>a</w:t>
            </w:r>
            <w:r>
              <w:rPr>
                <w:lang w:eastAsia="zh-CN"/>
              </w:rPr>
              <w:t>) expected NW impacts</w:t>
            </w:r>
          </w:p>
          <w:p>
            <w:pPr>
              <w:jc w:val="both"/>
              <w:rPr>
                <w:lang w:eastAsia="zh-CN"/>
              </w:rPr>
            </w:pPr>
            <w:r>
              <w:rPr>
                <w:lang w:eastAsia="zh-CN"/>
              </w:rPr>
              <w:t>No impact. The NW only needs to broadcast a t-Service (which is already in R17), to inform the UE of satellite switching time.</w:t>
            </w:r>
          </w:p>
          <w:p>
            <w:pPr>
              <w:jc w:val="both"/>
              <w:rPr>
                <w:lang w:eastAsia="zh-CN"/>
              </w:rPr>
            </w:pPr>
            <w:r>
              <w:rPr>
                <w:lang w:eastAsia="zh-CN"/>
              </w:rPr>
              <w:t>b) co-existence</w:t>
            </w:r>
          </w:p>
          <w:p>
            <w:pPr>
              <w:jc w:val="both"/>
              <w:rPr>
                <w:lang w:eastAsia="zh-CN"/>
              </w:rPr>
            </w:pPr>
            <w:r>
              <w:rPr>
                <w:rFonts w:hint="eastAsia"/>
                <w:lang w:eastAsia="zh-CN"/>
              </w:rPr>
              <w:t>N</w:t>
            </w:r>
            <w:r>
              <w:rPr>
                <w:lang w:eastAsia="zh-CN"/>
              </w:rPr>
              <w:t>o co-existence problems.</w:t>
            </w:r>
          </w:p>
          <w:p>
            <w:pPr>
              <w:jc w:val="both"/>
              <w:rPr>
                <w:lang w:eastAsia="zh-CN"/>
              </w:rPr>
            </w:pPr>
            <w:r>
              <w:rPr>
                <w:lang w:eastAsia="zh-CN"/>
              </w:rPr>
              <w:t>For R17 UEs, the NW can simply configure intra-cell HO.</w:t>
            </w:r>
          </w:p>
          <w:p>
            <w:pPr>
              <w:jc w:val="both"/>
              <w:rPr>
                <w:lang w:eastAsia="zh-CN"/>
              </w:rPr>
            </w:pPr>
            <w:r>
              <w:rPr>
                <w:lang w:eastAsia="zh-CN"/>
              </w:rPr>
              <w:t>For R18 UEs, they can consider the PCI is unchanged, and only perform UL synchronization, so that HO command can be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ATT</w:t>
            </w:r>
          </w:p>
        </w:tc>
        <w:tc>
          <w:tcPr>
            <w:tcW w:w="1843" w:type="dxa"/>
          </w:tcPr>
          <w:p>
            <w:pPr>
              <w:jc w:val="both"/>
              <w:rPr>
                <w:lang w:eastAsia="zh-CN"/>
              </w:rPr>
            </w:pPr>
          </w:p>
        </w:tc>
        <w:tc>
          <w:tcPr>
            <w:tcW w:w="5808" w:type="dxa"/>
          </w:tcPr>
          <w:p>
            <w:pPr>
              <w:jc w:val="both"/>
              <w:rPr>
                <w:lang w:eastAsia="zh-CN"/>
              </w:rPr>
            </w:pPr>
            <w:r>
              <w:rPr>
                <w:lang w:eastAsia="zh-CN"/>
              </w:rPr>
              <w:t>We have similar view with HW.</w:t>
            </w:r>
          </w:p>
          <w:p>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Yes</w:t>
            </w:r>
          </w:p>
        </w:tc>
        <w:tc>
          <w:tcPr>
            <w:tcW w:w="5808" w:type="dxa"/>
          </w:tcPr>
          <w:p>
            <w:pPr>
              <w:tabs>
                <w:tab w:val="left" w:pos="2255"/>
              </w:tabs>
              <w:jc w:val="both"/>
              <w:rPr>
                <w:lang w:eastAsia="zh-CN"/>
              </w:rPr>
            </w:pPr>
            <w:r>
              <w:rPr>
                <w:lang w:eastAsia="zh-CN"/>
              </w:rPr>
              <w:t>Agree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The scheme also requires the network should keep the RRC configuration unchanged when the satellite is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Y</w:t>
            </w:r>
            <w:r>
              <w:rPr>
                <w:rFonts w:eastAsia="PMingLiU"/>
                <w:lang w:eastAsia="zh-TW"/>
              </w:rPr>
              <w:t>es</w:t>
            </w:r>
          </w:p>
        </w:tc>
        <w:tc>
          <w:tcPr>
            <w:tcW w:w="5808" w:type="dxa"/>
          </w:tcPr>
          <w:p>
            <w:pPr>
              <w:jc w:val="both"/>
              <w:rPr>
                <w:bCs/>
                <w:lang w:eastAsia="zh-CN"/>
              </w:rPr>
            </w:pPr>
            <w:r>
              <w:rPr>
                <w:rFonts w:hint="eastAsia" w:eastAsia="PMingLiU"/>
                <w:lang w:eastAsia="zh-TW"/>
              </w:rPr>
              <w:t>A</w:t>
            </w:r>
            <w:r>
              <w:rPr>
                <w:rFonts w:eastAsia="PMingLiU"/>
                <w:lang w:eastAsia="zh-TW"/>
              </w:rPr>
              <w:t>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O</w:t>
            </w:r>
            <w:r>
              <w:rPr>
                <w:lang w:eastAsia="zh-CN"/>
              </w:rPr>
              <w:t>PPO</w:t>
            </w:r>
          </w:p>
        </w:tc>
        <w:tc>
          <w:tcPr>
            <w:tcW w:w="1843" w:type="dxa"/>
          </w:tcPr>
          <w:p>
            <w:pPr>
              <w:jc w:val="both"/>
              <w:rPr>
                <w:lang w:eastAsia="zh-CN"/>
              </w:rPr>
            </w:pPr>
            <w:r>
              <w:rPr>
                <w:lang w:eastAsia="zh-CN"/>
              </w:rPr>
              <w:t>See comments</w:t>
            </w:r>
          </w:p>
        </w:tc>
        <w:tc>
          <w:tcPr>
            <w:tcW w:w="5808" w:type="dxa"/>
          </w:tcPr>
          <w:p>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p>
        </w:tc>
        <w:tc>
          <w:tcPr>
            <w:tcW w:w="5808" w:type="dxa"/>
          </w:tcPr>
          <w:p>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 Holding</w:t>
            </w:r>
          </w:p>
        </w:tc>
        <w:tc>
          <w:tcPr>
            <w:tcW w:w="1843" w:type="dxa"/>
          </w:tcPr>
          <w:p>
            <w:pPr>
              <w:jc w:val="both"/>
              <w:rPr>
                <w:lang w:val="en-US" w:eastAsia="zh-CN"/>
              </w:rPr>
            </w:pPr>
            <w:r>
              <w:rPr>
                <w:rFonts w:hint="eastAsia"/>
                <w:lang w:val="en-US" w:eastAsia="zh-CN"/>
              </w:rPr>
              <w:t>Yes</w:t>
            </w:r>
          </w:p>
        </w:tc>
        <w:tc>
          <w:tcPr>
            <w:tcW w:w="5808" w:type="dxa"/>
          </w:tcPr>
          <w:p>
            <w:pPr>
              <w:jc w:val="both"/>
              <w:rPr>
                <w:lang w:eastAsia="zh-CN"/>
              </w:rPr>
            </w:pPr>
            <w:r>
              <w:rPr>
                <w:lang w:eastAsia="zh-CN"/>
              </w:rPr>
              <w:t>Agree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 xml:space="preserve">Agree with Huawei and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rPr>
                <w:rFonts w:hint="eastAsia"/>
                <w:lang w:eastAsia="zh-CN"/>
              </w:rPr>
              <w:t>A</w:t>
            </w:r>
            <w:r>
              <w:rPr>
                <w:lang w:eastAsia="zh-CN"/>
              </w:rPr>
              <w:t>gree with Huawei, but wonder whether we shall specify NW to guarantee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bookmarkStart w:id="5" w:name="_GoBack" w:colFirst="0" w:colLast="2"/>
            <w:r>
              <w:rPr>
                <w:rFonts w:hint="default"/>
                <w:lang w:val="en-US" w:eastAsia="zh-CN"/>
              </w:rPr>
              <w:t>CMCC</w:t>
            </w:r>
          </w:p>
        </w:tc>
        <w:tc>
          <w:tcPr>
            <w:tcW w:w="1843" w:type="dxa"/>
            <w:vAlign w:val="top"/>
          </w:tcPr>
          <w:p>
            <w:pPr>
              <w:jc w:val="both"/>
              <w:rPr>
                <w:rFonts w:hint="default" w:ascii="Times New Roman" w:hAnsi="Times New Roman" w:eastAsia="宋体" w:cs="Times New Roman"/>
                <w:lang w:val="en-US" w:eastAsia="zh-CN" w:bidi="ar-SA"/>
              </w:rPr>
            </w:pPr>
            <w:r>
              <w:rPr>
                <w:rFonts w:hint="default"/>
                <w:lang w:val="en-US" w:eastAsia="zh-CN"/>
              </w:rPr>
              <w:t>Yes</w:t>
            </w:r>
          </w:p>
        </w:tc>
        <w:tc>
          <w:tcPr>
            <w:tcW w:w="5808" w:type="dxa"/>
            <w:vAlign w:val="top"/>
          </w:tcPr>
          <w:p>
            <w:pPr>
              <w:jc w:val="both"/>
              <w:rPr>
                <w:rFonts w:hint="default"/>
                <w:bCs/>
                <w:lang w:val="en-US" w:eastAsia="zh-CN"/>
              </w:rPr>
            </w:pPr>
            <w:r>
              <w:rPr>
                <w:rFonts w:hint="default"/>
                <w:bCs/>
                <w:lang w:val="en-US" w:eastAsia="zh-CN"/>
              </w:rPr>
              <w:t>For a), in some case, there maybe just a little impact on NW side. For example, some system information needs update or some information needs negotiation between RAN nodes.</w:t>
            </w:r>
          </w:p>
          <w:p>
            <w:pPr>
              <w:jc w:val="both"/>
              <w:rPr>
                <w:rFonts w:hint="default" w:ascii="Times New Roman" w:hAnsi="Times New Roman" w:eastAsia="宋体" w:cs="Times New Roman"/>
                <w:bCs/>
                <w:lang w:val="en-US" w:eastAsia="zh-CN" w:bidi="ar-SA"/>
              </w:rPr>
            </w:pPr>
            <w:r>
              <w:rPr>
                <w:rFonts w:hint="default"/>
                <w:bCs/>
                <w:lang w:val="en-US" w:eastAsia="zh-CN"/>
              </w:rPr>
              <w:t>For b), from our perspective. There is no co-existence issue.</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i/>
          <w:iCs/>
        </w:rPr>
      </w:pPr>
    </w:p>
    <w:p>
      <w:pPr>
        <w:jc w:val="both"/>
        <w:rPr>
          <w:i/>
          <w:iCs/>
          <w:lang w:val="pl-PL"/>
        </w:rPr>
      </w:pPr>
      <w:r>
        <w:rPr>
          <w:i/>
          <w:iCs/>
        </w:rPr>
        <w:t>Summary for Q3:</w:t>
      </w:r>
    </w:p>
    <w:p>
      <w:pPr>
        <w:pStyle w:val="2"/>
        <w:jc w:val="both"/>
      </w:pPr>
      <w:r>
        <w:t>3</w:t>
      </w:r>
      <w:r>
        <w:tab/>
      </w:r>
      <w:r>
        <w:t>Conclusion</w:t>
      </w:r>
    </w:p>
    <w:p>
      <w:pPr>
        <w:jc w:val="both"/>
      </w:pPr>
      <w:r>
        <w:t>This paper discussed selected mobility enhancements for Rel-18 NTN. The following proposals are made:</w:t>
      </w:r>
    </w:p>
    <w:p>
      <w:pPr>
        <w:jc w:val="both"/>
        <w:rPr>
          <w:u w:val="single"/>
        </w:rPr>
      </w:pPr>
      <w:r>
        <w:rPr>
          <w:u w:val="single"/>
        </w:rPr>
        <w:t>For agreement:</w:t>
      </w:r>
    </w:p>
    <w:p>
      <w:pPr>
        <w:jc w:val="both"/>
        <w:rPr>
          <w:b/>
          <w:bCs/>
        </w:rPr>
      </w:pPr>
    </w:p>
    <w:p>
      <w:pPr>
        <w:jc w:val="both"/>
        <w:rPr>
          <w:u w:val="single"/>
        </w:rPr>
      </w:pPr>
      <w:r>
        <w:rPr>
          <w:u w:val="single"/>
        </w:rPr>
        <w:t>For further discussion:</w:t>
      </w:r>
    </w:p>
    <w:p>
      <w:pPr>
        <w:jc w:val="both"/>
        <w:rPr>
          <w:b/>
          <w:bCs/>
        </w:rPr>
      </w:pPr>
    </w:p>
    <w:p>
      <w:pPr>
        <w:pStyle w:val="2"/>
        <w:jc w:val="both"/>
      </w:pPr>
      <w:r>
        <w:t>References</w:t>
      </w:r>
    </w:p>
    <w:p>
      <w:pPr>
        <w:pStyle w:val="74"/>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pPr>
        <w:pStyle w:val="74"/>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1C896DB5"/>
    <w:multiLevelType w:val="multilevel"/>
    <w:tmpl w:val="1C896DB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0F67BE1"/>
    <w:multiLevelType w:val="multilevel"/>
    <w:tmpl w:val="60F67BE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2F97"/>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479C"/>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17DEC"/>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7B52"/>
    <w:rsid w:val="00FB3558"/>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uiPriority w:val="0"/>
    <w:rPr>
      <w:i/>
      <w:color w:val="0000FF"/>
    </w:rPr>
  </w:style>
  <w:style w:type="character" w:customStyle="1" w:styleId="69">
    <w:name w:val="页眉 字符"/>
    <w:link w:val="25"/>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文档结构图 字符"/>
    <w:basedOn w:val="30"/>
    <w:link w:val="20"/>
    <w:qFormat/>
    <w:uiPriority w:val="0"/>
    <w:rPr>
      <w:sz w:val="24"/>
      <w:szCs w:val="24"/>
      <w:lang w:eastAsia="en-US"/>
    </w:rPr>
  </w:style>
  <w:style w:type="character" w:customStyle="1" w:styleId="72">
    <w:name w:val="批注框文本 字符"/>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批注文字 字符"/>
    <w:basedOn w:val="30"/>
    <w:link w:val="21"/>
    <w:qFormat/>
    <w:uiPriority w:val="0"/>
    <w:rPr>
      <w:lang w:eastAsia="en-US"/>
    </w:rPr>
  </w:style>
  <w:style w:type="character" w:customStyle="1" w:styleId="76">
    <w:name w:val="批注主题 字符"/>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列表段落 字符"/>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01AC3DDF-9130-4AD4-BEA0-DA89B47B998C}">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5</Pages>
  <Words>1543</Words>
  <Characters>8801</Characters>
  <Lines>73</Lines>
  <Paragraphs>20</Paragraphs>
  <TotalTime>0</TotalTime>
  <ScaleCrop>false</ScaleCrop>
  <LinksUpToDate>false</LinksUpToDate>
  <CharactersWithSpaces>10324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2022-10-17T06:07:00Z</dcterms:created>
  <dc:creator>Benoist</dc:creator>
  <cp:lastModifiedBy>cmcc</cp:lastModifiedBy>
  <dcterms:modified xsi:type="dcterms:W3CDTF">2022-10-17T08:41:05Z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