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[AT119-e][652][IDC]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Heading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[AT119-e][652][IDC]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(e.g.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Heading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646C8629" w:rsidR="00685F6E" w:rsidRDefault="000E3FB8">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7E12C701" w14:textId="18A63005" w:rsidR="00685F6E" w:rsidRDefault="000E3FB8">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1696295" w14:textId="00B31394" w:rsidR="00685F6E" w:rsidRDefault="000E3FB8">
            <w:pPr>
              <w:pStyle w:val="TAC"/>
              <w:spacing w:before="20" w:after="20"/>
              <w:ind w:left="57" w:right="57"/>
              <w:jc w:val="left"/>
              <w:rPr>
                <w:rFonts w:cs="Arial"/>
              </w:rPr>
            </w:pPr>
            <w:r>
              <w:rPr>
                <w:rFonts w:cs="Arial"/>
              </w:rPr>
              <w:t>yuqin_chen@apple.com</w:t>
            </w: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1F83AE9B" w:rsidR="00685F6E" w:rsidRDefault="001935C3">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6F207CC4" w14:textId="3A5BF709" w:rsidR="00685F6E" w:rsidRDefault="001935C3">
            <w:pPr>
              <w:pStyle w:val="TAC"/>
              <w:spacing w:before="20" w:after="20"/>
              <w:ind w:left="57" w:right="57"/>
              <w:jc w:val="left"/>
              <w:rPr>
                <w:rFonts w:cs="Arial"/>
                <w:lang w:eastAsia="zh-CN"/>
              </w:rPr>
            </w:pPr>
            <w:r>
              <w:rPr>
                <w:rFonts w:cs="Arial" w:hint="eastAsia"/>
                <w:lang w:eastAsia="zh-CN"/>
              </w:rPr>
              <w:t>X</w:t>
            </w:r>
            <w:r>
              <w:rPr>
                <w:rFonts w:cs="Arial"/>
                <w:lang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4C5F6B7B" w14:textId="11144580" w:rsidR="00685F6E" w:rsidRDefault="001935C3">
            <w:pPr>
              <w:pStyle w:val="TAC"/>
              <w:spacing w:before="20" w:after="20"/>
              <w:ind w:left="57" w:right="57"/>
              <w:jc w:val="left"/>
              <w:rPr>
                <w:rFonts w:cs="Arial"/>
                <w:lang w:eastAsia="zh-CN"/>
              </w:rPr>
            </w:pPr>
            <w:r>
              <w:rPr>
                <w:rFonts w:cs="Arial"/>
                <w:lang w:eastAsia="zh-CN"/>
              </w:rPr>
              <w:t>Yangxiaodong5g@vivo.com</w:t>
            </w: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3E5A3387" w:rsidR="00685F6E" w:rsidRDefault="003A579B">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9F7E4D5" w14:textId="4180EDBD" w:rsidR="00685F6E" w:rsidRDefault="003A579B">
            <w:pPr>
              <w:pStyle w:val="TAC"/>
              <w:spacing w:before="20" w:after="20"/>
              <w:ind w:left="57" w:right="57"/>
              <w:jc w:val="left"/>
              <w:rPr>
                <w:rFonts w:cs="Arial"/>
                <w:lang w:val="en-US"/>
              </w:rPr>
            </w:pPr>
            <w:r>
              <w:rPr>
                <w:rFonts w:cs="Arial"/>
                <w:lang w:val="en-US"/>
              </w:rPr>
              <w:t>Sherif ElAzzouni</w:t>
            </w:r>
          </w:p>
        </w:tc>
        <w:tc>
          <w:tcPr>
            <w:tcW w:w="4555" w:type="dxa"/>
            <w:tcBorders>
              <w:top w:val="single" w:sz="4" w:space="0" w:color="auto"/>
              <w:left w:val="single" w:sz="4" w:space="0" w:color="auto"/>
              <w:bottom w:val="single" w:sz="4" w:space="0" w:color="auto"/>
              <w:right w:val="single" w:sz="4" w:space="0" w:color="auto"/>
            </w:tcBorders>
          </w:tcPr>
          <w:p w14:paraId="4612ADF9" w14:textId="28180C47" w:rsidR="00685F6E" w:rsidRDefault="003A579B">
            <w:pPr>
              <w:pStyle w:val="TAC"/>
              <w:spacing w:before="20" w:after="20"/>
              <w:ind w:left="57" w:right="57"/>
              <w:jc w:val="left"/>
              <w:rPr>
                <w:rFonts w:cs="Arial"/>
                <w:lang w:val="en-US"/>
              </w:rPr>
            </w:pPr>
            <w:r>
              <w:rPr>
                <w:rFonts w:cs="Arial"/>
                <w:lang w:val="en-US"/>
              </w:rPr>
              <w:t>selazzou@qti.qualcomm.com</w:t>
            </w:r>
          </w:p>
        </w:tc>
      </w:tr>
      <w:tr w:rsidR="00685F6E"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F8C1DC"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031F6A2" w14:textId="77777777" w:rsidR="00685F6E" w:rsidRDefault="00685F6E">
            <w:pPr>
              <w:pStyle w:val="TAC"/>
              <w:spacing w:before="20" w:after="20"/>
              <w:ind w:left="57" w:right="57"/>
              <w:jc w:val="left"/>
              <w:rPr>
                <w:rFonts w:cs="Arial"/>
              </w:rPr>
            </w:pPr>
          </w:p>
        </w:tc>
      </w:tr>
      <w:tr w:rsidR="00685F6E"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77777777" w:rsidR="00685F6E" w:rsidRDefault="00685F6E">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2B53112" w14:textId="77777777" w:rsidR="00685F6E" w:rsidRDefault="00685F6E">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C2835D9" w14:textId="77777777" w:rsidR="00685F6E" w:rsidRDefault="00685F6E">
            <w:pPr>
              <w:pStyle w:val="TAC"/>
              <w:spacing w:before="20" w:after="20"/>
              <w:ind w:left="57" w:right="57"/>
              <w:jc w:val="left"/>
              <w:rPr>
                <w:rFonts w:cs="Arial"/>
              </w:rPr>
            </w:pPr>
          </w:p>
        </w:tc>
      </w:tr>
      <w:tr w:rsidR="00685F6E"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F2FC8CD"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7376731" w14:textId="77777777" w:rsidR="00685F6E" w:rsidRDefault="00685F6E">
            <w:pPr>
              <w:pStyle w:val="TAC"/>
              <w:spacing w:before="20" w:after="20"/>
              <w:ind w:left="57" w:right="57"/>
              <w:jc w:val="left"/>
              <w:rPr>
                <w:rFonts w:eastAsiaTheme="minorEastAsia" w:cs="Arial"/>
              </w:rPr>
            </w:pPr>
          </w:p>
        </w:tc>
      </w:tr>
      <w:tr w:rsidR="00685F6E"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685F6E" w:rsidRDefault="00685F6E">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685F6E" w:rsidRDefault="00685F6E">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685F6E" w:rsidRDefault="00685F6E">
            <w:pPr>
              <w:pStyle w:val="TAC"/>
              <w:spacing w:before="20" w:after="20"/>
              <w:ind w:left="57" w:right="57"/>
              <w:jc w:val="left"/>
              <w:rPr>
                <w:rFonts w:eastAsia="Yu Mincho" w:cs="Arial"/>
              </w:rPr>
            </w:pPr>
          </w:p>
        </w:tc>
      </w:tr>
      <w:tr w:rsidR="00685F6E"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685F6E" w:rsidRDefault="00685F6E">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685F6E" w:rsidRDefault="00685F6E">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685F6E" w:rsidRDefault="00685F6E">
            <w:pPr>
              <w:pStyle w:val="TAC"/>
              <w:spacing w:before="20" w:after="20"/>
              <w:ind w:left="57" w:right="57"/>
              <w:jc w:val="left"/>
              <w:rPr>
                <w:rFonts w:eastAsia="PMingLiU" w:cs="Arial"/>
              </w:rPr>
            </w:pPr>
          </w:p>
        </w:tc>
      </w:tr>
      <w:tr w:rsidR="00685F6E"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685F6E" w:rsidRDefault="00685F6E">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685F6E" w:rsidRDefault="00685F6E">
            <w:pPr>
              <w:pStyle w:val="TAC"/>
              <w:spacing w:before="20" w:after="20"/>
              <w:ind w:left="57" w:right="57"/>
              <w:jc w:val="left"/>
              <w:rPr>
                <w:rFonts w:eastAsiaTheme="minorEastAsia" w:cs="Arial"/>
              </w:rPr>
            </w:pPr>
          </w:p>
        </w:tc>
      </w:tr>
      <w:tr w:rsidR="00685F6E"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685F6E" w:rsidRDefault="00685F6E">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685F6E" w:rsidRDefault="00685F6E">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685F6E" w:rsidRDefault="00685F6E">
            <w:pPr>
              <w:pStyle w:val="TAC"/>
              <w:spacing w:before="20" w:after="20"/>
              <w:ind w:left="57" w:right="57"/>
              <w:jc w:val="left"/>
              <w:rPr>
                <w:rFonts w:eastAsiaTheme="minorEastAsia" w:cs="Arial"/>
              </w:rPr>
            </w:pPr>
          </w:p>
        </w:tc>
      </w:tr>
      <w:tr w:rsidR="00685F6E"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685F6E" w:rsidRDefault="00685F6E">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685F6E" w:rsidRDefault="00685F6E">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685F6E" w:rsidRDefault="00685F6E">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Heading1"/>
      </w:pPr>
      <w:r>
        <w:t>2.</w:t>
      </w:r>
      <w:r>
        <w:tab/>
        <w:t>Discussion</w:t>
      </w:r>
    </w:p>
    <w:p w14:paraId="6696BE6F" w14:textId="77777777" w:rsidR="00685F6E" w:rsidRDefault="00453C58">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 xml:space="preserve">This WI expects to address interference between 3GPP (including various MR-DC architectures, i.e. NR-DC and EN-DC) and non-3GPP RAT (e.g. </w:t>
            </w:r>
            <w:proofErr w:type="spellStart"/>
            <w:r>
              <w:t>WiFi</w:t>
            </w:r>
            <w:proofErr w:type="spellEnd"/>
            <w:r>
              <w:t>).</w:t>
            </w:r>
          </w:p>
          <w:p w14:paraId="71D1A8E3" w14:textId="77777777" w:rsidR="00685F6E" w:rsidRDefault="00453C58">
            <w:pPr>
              <w:pStyle w:val="ListParagraph"/>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Heading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08F9A384" w14:textId="77777777" w:rsidR="00685F6E" w:rsidRDefault="00453C58">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6C02C05D" w14:textId="77777777" w:rsidR="00685F6E" w:rsidRDefault="00453C58">
      <w:pPr>
        <w:pStyle w:val="ListParagraph"/>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409A9F94" w14:textId="77777777" w:rsidR="00685F6E" w:rsidRDefault="00453C58">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t>
            </w:r>
            <w:proofErr w:type="spellStart"/>
            <w:r>
              <w:rPr>
                <w:i w:val="0"/>
                <w:color w:val="000000"/>
                <w:lang w:eastAsia="zh-CN"/>
              </w:rPr>
              <w:t>WiFi</w:t>
            </w:r>
            <w:proofErr w:type="spellEnd"/>
            <w:r>
              <w:rPr>
                <w:i w:val="0"/>
                <w:color w:val="000000"/>
                <w:lang w:eastAsia="zh-CN"/>
              </w:rPr>
              <w:t xml:space="preserve">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E.g.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BodyText"/>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UE can autonomously deny LTE resources due to some critical short-term events of ISM side, e.g. some events during BT/</w:t>
            </w:r>
            <w:proofErr w:type="spellStart"/>
            <w:r>
              <w:rPr>
                <w:lang w:eastAsia="zh-CN"/>
              </w:rPr>
              <w:t>WiFi</w:t>
            </w:r>
            <w:proofErr w:type="spellEnd"/>
            <w:r>
              <w:rPr>
                <w:lang w:eastAsia="zh-CN"/>
              </w:rPr>
              <w:t xml:space="preserve"> connection-setup or other important signalling.</w:t>
            </w:r>
          </w:p>
          <w:p w14:paraId="09F77677" w14:textId="77777777" w:rsidR="00685F6E" w:rsidRDefault="00453C58">
            <w:pPr>
              <w:pStyle w:val="B1"/>
              <w:ind w:left="0" w:firstLine="0"/>
              <w:rPr>
                <w:lang w:eastAsia="zh-CN"/>
              </w:rPr>
            </w:pPr>
            <w:r>
              <w:rPr>
                <w:lang w:eastAsia="zh-CN"/>
              </w:rPr>
              <w:t xml:space="preserve">During stable situation of ISM operation, some LTE resources can be denied by UE autonomously to protect ISM data packets, so e.g.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Heading4"/>
        <w:rPr>
          <w:lang w:eastAsia="zh-CN"/>
        </w:rPr>
      </w:pPr>
      <w:r>
        <w:rPr>
          <w:lang w:eastAsia="zh-CN"/>
        </w:rPr>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ListParagraph"/>
        <w:numPr>
          <w:ilvl w:val="0"/>
          <w:numId w:val="11"/>
        </w:numPr>
        <w:rPr>
          <w:lang w:eastAsia="zh-CN"/>
        </w:rPr>
      </w:pPr>
      <w:r>
        <w:rPr>
          <w:color w:val="000000"/>
          <w:lang w:eastAsia="zh-CN"/>
        </w:rPr>
        <w:lastRenderedPageBreak/>
        <w:t>BT voice [6]</w:t>
      </w:r>
    </w:p>
    <w:p w14:paraId="1541B1CA" w14:textId="77777777" w:rsidR="00685F6E" w:rsidRDefault="00453C58">
      <w:pPr>
        <w:pStyle w:val="ListParagraph"/>
        <w:numPr>
          <w:ilvl w:val="0"/>
          <w:numId w:val="11"/>
        </w:numPr>
        <w:rPr>
          <w:lang w:eastAsia="zh-CN"/>
        </w:rPr>
      </w:pPr>
      <w:r>
        <w:rPr>
          <w:lang w:eastAsia="zh-CN"/>
        </w:rPr>
        <w:t>WLAN beacon [8]</w:t>
      </w:r>
    </w:p>
    <w:p w14:paraId="144E5B97" w14:textId="77777777" w:rsidR="00685F6E" w:rsidRDefault="00453C58">
      <w:pPr>
        <w:pStyle w:val="ListParagraph"/>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quite obvious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2AE6A21B" w:rsidR="00685F6E" w:rsidRPr="000E3FB8" w:rsidRDefault="000E3FB8">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7B894B" w14:textId="3F550776"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1E3D2C88" w:rsidR="00685F6E" w:rsidRPr="001935C3" w:rsidRDefault="001935C3">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B260768" w14:textId="1D57C120" w:rsidR="00685F6E" w:rsidRDefault="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68F57E07" w:rsidR="00685F6E" w:rsidRDefault="00C4508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5950530" w14:textId="6C00F095"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A5DE0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A449FD2" w14:textId="77777777" w:rsidR="00685F6E" w:rsidRDefault="00685F6E">
            <w:pPr>
              <w:spacing w:after="0"/>
              <w:rPr>
                <w:rFonts w:ascii="Arial" w:eastAsia="MS Mincho" w:hAnsi="Arial" w:cs="Arial"/>
                <w:bCs/>
                <w:lang w:eastAsia="ja-JP"/>
              </w:rPr>
            </w:pP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7C132F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ListParagraph"/>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ListParagraph"/>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ListParagraph"/>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ListParagraph"/>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ListParagraph"/>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ListParagraph"/>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Heading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 For the IMD, the </w:t>
            </w:r>
            <w:proofErr w:type="spellStart"/>
            <w:r>
              <w:rPr>
                <w:rFonts w:ascii="Arial" w:hAnsi="Arial" w:cs="Arial" w:hint="eastAsia"/>
                <w:bCs/>
                <w:lang w:val="en-US" w:eastAsia="zh-CN"/>
              </w:rPr>
              <w:t>eNB</w:t>
            </w:r>
            <w:proofErr w:type="spellEnd"/>
            <w:r>
              <w:rPr>
                <w:rFonts w:ascii="Arial" w:hAnsi="Arial" w:cs="Arial" w:hint="eastAsia"/>
                <w:bCs/>
                <w:lang w:val="en-US" w:eastAsia="zh-CN"/>
              </w:rPr>
              <w:t xml:space="preserve"> may deactivate the </w:t>
            </w:r>
            <w:proofErr w:type="spellStart"/>
            <w:r>
              <w:rPr>
                <w:rFonts w:ascii="Arial" w:hAnsi="Arial" w:cs="Arial" w:hint="eastAsia"/>
                <w:bCs/>
                <w:lang w:val="en-US" w:eastAsia="zh-CN"/>
              </w:rPr>
              <w:t>scell</w:t>
            </w:r>
            <w:proofErr w:type="spellEnd"/>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65FD1BF4"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D74CC34" w14:textId="2375200D"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1935C3"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42E9C269" w:rsidR="001935C3" w:rsidRDefault="001935C3" w:rsidP="001935C3">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4B6BEF9" w14:textId="1CD40F89"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1935C3" w:rsidRDefault="001935C3" w:rsidP="001935C3">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0B1684E4" w:rsidR="00685F6E" w:rsidRDefault="00C4508D">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2098" w:type="dxa"/>
            <w:tcBorders>
              <w:top w:val="single" w:sz="4" w:space="0" w:color="auto"/>
              <w:left w:val="single" w:sz="4" w:space="0" w:color="auto"/>
              <w:bottom w:val="single" w:sz="4" w:space="0" w:color="auto"/>
              <w:right w:val="single" w:sz="4" w:space="0" w:color="auto"/>
            </w:tcBorders>
          </w:tcPr>
          <w:p w14:paraId="5EB5B9BF" w14:textId="0B2B6058"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A099B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135555A" w14:textId="77777777" w:rsidR="00685F6E" w:rsidRDefault="00685F6E">
            <w:pPr>
              <w:spacing w:after="0"/>
              <w:rPr>
                <w:rFonts w:ascii="Arial" w:eastAsia="MS Mincho" w:hAnsi="Arial" w:cs="Arial"/>
                <w:bCs/>
                <w:lang w:eastAsia="ja-JP"/>
              </w:rPr>
            </w:pP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6ED38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Heading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451DF48C" w14:textId="77777777" w:rsidR="00685F6E" w:rsidRDefault="00453C58">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293B85BD" w14:textId="77777777" w:rsidR="00685F6E" w:rsidRDefault="00453C58">
      <w:pPr>
        <w:pStyle w:val="ListParagraph"/>
        <w:numPr>
          <w:ilvl w:val="1"/>
          <w:numId w:val="10"/>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6B866632" w14:textId="77777777" w:rsidR="00685F6E" w:rsidRDefault="00453C58">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The rapporteur’s understanding is that RAN2 can firstly confirm what has been stated in the IDC WID, i.e. using the LTE TDM solutions as baseline.</w:t>
      </w:r>
    </w:p>
    <w:p w14:paraId="3809F274" w14:textId="77777777" w:rsidR="00685F6E" w:rsidRDefault="00453C58">
      <w:pPr>
        <w:pStyle w:val="Heading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w:t>
            </w:r>
            <w:proofErr w:type="spellStart"/>
            <w:r>
              <w:rPr>
                <w:rFonts w:ascii="Arial" w:eastAsia="DengXian" w:hAnsi="Arial" w:cs="Arial"/>
                <w:bCs/>
                <w:lang w:eastAsia="zh-CN"/>
              </w:rPr>
              <w:t>granurality</w:t>
            </w:r>
            <w:proofErr w:type="spellEnd"/>
            <w:r>
              <w:rPr>
                <w:rFonts w:ascii="Arial" w:eastAsia="DengXian" w:hAnsi="Arial" w:cs="Arial"/>
                <w:bCs/>
                <w:lang w:eastAsia="zh-CN"/>
              </w:rPr>
              <w:t xml:space="preserve"> between NR and LTE is difference as Samsung mentioned. The important point is that UE needs to report the time-domain information to network. Then, the network reconfigures TDM to UE. </w:t>
            </w:r>
            <w:r w:rsidR="00CE715A">
              <w:rPr>
                <w:rFonts w:ascii="Arial" w:eastAsia="DengXian" w:hAnsi="Arial" w:cs="Arial"/>
                <w:bCs/>
                <w:lang w:eastAsia="zh-CN"/>
              </w:rPr>
              <w:t>RAN2 needs to evaluate/discuss</w:t>
            </w:r>
            <w:r>
              <w:rPr>
                <w:rFonts w:ascii="Arial" w:eastAsia="DengXian" w:hAnsi="Arial" w:cs="Arial"/>
                <w:bCs/>
                <w:lang w:eastAsia="zh-CN"/>
              </w:rPr>
              <w:t xml:space="preserve"> </w:t>
            </w:r>
            <w:r w:rsidR="00CE715A">
              <w:rPr>
                <w:rFonts w:ascii="Arial" w:eastAsia="DengXian" w:hAnsi="Arial" w:cs="Arial"/>
                <w:bCs/>
                <w:lang w:eastAsia="zh-CN"/>
              </w:rPr>
              <w:t>which one (</w:t>
            </w:r>
            <w:r>
              <w:rPr>
                <w:rFonts w:ascii="Arial" w:eastAsia="DengXian" w:hAnsi="Arial" w:cs="Arial"/>
                <w:bCs/>
                <w:lang w:eastAsia="zh-CN"/>
              </w:rPr>
              <w:t>DRX</w:t>
            </w:r>
            <w:r w:rsidR="00CE715A">
              <w:rPr>
                <w:rFonts w:ascii="Arial" w:eastAsia="DengXian" w:hAnsi="Arial" w:cs="Arial"/>
                <w:bCs/>
                <w:lang w:eastAsia="zh-CN"/>
              </w:rPr>
              <w:t>-like or MUSIM gap-like</w:t>
            </w:r>
            <w:r>
              <w:rPr>
                <w:rFonts w:ascii="Arial" w:eastAsia="DengXian" w:hAnsi="Arial" w:cs="Arial"/>
                <w:bCs/>
                <w:lang w:eastAsia="zh-CN"/>
              </w:rPr>
              <w:t xml:space="preserve"> is </w:t>
            </w:r>
            <w:r w:rsidR="00CE715A">
              <w:rPr>
                <w:rFonts w:ascii="Arial" w:eastAsia="DengXian" w:hAnsi="Arial" w:cs="Arial"/>
                <w:bCs/>
                <w:lang w:eastAsia="zh-CN"/>
              </w:rPr>
              <w:t>better</w:t>
            </w:r>
            <w:r>
              <w:rPr>
                <w:rFonts w:ascii="Arial" w:eastAsia="DengXian"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0C923BA9"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AEB96F9" w14:textId="300DDC4C" w:rsidR="00685F6E" w:rsidRDefault="000E3FB8">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52EEA4B0" w14:textId="42AFB9C5" w:rsidR="000E3FB8" w:rsidRDefault="000E3FB8">
            <w:pPr>
              <w:spacing w:after="0"/>
              <w:rPr>
                <w:rFonts w:ascii="Arial" w:eastAsia="MS Mincho" w:hAnsi="Arial" w:cs="Arial"/>
                <w:bCs/>
                <w:lang w:eastAsia="ja-JP"/>
              </w:rPr>
            </w:pPr>
            <w:r>
              <w:rPr>
                <w:rFonts w:ascii="Arial" w:eastAsia="MS Mincho" w:hAnsi="Arial" w:cs="Arial"/>
                <w:bCs/>
                <w:lang w:eastAsia="ja-JP"/>
              </w:rPr>
              <w:t>We can confirm DRX like</w:t>
            </w:r>
            <w:r w:rsidR="001946A5">
              <w:rPr>
                <w:rFonts w:ascii="Arial" w:eastAsia="MS Mincho" w:hAnsi="Arial" w:cs="Arial"/>
                <w:bCs/>
                <w:lang w:eastAsia="ja-JP"/>
              </w:rPr>
              <w:t xml:space="preserve"> (or MUSIM gap like)</w:t>
            </w:r>
            <w:r>
              <w:rPr>
                <w:rFonts w:ascii="Arial" w:eastAsia="MS Mincho" w:hAnsi="Arial" w:cs="Arial"/>
                <w:bCs/>
                <w:lang w:eastAsia="ja-JP"/>
              </w:rPr>
              <w:t xml:space="preserve"> solution</w:t>
            </w:r>
            <w:r w:rsidR="001946A5">
              <w:rPr>
                <w:rFonts w:ascii="Arial" w:eastAsia="MS Mincho" w:hAnsi="Arial" w:cs="Arial"/>
                <w:bCs/>
                <w:lang w:eastAsia="ja-JP"/>
              </w:rPr>
              <w:t xml:space="preserve"> as the main motivation is to get an off time duration</w:t>
            </w:r>
            <w:r>
              <w:rPr>
                <w:rFonts w:ascii="Arial" w:eastAsia="MS Mincho" w:hAnsi="Arial" w:cs="Arial"/>
                <w:bCs/>
                <w:lang w:eastAsia="ja-JP"/>
              </w:rPr>
              <w:t>. For HARQ process reservation based solution, we have a big question mark if it is still needed since NR HARQ pattern is much more flexible.</w:t>
            </w:r>
          </w:p>
          <w:p w14:paraId="0B0B726D" w14:textId="0B6A9ACE" w:rsidR="000E3FB8" w:rsidRPr="000E3FB8" w:rsidRDefault="000E3FB8">
            <w:pPr>
              <w:spacing w:after="0"/>
              <w:rPr>
                <w:rFonts w:ascii="Arial" w:eastAsia="MS Mincho" w:hAnsi="Arial" w:cs="Arial"/>
                <w:bCs/>
                <w:lang w:eastAsia="ja-JP"/>
              </w:rPr>
            </w:pPr>
            <w:r>
              <w:rPr>
                <w:rFonts w:ascii="Arial" w:eastAsia="MS Mincho" w:hAnsi="Arial" w:cs="Arial"/>
                <w:bCs/>
                <w:lang w:eastAsia="ja-JP"/>
              </w:rPr>
              <w:t xml:space="preserve">For autonomous denial, we don’t have strong views </w:t>
            </w:r>
            <w:r w:rsidR="001946A5">
              <w:rPr>
                <w:rFonts w:ascii="Arial" w:eastAsia="MS Mincho" w:hAnsi="Arial" w:cs="Arial"/>
                <w:bCs/>
                <w:lang w:eastAsia="ja-JP"/>
              </w:rPr>
              <w:t>but RAN4 work would be required on the allowed denial rate.</w:t>
            </w: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19EB337" w:rsidR="00685F6E" w:rsidRPr="001935C3" w:rsidRDefault="001935C3">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C31A34C" w14:textId="15088956" w:rsidR="00685F6E" w:rsidRPr="001935C3" w:rsidRDefault="001935C3">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020B87D" w14:textId="42F100CC" w:rsidR="001935C3" w:rsidRDefault="001935C3">
            <w:pPr>
              <w:spacing w:after="0"/>
              <w:rPr>
                <w:rFonts w:ascii="Arial" w:eastAsia="MS Mincho" w:hAnsi="Arial" w:cs="Arial"/>
                <w:bCs/>
                <w:lang w:eastAsia="ja-JP"/>
              </w:rPr>
            </w:pPr>
            <w:r>
              <w:rPr>
                <w:rFonts w:ascii="Arial" w:eastAsia="DengXian" w:hAnsi="Arial" w:cs="Arial"/>
                <w:bCs/>
                <w:lang w:eastAsia="zh-CN"/>
              </w:rPr>
              <w:t xml:space="preserve">We </w:t>
            </w:r>
            <w:proofErr w:type="spellStart"/>
            <w:r>
              <w:rPr>
                <w:rFonts w:ascii="Arial" w:eastAsia="DengXian" w:hAnsi="Arial" w:cs="Arial"/>
                <w:bCs/>
                <w:lang w:eastAsia="zh-CN"/>
              </w:rPr>
              <w:t>prefere</w:t>
            </w:r>
            <w:proofErr w:type="spellEnd"/>
            <w:r>
              <w:rPr>
                <w:rFonts w:ascii="Arial" w:eastAsia="DengXian" w:hAnsi="Arial" w:cs="Arial"/>
                <w:bCs/>
                <w:lang w:eastAsia="zh-CN"/>
              </w:rPr>
              <w:t xml:space="preserv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DL/UL subframe pattern is needed for LTE due to sync HARQ. Auto deny will give more RAN4 works. </w:t>
            </w:r>
          </w:p>
          <w:p w14:paraId="4876692B" w14:textId="516AFAB4" w:rsidR="00685F6E" w:rsidRPr="001935C3" w:rsidRDefault="001935C3">
            <w:pPr>
              <w:spacing w:after="0"/>
              <w:rPr>
                <w:rFonts w:ascii="Arial" w:eastAsia="DengXian" w:hAnsi="Arial" w:cs="Arial"/>
                <w:bCs/>
                <w:lang w:eastAsia="zh-CN"/>
              </w:rPr>
            </w:pPr>
            <w:r>
              <w:rPr>
                <w:rFonts w:ascii="Arial" w:eastAsia="MS Mincho" w:hAnsi="Arial" w:cs="Arial"/>
                <w:bCs/>
                <w:lang w:eastAsia="ja-JP"/>
              </w:rPr>
              <w:t xml:space="preserve"> </w:t>
            </w:r>
          </w:p>
          <w:p w14:paraId="07526684" w14:textId="038961B7" w:rsidR="001935C3" w:rsidRDefault="001935C3">
            <w:pPr>
              <w:spacing w:after="0"/>
              <w:rPr>
                <w:rFonts w:ascii="Arial" w:eastAsia="MS Mincho" w:hAnsi="Arial" w:cs="Arial"/>
                <w:bCs/>
                <w:lang w:eastAsia="ja-JP"/>
              </w:rPr>
            </w:pP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6A3387DE" w:rsidR="00685F6E" w:rsidRDefault="006D190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F1A1434" w14:textId="3631EFF6" w:rsidR="00685F6E" w:rsidRDefault="006D190D">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06860AE7" w14:textId="3530FD95" w:rsidR="00685F6E" w:rsidRDefault="0018642D">
            <w:pPr>
              <w:spacing w:after="0"/>
              <w:rPr>
                <w:rFonts w:ascii="Arial" w:eastAsia="MS Mincho" w:hAnsi="Arial" w:cs="Arial"/>
                <w:bCs/>
                <w:lang w:eastAsia="ja-JP"/>
              </w:rPr>
            </w:pPr>
            <w:r>
              <w:rPr>
                <w:rFonts w:ascii="Arial" w:eastAsia="MS Mincho" w:hAnsi="Arial" w:cs="Arial"/>
                <w:bCs/>
                <w:lang w:eastAsia="ja-JP"/>
              </w:rPr>
              <w:t xml:space="preserve">Agree with Samsung and Apple. Since there is already one LTE solution that we think would be inapplicable and a </w:t>
            </w:r>
            <w:proofErr w:type="gramStart"/>
            <w:r>
              <w:rPr>
                <w:rFonts w:ascii="Arial" w:eastAsia="MS Mincho" w:hAnsi="Arial" w:cs="Arial"/>
                <w:bCs/>
                <w:lang w:eastAsia="ja-JP"/>
              </w:rPr>
              <w:t>fairly new</w:t>
            </w:r>
            <w:proofErr w:type="gramEnd"/>
            <w:r>
              <w:rPr>
                <w:rFonts w:ascii="Arial" w:eastAsia="MS Mincho" w:hAnsi="Arial" w:cs="Arial"/>
                <w:bCs/>
                <w:lang w:eastAsia="ja-JP"/>
              </w:rPr>
              <w:t xml:space="preserve"> </w:t>
            </w:r>
            <w:r>
              <w:rPr>
                <w:rFonts w:ascii="Arial" w:eastAsia="MS Mincho" w:hAnsi="Arial" w:cs="Arial"/>
                <w:bCs/>
                <w:lang w:eastAsia="ja-JP"/>
              </w:rPr>
              <w:lastRenderedPageBreak/>
              <w:t>solution (MUSIM-like gaps) that we think have promise</w:t>
            </w:r>
            <w:r w:rsidR="007E3F4D">
              <w:rPr>
                <w:rFonts w:ascii="Arial" w:eastAsia="MS Mincho" w:hAnsi="Arial" w:cs="Arial"/>
                <w:bCs/>
                <w:lang w:eastAsia="ja-JP"/>
              </w:rPr>
              <w:t xml:space="preserve"> and an active discussion</w:t>
            </w:r>
            <w:r w:rsidR="007453A7">
              <w:rPr>
                <w:rFonts w:ascii="Arial" w:eastAsia="MS Mincho" w:hAnsi="Arial" w:cs="Arial"/>
                <w:bCs/>
                <w:lang w:eastAsia="ja-JP"/>
              </w:rPr>
              <w:t xml:space="preserve"> going on</w:t>
            </w:r>
            <w:r w:rsidR="004E2773">
              <w:rPr>
                <w:rFonts w:ascii="Arial" w:eastAsia="MS Mincho" w:hAnsi="Arial" w:cs="Arial"/>
                <w:bCs/>
                <w:lang w:eastAsia="ja-JP"/>
              </w:rPr>
              <w:t>,</w:t>
            </w:r>
            <w:r w:rsidR="007E3F4D">
              <w:rPr>
                <w:rFonts w:ascii="Arial" w:eastAsia="MS Mincho" w:hAnsi="Arial" w:cs="Arial"/>
                <w:bCs/>
                <w:lang w:eastAsia="ja-JP"/>
              </w:rPr>
              <w:t xml:space="preserve"> then it’s not preferrable to have a baseline agreement that excludes a solution already in discussion</w:t>
            </w:r>
            <w:r w:rsidR="004E2773">
              <w:rPr>
                <w:rFonts w:ascii="Arial" w:eastAsia="MS Mincho" w:hAnsi="Arial" w:cs="Arial"/>
                <w:bCs/>
                <w:lang w:eastAsia="ja-JP"/>
              </w:rPr>
              <w:t>.</w:t>
            </w:r>
            <w:r w:rsidR="007453A7">
              <w:rPr>
                <w:rFonts w:ascii="Arial" w:eastAsia="MS Mincho" w:hAnsi="Arial" w:cs="Arial"/>
                <w:bCs/>
                <w:lang w:eastAsia="ja-JP"/>
              </w:rPr>
              <w:t xml:space="preserve"> We can discuss the few proposed solutions based on merit without a baseline.</w:t>
            </w:r>
            <w:r w:rsidR="004E2773">
              <w:rPr>
                <w:rFonts w:ascii="Arial" w:eastAsia="MS Mincho" w:hAnsi="Arial" w:cs="Arial"/>
                <w:bCs/>
                <w:lang w:eastAsia="ja-JP"/>
              </w:rPr>
              <w:t xml:space="preserve"> </w:t>
            </w: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AACBBB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FAA2CA1" w14:textId="77777777" w:rsidR="00685F6E" w:rsidRDefault="00685F6E">
            <w:pPr>
              <w:spacing w:after="0"/>
              <w:rPr>
                <w:rFonts w:ascii="Arial" w:eastAsia="MS Mincho" w:hAnsi="Arial" w:cs="Arial"/>
                <w:bCs/>
                <w:lang w:eastAsia="ja-JP"/>
              </w:rPr>
            </w:pP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29FEA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1C3DD6" w14:textId="77777777" w:rsidR="00685F6E" w:rsidRDefault="00685F6E">
            <w:pPr>
              <w:spacing w:after="0"/>
              <w:rPr>
                <w:rFonts w:ascii="Arial" w:eastAsia="MS Mincho" w:hAnsi="Arial" w:cs="Arial"/>
                <w:bCs/>
                <w:lang w:eastAsia="ja-JP"/>
              </w:rPr>
            </w:pP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1463FDE"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F0D1019" w14:textId="77777777" w:rsidR="00685F6E" w:rsidRDefault="00685F6E">
            <w:pPr>
              <w:spacing w:after="0"/>
              <w:rPr>
                <w:rFonts w:ascii="Arial" w:eastAsia="MS Mincho" w:hAnsi="Arial" w:cs="Arial"/>
                <w:bCs/>
                <w:lang w:eastAsia="ja-JP"/>
              </w:rPr>
            </w:pP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TableGrid"/>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and set it accordingly;</w:t>
            </w:r>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drx-ActiveTime</w:t>
            </w:r>
            <w:proofErr w:type="spellEnd"/>
            <w:r>
              <w:rPr>
                <w:highlight w:val="yellow"/>
                <w:lang w:eastAsia="zh-CN"/>
              </w:rPr>
              <w:t>;</w:t>
            </w:r>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idc-SubframePatternList</w:t>
            </w:r>
            <w:proofErr w:type="spellEnd"/>
            <w:r>
              <w:rPr>
                <w:highlight w:val="yellow"/>
                <w:lang w:eastAsia="zh-CN"/>
              </w:rPr>
              <w:t>;</w:t>
            </w:r>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0E43F79D" w14:textId="77777777" w:rsidR="00685F6E" w:rsidRDefault="00453C58">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Heading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 xml:space="preserve">In the LTE only TDM assistance information on the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27D2344F"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097F7D9" w14:textId="4B1A1F66" w:rsidR="00685F6E" w:rsidRDefault="00CD76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1935C3"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487D4774" w:rsidR="001935C3" w:rsidRDefault="001935C3" w:rsidP="001935C3">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73EDE4B" w14:textId="092AFD9E"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1935C3" w:rsidRDefault="001935C3" w:rsidP="001935C3">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216ADC0A" w:rsidR="00685F6E" w:rsidRDefault="00FE5EDF">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155057D" w14:textId="7B57E12F" w:rsidR="00685F6E" w:rsidRDefault="00FE5EDF">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C07AB4" w14:textId="5553ADF8" w:rsidR="00685F6E" w:rsidRDefault="00BB4BAD">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F2C234"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51134AE" w14:textId="77777777" w:rsidR="00685F6E" w:rsidRDefault="00685F6E">
            <w:pPr>
              <w:spacing w:after="0"/>
              <w:rPr>
                <w:rFonts w:ascii="Arial" w:eastAsia="MS Mincho" w:hAnsi="Arial" w:cs="Arial"/>
                <w:bCs/>
                <w:lang w:eastAsia="ja-JP"/>
              </w:rPr>
            </w:pP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E00988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EAA951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7A2F3" w14:textId="77777777"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7373A5B5" w14:textId="77777777" w:rsidR="00685F6E" w:rsidRDefault="00453C58">
      <w:pPr>
        <w:pStyle w:val="Heading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seems that the UE reporting of its desired DRX pattern for affected NR frequency list can reuse the LTE DRX solution for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details on whether to consider the latest NR DRX design (e.g.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DengXian" w:hAnsi="Arial" w:cs="Arial"/>
                <w:bCs/>
                <w:lang w:eastAsia="zh-CN"/>
              </w:rPr>
            </w:pPr>
            <w:r>
              <w:rPr>
                <w:rFonts w:ascii="Arial" w:eastAsia="DengXian" w:hAnsi="Arial" w:cs="Arial"/>
                <w:bCs/>
                <w:lang w:eastAsia="zh-CN"/>
              </w:rPr>
              <w:t xml:space="preserve">RAN2 needs to perform </w:t>
            </w:r>
            <w:proofErr w:type="spellStart"/>
            <w:r>
              <w:rPr>
                <w:rFonts w:ascii="Arial" w:eastAsia="DengXian" w:hAnsi="Arial" w:cs="Arial"/>
                <w:bCs/>
                <w:lang w:eastAsia="zh-CN"/>
              </w:rPr>
              <w:t>fo</w:t>
            </w:r>
            <w:proofErr w:type="spellEnd"/>
            <w:r>
              <w:rPr>
                <w:rFonts w:ascii="Arial" w:eastAsia="DengXian" w:hAnsi="Arial" w:cs="Arial"/>
                <w:bCs/>
                <w:lang w:eastAsia="zh-CN"/>
              </w:rPr>
              <w:t xml:space="preserve"> down-selection of DRX pattern and MUSIM gap-like</w:t>
            </w:r>
            <w:r w:rsidR="00E602F7">
              <w:rPr>
                <w:rFonts w:ascii="Arial" w:eastAsia="DengXian" w:hAnsi="Arial" w:cs="Arial"/>
                <w:bCs/>
                <w:lang w:eastAsia="zh-CN"/>
              </w:rPr>
              <w:t xml:space="preserve"> first</w:t>
            </w:r>
            <w:r>
              <w:rPr>
                <w:rFonts w:ascii="Arial" w:eastAsia="DengXian"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5D1863DA"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EF1DC7D" w14:textId="399AB7D4" w:rsidR="00685F6E" w:rsidRDefault="00CD7647">
            <w:pPr>
              <w:spacing w:after="0"/>
              <w:rPr>
                <w:rFonts w:ascii="Arial" w:eastAsia="MS Mincho" w:hAnsi="Arial" w:cs="Arial"/>
                <w:bCs/>
                <w:lang w:eastAsia="ja-JP"/>
              </w:rPr>
            </w:pPr>
            <w:r>
              <w:rPr>
                <w:rFonts w:ascii="Arial" w:eastAsia="MS Mincho" w:hAnsi="Arial" w:cs="Arial"/>
                <w:bCs/>
                <w:lang w:eastAsia="ja-JP"/>
              </w:rPr>
              <w:t>Yes with comments</w:t>
            </w:r>
          </w:p>
        </w:tc>
        <w:tc>
          <w:tcPr>
            <w:tcW w:w="6216" w:type="dxa"/>
            <w:tcBorders>
              <w:top w:val="single" w:sz="4" w:space="0" w:color="auto"/>
              <w:left w:val="single" w:sz="4" w:space="0" w:color="auto"/>
              <w:bottom w:val="single" w:sz="4" w:space="0" w:color="auto"/>
              <w:right w:val="single" w:sz="4" w:space="0" w:color="auto"/>
            </w:tcBorders>
          </w:tcPr>
          <w:p w14:paraId="7FA499F9" w14:textId="05DF1D30" w:rsidR="00685F6E" w:rsidRDefault="00CD76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149AD57F" w:rsidR="00685F6E" w:rsidRPr="001935C3" w:rsidRDefault="001935C3">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17D24C4" w14:textId="64E4B2D5" w:rsidR="00685F6E" w:rsidRPr="001935C3" w:rsidRDefault="001935C3">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8F833B7" w14:textId="22082015" w:rsidR="00685F6E" w:rsidRDefault="001935C3">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26BA8F3F" w:rsidR="00685F6E" w:rsidRDefault="00634203">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38867048" w14:textId="4061DB3A" w:rsidR="00685F6E" w:rsidRDefault="00FD428E">
            <w:pPr>
              <w:spacing w:after="0"/>
              <w:rPr>
                <w:rFonts w:ascii="Arial" w:eastAsia="MS Mincho" w:hAnsi="Arial" w:cs="Arial"/>
                <w:bCs/>
                <w:lang w:eastAsia="ja-JP"/>
              </w:rPr>
            </w:pPr>
            <w:r>
              <w:rPr>
                <w:rFonts w:ascii="Arial" w:eastAsia="MS Mincho" w:hAnsi="Arial" w:cs="Arial"/>
                <w:bCs/>
                <w:lang w:eastAsia="ja-JP"/>
              </w:rPr>
              <w:t>Yes</w:t>
            </w:r>
            <w:r w:rsidR="00A258B7">
              <w:rPr>
                <w:rFonts w:ascii="Arial" w:eastAsia="MS Mincho" w:hAnsi="Arial" w:cs="Arial"/>
                <w:bCs/>
                <w:lang w:eastAsia="ja-JP"/>
              </w:rPr>
              <w:t xml:space="preserve"> but</w:t>
            </w:r>
          </w:p>
        </w:tc>
        <w:tc>
          <w:tcPr>
            <w:tcW w:w="6216" w:type="dxa"/>
            <w:tcBorders>
              <w:top w:val="single" w:sz="4" w:space="0" w:color="auto"/>
              <w:left w:val="single" w:sz="4" w:space="0" w:color="auto"/>
              <w:bottom w:val="single" w:sz="4" w:space="0" w:color="auto"/>
              <w:right w:val="single" w:sz="4" w:space="0" w:color="auto"/>
            </w:tcBorders>
          </w:tcPr>
          <w:p w14:paraId="188E46F6" w14:textId="1A7F7A18" w:rsidR="00685F6E" w:rsidRDefault="00B839E7">
            <w:pPr>
              <w:spacing w:after="0"/>
              <w:rPr>
                <w:rFonts w:ascii="Arial" w:eastAsia="MS Mincho" w:hAnsi="Arial" w:cs="Arial"/>
                <w:bCs/>
                <w:lang w:eastAsia="ja-JP"/>
              </w:rPr>
            </w:pPr>
            <w:r>
              <w:rPr>
                <w:rFonts w:ascii="Arial" w:eastAsia="MS Mincho" w:hAnsi="Arial" w:cs="Arial"/>
                <w:bCs/>
                <w:lang w:eastAsia="ja-JP"/>
              </w:rPr>
              <w:t>We think DRX solution can offer some utility to the WLAN use case where the non-3GPP technology can use some interference free time to operate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receive a beacon). We not however that the DRX solution does not solve all the IDC use cases, e.g., anything BT would be too short to control via a DRX cycle without greatly affecting UE latency and power.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we support DRX with the caveat that it cannot be the only solution.</w:t>
            </w: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E2944C"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6018AD" w14:textId="77777777" w:rsidR="00685F6E" w:rsidRDefault="00685F6E">
            <w:pPr>
              <w:spacing w:after="0"/>
              <w:rPr>
                <w:rFonts w:ascii="Arial" w:eastAsia="MS Mincho" w:hAnsi="Arial" w:cs="Arial"/>
                <w:bCs/>
                <w:lang w:eastAsia="ja-JP"/>
              </w:rPr>
            </w:pP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9A7A399"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F3BDF2C" w14:textId="77777777" w:rsidR="00685F6E" w:rsidRDefault="00685F6E">
            <w:pPr>
              <w:spacing w:after="0"/>
              <w:rPr>
                <w:rFonts w:ascii="Arial" w:eastAsia="MS Mincho" w:hAnsi="Arial" w:cs="Arial"/>
                <w:bCs/>
                <w:lang w:eastAsia="ja-JP"/>
              </w:rPr>
            </w:pP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D5CF08"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w:t>
      </w:r>
      <w:r>
        <w:rPr>
          <w:lang w:eastAsia="zh-CN"/>
        </w:rPr>
        <w:lastRenderedPageBreak/>
        <w:t>only interference to a TDD frequency, using the DRX to stop the UL slot seems over-kill. Same problem can also happen for UL-only interference from a TDD frequency.</w:t>
      </w:r>
    </w:p>
    <w:p w14:paraId="11C962DC" w14:textId="77777777" w:rsidR="00685F6E" w:rsidRDefault="00453C58">
      <w:pPr>
        <w:pStyle w:val="Heading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n our understanding, the intention of preferred DL/UL transmission is corresponding to preferred subframe pattern reporting in LTE. For NR case, the DL/UL transmission occasions may have more fine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5B83DC9A" w:rsidR="00685F6E" w:rsidRDefault="000511B3">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8618F4E" w14:textId="365A847C" w:rsidR="00685F6E" w:rsidRDefault="000511B3">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C37742" w14:textId="442A1AB2" w:rsidR="00685F6E" w:rsidRDefault="000511B3">
            <w:pPr>
              <w:spacing w:after="0"/>
              <w:rPr>
                <w:rFonts w:ascii="Arial" w:eastAsia="MS Mincho" w:hAnsi="Arial" w:cs="Arial"/>
                <w:bCs/>
                <w:lang w:eastAsia="ja-JP"/>
              </w:rPr>
            </w:pPr>
            <w:r>
              <w:rPr>
                <w:rFonts w:ascii="Arial" w:eastAsia="MS Mincho" w:hAnsi="Arial" w:cs="Arial"/>
                <w:bCs/>
                <w:lang w:eastAsia="ja-JP"/>
              </w:rPr>
              <w:t>In LTE IDC, HARQ process reservation based solution was to keep the HARQ process un-interrupted. However in NR, we don’t think t</w:t>
            </w:r>
            <w:r w:rsidR="00582620">
              <w:rPr>
                <w:rFonts w:ascii="Arial" w:eastAsia="MS Mincho" w:hAnsi="Arial" w:cs="Arial"/>
                <w:bCs/>
                <w:lang w:eastAsia="ja-JP"/>
              </w:rPr>
              <w:t>he issue</w:t>
            </w:r>
            <w:r>
              <w:rPr>
                <w:rFonts w:ascii="Arial" w:eastAsia="MS Mincho" w:hAnsi="Arial" w:cs="Arial"/>
                <w:bCs/>
                <w:lang w:eastAsia="ja-JP"/>
              </w:rPr>
              <w:t xml:space="preserve"> is still justified as the HARQ timeline becomes much more flexible. </w:t>
            </w: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1C927029" w:rsidR="00685F6E" w:rsidRPr="00924ECF" w:rsidRDefault="00924ECF">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C541576" w14:textId="0449EEF2" w:rsidR="00685F6E" w:rsidRPr="00924ECF" w:rsidRDefault="00924ECF">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D32E2E0" w:rsidR="00685F6E" w:rsidRDefault="00FD428E">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790485F" w14:textId="612A5575" w:rsidR="00685F6E" w:rsidRDefault="00FD428E">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5356311" w14:textId="043DE145" w:rsidR="00685F6E" w:rsidRDefault="00D07834">
            <w:pPr>
              <w:spacing w:after="0"/>
              <w:rPr>
                <w:rFonts w:ascii="Arial" w:eastAsia="MS Mincho" w:hAnsi="Arial" w:cs="Arial"/>
                <w:bCs/>
                <w:lang w:eastAsia="ja-JP"/>
              </w:rPr>
            </w:pPr>
            <w:r>
              <w:rPr>
                <w:rFonts w:ascii="Arial" w:eastAsia="MS Mincho" w:hAnsi="Arial" w:cs="Arial"/>
                <w:bCs/>
                <w:lang w:eastAsia="ja-JP"/>
              </w:rPr>
              <w:t>The TDD patterns in LTE are a completely different framework from NR</w:t>
            </w:r>
            <w:r w:rsidR="000D5830">
              <w:rPr>
                <w:rFonts w:ascii="Arial" w:eastAsia="MS Mincho" w:hAnsi="Arial" w:cs="Arial"/>
                <w:bCs/>
                <w:lang w:eastAsia="ja-JP"/>
              </w:rPr>
              <w:t>:</w:t>
            </w:r>
            <w:r>
              <w:rPr>
                <w:rFonts w:ascii="Arial" w:eastAsia="MS Mincho" w:hAnsi="Arial" w:cs="Arial"/>
                <w:bCs/>
                <w:lang w:eastAsia="ja-JP"/>
              </w:rPr>
              <w:t xml:space="preserve"> subframe TDD vs symbol TDD, different HARQ times, etc, so we think the L</w:t>
            </w:r>
            <w:r w:rsidR="008A330F">
              <w:rPr>
                <w:rFonts w:ascii="Arial" w:eastAsia="MS Mincho" w:hAnsi="Arial" w:cs="Arial"/>
                <w:bCs/>
                <w:lang w:eastAsia="ja-JP"/>
              </w:rPr>
              <w:t xml:space="preserve">TE solution is inapplicable in NR. </w:t>
            </w:r>
            <w:proofErr w:type="gramStart"/>
            <w:r w:rsidR="008A330F">
              <w:rPr>
                <w:rFonts w:ascii="Arial" w:eastAsia="MS Mincho" w:hAnsi="Arial" w:cs="Arial"/>
                <w:bCs/>
                <w:lang w:eastAsia="ja-JP"/>
              </w:rPr>
              <w:t>Instead</w:t>
            </w:r>
            <w:proofErr w:type="gramEnd"/>
            <w:r w:rsidR="008A330F">
              <w:rPr>
                <w:rFonts w:ascii="Arial" w:eastAsia="MS Mincho" w:hAnsi="Arial" w:cs="Arial"/>
                <w:bCs/>
                <w:lang w:eastAsia="ja-JP"/>
              </w:rPr>
              <w:t xml:space="preserve"> what is proposed would be a redesign of </w:t>
            </w:r>
            <w:r w:rsidR="000D5830">
              <w:rPr>
                <w:rFonts w:ascii="Arial" w:eastAsia="MS Mincho" w:hAnsi="Arial" w:cs="Arial"/>
                <w:bCs/>
                <w:lang w:eastAsia="ja-JP"/>
              </w:rPr>
              <w:t>a completely new UL/DL pattern solution that we think is not good for NR, e.g., in TDD it is unclear what the UE needs to request and how it can modify this for every possible TDD pattern</w:t>
            </w:r>
            <w:r w:rsidR="00413943">
              <w:rPr>
                <w:rFonts w:ascii="Arial" w:eastAsia="MS Mincho" w:hAnsi="Arial" w:cs="Arial"/>
                <w:bCs/>
                <w:lang w:eastAsia="ja-JP"/>
              </w:rPr>
              <w:t>. These kinds of problems make the MUSIM solution much simpler and preferable.</w:t>
            </w:r>
            <w:r w:rsidR="000D5830">
              <w:rPr>
                <w:rFonts w:ascii="Arial" w:eastAsia="MS Mincho" w:hAnsi="Arial" w:cs="Arial"/>
                <w:bCs/>
                <w:lang w:eastAsia="ja-JP"/>
              </w:rPr>
              <w:t xml:space="preserve"> </w:t>
            </w: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52D46B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4FEA6FC" w14:textId="77777777" w:rsidR="00685F6E" w:rsidRDefault="00685F6E">
            <w:pPr>
              <w:spacing w:after="0"/>
              <w:rPr>
                <w:rFonts w:ascii="Arial" w:eastAsia="MS Mincho" w:hAnsi="Arial" w:cs="Arial"/>
                <w:bCs/>
                <w:lang w:eastAsia="ja-JP"/>
              </w:rPr>
            </w:pP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88D0D1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63CC3F5" w14:textId="77777777" w:rsidR="00685F6E" w:rsidRDefault="00685F6E">
            <w:pPr>
              <w:spacing w:after="0"/>
              <w:rPr>
                <w:rFonts w:ascii="Arial" w:eastAsia="MS Mincho" w:hAnsi="Arial" w:cs="Arial"/>
                <w:bCs/>
                <w:lang w:eastAsia="ja-JP"/>
              </w:rPr>
            </w:pP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69409D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4993FC" w14:textId="77777777" w:rsidR="00685F6E" w:rsidRDefault="00685F6E">
            <w:pPr>
              <w:spacing w:after="0"/>
              <w:rPr>
                <w:rFonts w:ascii="Arial" w:eastAsia="MS Mincho" w:hAnsi="Arial" w:cs="Arial"/>
                <w:bCs/>
                <w:lang w:eastAsia="ja-JP"/>
              </w:rPr>
            </w:pPr>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TableGrid"/>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proofErr w:type="spellStart"/>
            <w:r>
              <w:rPr>
                <w:i/>
              </w:rPr>
              <w:t>autonomousDenialParameters</w:t>
            </w:r>
            <w:proofErr w:type="spellEnd"/>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Heading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lastRenderedPageBreak/>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lastRenderedPageBreak/>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DengXian"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connection-setup or other important signalling”. Compared with DRX and UL/DL reservation, the autonomous denial solution is more efficient for aperiodic and even-driven control signalling via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59C1CFEA" w:rsidR="00685F6E" w:rsidRDefault="00582620">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F9F805D" w14:textId="6EFC3F31" w:rsidR="00685F6E" w:rsidRDefault="00582620">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07F05462" w:rsidR="00685F6E" w:rsidRPr="00924ECF" w:rsidRDefault="00924ECF">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3C8EB58" w14:textId="62453A5D" w:rsidR="00685F6E" w:rsidRPr="00924ECF" w:rsidRDefault="00924ECF">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36F6B28B"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27A76B5" w14:textId="27C55AC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F28BCD7" w14:textId="4E377014" w:rsidR="00685F6E" w:rsidRDefault="006179E3">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4739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0A24C21"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08DAAA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Heading2"/>
      </w:pPr>
    </w:p>
    <w:p w14:paraId="14203CFF" w14:textId="324D0D1B" w:rsidR="00685F6E" w:rsidRDefault="00453C58">
      <w:pPr>
        <w:pStyle w:val="Heading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[2][5][8][10][12]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TableGrid"/>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 xml:space="preserve">MUSIM-GapInfo-r17 ::=               </w:t>
            </w:r>
            <w:r>
              <w:rPr>
                <w:color w:val="993366"/>
              </w:rPr>
              <w:t>SEQUENCE</w:t>
            </w:r>
            <w:r>
              <w:t xml:space="preserve"> {</w:t>
            </w:r>
          </w:p>
          <w:p w14:paraId="53A8859F" w14:textId="77777777" w:rsidR="00685F6E" w:rsidRDefault="00453C58">
            <w:pPr>
              <w:pStyle w:val="PL"/>
              <w:rPr>
                <w:color w:val="808080"/>
                <w:lang w:eastAsia="sv-SE"/>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t xml:space="preserve">        ms20-r17                            </w:t>
            </w:r>
            <w:r>
              <w:rPr>
                <w:color w:val="993366"/>
              </w:rPr>
              <w:t>INTEGER</w:t>
            </w:r>
            <w:r>
              <w:t xml:space="preserve"> (0..19),</w:t>
            </w:r>
          </w:p>
          <w:p w14:paraId="205DD398" w14:textId="77777777" w:rsidR="00685F6E" w:rsidRDefault="00453C58">
            <w:pPr>
              <w:pStyle w:val="PL"/>
            </w:pPr>
            <w:r>
              <w:t xml:space="preserve">        ms40-r17                            </w:t>
            </w:r>
            <w:r>
              <w:rPr>
                <w:color w:val="993366"/>
              </w:rPr>
              <w:t>INTEGER</w:t>
            </w:r>
            <w:r>
              <w:t xml:space="preserve"> (0..39),</w:t>
            </w:r>
          </w:p>
          <w:p w14:paraId="4A8B40B7" w14:textId="77777777" w:rsidR="00685F6E" w:rsidRDefault="00453C58">
            <w:pPr>
              <w:pStyle w:val="PL"/>
            </w:pPr>
            <w:r>
              <w:t xml:space="preserve">        ms80-r17                            </w:t>
            </w:r>
            <w:r>
              <w:rPr>
                <w:color w:val="993366"/>
              </w:rPr>
              <w:t>INTEGER</w:t>
            </w:r>
            <w:r>
              <w:t xml:space="preserve"> (0..79),</w:t>
            </w:r>
          </w:p>
          <w:p w14:paraId="5B3E85CB" w14:textId="77777777" w:rsidR="00685F6E" w:rsidRDefault="00453C58">
            <w:pPr>
              <w:pStyle w:val="PL"/>
            </w:pPr>
            <w:r>
              <w:t xml:space="preserve">        ms160-r17                           </w:t>
            </w:r>
            <w:r>
              <w:rPr>
                <w:color w:val="993366"/>
              </w:rPr>
              <w:t>INTEGER</w:t>
            </w:r>
            <w:r>
              <w:t xml:space="preserve"> (0..159),</w:t>
            </w:r>
          </w:p>
          <w:p w14:paraId="089FAA5F" w14:textId="77777777" w:rsidR="00685F6E" w:rsidRDefault="00453C58">
            <w:pPr>
              <w:pStyle w:val="PL"/>
            </w:pPr>
            <w:r>
              <w:t xml:space="preserve">        ms320-r17                           </w:t>
            </w:r>
            <w:r>
              <w:rPr>
                <w:color w:val="993366"/>
              </w:rPr>
              <w:t>INTEGER</w:t>
            </w:r>
            <w:r>
              <w:t xml:space="preserve"> (0..319),</w:t>
            </w:r>
          </w:p>
          <w:p w14:paraId="7057A805" w14:textId="77777777" w:rsidR="00685F6E" w:rsidRDefault="00453C58">
            <w:pPr>
              <w:pStyle w:val="PL"/>
            </w:pPr>
            <w:r>
              <w:t xml:space="preserve">        ms640-r17                           </w:t>
            </w:r>
            <w:r>
              <w:rPr>
                <w:color w:val="993366"/>
              </w:rPr>
              <w:t>INTEGER</w:t>
            </w:r>
            <w:r>
              <w:t xml:space="preserve"> (0..639),</w:t>
            </w:r>
          </w:p>
          <w:p w14:paraId="6DD5B9C8" w14:textId="77777777" w:rsidR="00685F6E" w:rsidRDefault="00453C58">
            <w:pPr>
              <w:pStyle w:val="PL"/>
            </w:pPr>
            <w:r>
              <w:t xml:space="preserve">        ms1280-r17                          </w:t>
            </w:r>
            <w:r>
              <w:rPr>
                <w:color w:val="993366"/>
              </w:rPr>
              <w:t>INTEGER</w:t>
            </w:r>
            <w:r>
              <w:t xml:space="preserve"> (0..1279),</w:t>
            </w:r>
          </w:p>
          <w:p w14:paraId="3B451223" w14:textId="77777777" w:rsidR="00685F6E" w:rsidRDefault="00453C58">
            <w:pPr>
              <w:pStyle w:val="PL"/>
            </w:pPr>
            <w:r>
              <w:t xml:space="preserve">        ms2560-r17                          </w:t>
            </w:r>
            <w:r>
              <w:rPr>
                <w:color w:val="993366"/>
              </w:rPr>
              <w:t>INTEGER</w:t>
            </w:r>
            <w:r>
              <w:t xml:space="preserve"> (0..2559),</w:t>
            </w:r>
          </w:p>
          <w:p w14:paraId="63D59284" w14:textId="77777777" w:rsidR="00685F6E" w:rsidRDefault="00453C58">
            <w:pPr>
              <w:pStyle w:val="PL"/>
            </w:pPr>
            <w:r>
              <w:t xml:space="preserve">        ms5120-r17                          </w:t>
            </w:r>
            <w:r>
              <w:rPr>
                <w:color w:val="993366"/>
              </w:rPr>
              <w:t>INTEGER</w:t>
            </w:r>
            <w:r>
              <w:t xml:space="preserve"> (0..5119),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 xml:space="preserve">MUSIM-Starting-SFN-AndSubframe-r17 ::=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(0..1023),</w:t>
            </w:r>
          </w:p>
          <w:p w14:paraId="3D85C783" w14:textId="77777777" w:rsidR="00685F6E" w:rsidRDefault="00453C58">
            <w:pPr>
              <w:pStyle w:val="PL"/>
            </w:pPr>
            <w:r>
              <w:t xml:space="preserve">    startingSubframe-r17                   </w:t>
            </w:r>
            <w:r>
              <w:rPr>
                <w:color w:val="993366"/>
              </w:rPr>
              <w:t>INTEGER</w:t>
            </w:r>
            <w:r>
              <w:t xml:space="preserve"> (0..9)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w:t>
      </w:r>
      <w:r>
        <w:rPr>
          <w:lang w:eastAsia="zh-CN"/>
        </w:rPr>
        <w:lastRenderedPageBreak/>
        <w:t>the UE. The gNB needs both the IDC frequency information and the time-domain information together in order to resolve the interference issue.</w:t>
      </w:r>
    </w:p>
    <w:p w14:paraId="67C781FA" w14:textId="77777777" w:rsidR="00685F6E" w:rsidRDefault="00453C58">
      <w:pPr>
        <w:pStyle w:val="Heading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AN2 needs to evaluate/discuss which one (DRX based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4EE483DA" w:rsidR="00685F6E" w:rsidRPr="008D5AAE" w:rsidRDefault="008D5AAE">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02220B2C" w14:textId="0B008247" w:rsidR="00685F6E" w:rsidRDefault="008D5AAE">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6F134716" w14:textId="67BD2CE6" w:rsidR="00685F6E" w:rsidRDefault="008D5AAE">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4F3C4C4E" w:rsidR="00685F6E" w:rsidRPr="00924ECF" w:rsidRDefault="00924ECF">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6A043F13" w14:textId="17DAA0CE" w:rsidR="00685F6E" w:rsidRPr="00924ECF" w:rsidRDefault="00924ECF">
            <w:pPr>
              <w:spacing w:after="0"/>
              <w:rPr>
                <w:rFonts w:ascii="Arial" w:eastAsia="DengXian" w:hAnsi="Arial" w:cs="Arial"/>
                <w:bCs/>
                <w:lang w:eastAsia="zh-CN"/>
              </w:rPr>
            </w:pPr>
            <w:r>
              <w:rPr>
                <w:rFonts w:ascii="Arial" w:eastAsia="DengXian"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3FF4B3DD" w14:textId="4475CA91" w:rsidR="00685F6E" w:rsidRPr="00924ECF" w:rsidRDefault="00924ECF">
            <w:pPr>
              <w:spacing w:after="0"/>
              <w:rPr>
                <w:rFonts w:ascii="Arial" w:eastAsia="DengXian" w:hAnsi="Arial" w:cs="Arial"/>
                <w:bCs/>
                <w:lang w:eastAsia="zh-CN"/>
              </w:rPr>
            </w:pPr>
            <w:r>
              <w:rPr>
                <w:rFonts w:ascii="Arial" w:eastAsia="DengXian" w:hAnsi="Arial" w:cs="Arial"/>
                <w:bCs/>
                <w:lang w:eastAsia="zh-CN"/>
              </w:rPr>
              <w:t>Agree with Apple.</w:t>
            </w: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0D42F037"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2C6089D3" w14:textId="720B73D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0E943328" w14:textId="3F5C8DF7" w:rsidR="00685F6E" w:rsidRDefault="007B380F">
            <w:pPr>
              <w:spacing w:after="0"/>
              <w:rPr>
                <w:rFonts w:ascii="Arial" w:eastAsia="MS Mincho" w:hAnsi="Arial" w:cs="Arial"/>
                <w:bCs/>
                <w:lang w:eastAsia="ja-JP"/>
              </w:rPr>
            </w:pPr>
            <w:r>
              <w:rPr>
                <w:rFonts w:ascii="Arial" w:eastAsia="MS Mincho" w:hAnsi="Arial" w:cs="Arial"/>
                <w:bCs/>
                <w:lang w:eastAsia="ja-JP"/>
              </w:rPr>
              <w:t xml:space="preserve">We think MUSIM-like gaps is the best solution on the table currently with respect to both simplicity </w:t>
            </w:r>
            <w:r w:rsidR="00A041AE">
              <w:rPr>
                <w:rFonts w:ascii="Arial" w:eastAsia="MS Mincho" w:hAnsi="Arial" w:cs="Arial"/>
                <w:bCs/>
                <w:lang w:eastAsia="ja-JP"/>
              </w:rPr>
              <w:t>and the ability to provide long and short gaps (</w:t>
            </w:r>
            <w:proofErr w:type="gramStart"/>
            <w:r w:rsidR="00A041AE">
              <w:rPr>
                <w:rFonts w:ascii="Arial" w:eastAsia="MS Mincho" w:hAnsi="Arial" w:cs="Arial"/>
                <w:bCs/>
                <w:lang w:eastAsia="ja-JP"/>
              </w:rPr>
              <w:t>i.e.</w:t>
            </w:r>
            <w:proofErr w:type="gramEnd"/>
            <w:r w:rsidR="00A041AE">
              <w:rPr>
                <w:rFonts w:ascii="Arial" w:eastAsia="MS Mincho" w:hAnsi="Arial" w:cs="Arial"/>
                <w:bCs/>
                <w:lang w:eastAsia="ja-JP"/>
              </w:rPr>
              <w:t xml:space="preserve"> unlike DRX this can target all use cases)</w:t>
            </w:r>
            <w:r w:rsidR="00AE6EC2">
              <w:rPr>
                <w:rFonts w:ascii="Arial" w:eastAsia="MS Mincho" w:hAnsi="Arial" w:cs="Arial"/>
                <w:bCs/>
                <w:lang w:eastAsia="ja-JP"/>
              </w:rPr>
              <w:t xml:space="preserve">. It is much simpler than UL and DL patterns and can be tailored and optimized to minimize the mutual impact between </w:t>
            </w:r>
            <w:r w:rsidR="00EC53A8">
              <w:rPr>
                <w:rFonts w:ascii="Arial" w:eastAsia="MS Mincho" w:hAnsi="Arial" w:cs="Arial"/>
                <w:bCs/>
                <w:lang w:eastAsia="ja-JP"/>
              </w:rPr>
              <w:t>3GPP and non-3GPP. Thus, we think MUSIM should be prioritized in our discussions.</w:t>
            </w: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58241BA4" w14:textId="77777777" w:rsidR="00685F6E" w:rsidRDefault="00453C58">
      <w:pPr>
        <w:pStyle w:val="Heading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08D2A187" w:rsidR="00685F6E" w:rsidRDefault="00211CA8">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3CE4C177" w14:textId="32C1EFF3" w:rsidR="00685F6E" w:rsidRDefault="00211CA8">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EDEC10F" w14:textId="1BD94316" w:rsidR="00685F6E" w:rsidRDefault="00211CA8">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w:t>
            </w:r>
            <w:r w:rsidR="00F70F93">
              <w:rPr>
                <w:rFonts w:ascii="Arial" w:eastAsia="MS Mincho" w:hAnsi="Arial" w:cs="Arial"/>
                <w:bCs/>
                <w:lang w:eastAsia="ja-JP"/>
              </w:rPr>
              <w:t xml:space="preserve">that </w:t>
            </w:r>
            <w:r>
              <w:rPr>
                <w:rFonts w:ascii="Arial" w:eastAsia="MS Mincho" w:hAnsi="Arial" w:cs="Arial"/>
                <w:bCs/>
                <w:lang w:eastAsia="ja-JP"/>
              </w:rPr>
              <w:t>if companies have interests to include hardware sharing, it can be brought to RAN plenary.</w:t>
            </w: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59BAD4A1" w:rsidR="00685F6E" w:rsidRPr="00924ECF" w:rsidRDefault="00924ECF">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46A3694" w14:textId="5617B318" w:rsidR="00685F6E" w:rsidRPr="00924ECF" w:rsidRDefault="00924ECF">
            <w:pPr>
              <w:spacing w:after="0"/>
              <w:rPr>
                <w:rFonts w:ascii="Arial" w:eastAsia="DengXian" w:hAnsi="Arial" w:cs="Arial"/>
                <w:bCs/>
                <w:lang w:eastAsia="zh-CN"/>
              </w:rPr>
            </w:pPr>
            <w:r>
              <w:rPr>
                <w:rFonts w:ascii="Arial" w:eastAsia="DengXian"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21FDBA57" w:rsidR="00685F6E" w:rsidRDefault="005B0194">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5E129C9A" w14:textId="10119282" w:rsidR="00685F6E" w:rsidRDefault="005B019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Heading1"/>
      </w:pPr>
      <w:r>
        <w:t>3.</w:t>
      </w:r>
      <w:r>
        <w:tab/>
        <w:t>Conclusion</w:t>
      </w:r>
    </w:p>
    <w:p w14:paraId="1D6B57CA" w14:textId="77777777" w:rsidR="00685F6E" w:rsidRDefault="00453C58">
      <w:pPr>
        <w:rPr>
          <w:rFonts w:eastAsia="DengXian"/>
          <w:lang w:eastAsia="zh-CN"/>
        </w:rPr>
      </w:pPr>
      <w:r>
        <w:rPr>
          <w:rFonts w:eastAsia="DengXian" w:hint="eastAsia"/>
          <w:highlight w:val="yellow"/>
          <w:lang w:eastAsia="zh-CN"/>
        </w:rPr>
        <w:t>T</w:t>
      </w:r>
      <w:r>
        <w:rPr>
          <w:rFonts w:eastAsia="DengXian"/>
          <w:highlight w:val="yellow"/>
          <w:lang w:eastAsia="zh-CN"/>
        </w:rPr>
        <w:t>BD</w:t>
      </w:r>
    </w:p>
    <w:p w14:paraId="3A1398CE" w14:textId="77777777" w:rsidR="00685F6E" w:rsidRDefault="00453C58">
      <w:pPr>
        <w:pStyle w:val="Heading1"/>
      </w:pPr>
      <w:r>
        <w:lastRenderedPageBreak/>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031ED581" w14:textId="77777777" w:rsidR="00685F6E" w:rsidRDefault="00685F6E">
      <w:pPr>
        <w:pStyle w:val="B1"/>
        <w:ind w:left="0" w:firstLine="0"/>
        <w:rPr>
          <w:lang w:eastAsia="zh-CN"/>
        </w:rPr>
      </w:pPr>
    </w:p>
    <w:sectPr w:rsidR="00685F6E">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EF5D" w14:textId="77777777" w:rsidR="000D2CAB" w:rsidRDefault="000D2CAB">
      <w:pPr>
        <w:spacing w:after="0"/>
      </w:pPr>
      <w:r>
        <w:separator/>
      </w:r>
    </w:p>
  </w:endnote>
  <w:endnote w:type="continuationSeparator" w:id="0">
    <w:p w14:paraId="694C291C" w14:textId="77777777" w:rsidR="000D2CAB" w:rsidRDefault="000D2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332C017B" w14:textId="77777777" w:rsidR="00685F6E" w:rsidRDefault="00453C58">
        <w:pPr>
          <w:pStyle w:val="Footer"/>
        </w:pPr>
        <w:r>
          <w:fldChar w:fldCharType="begin"/>
        </w:r>
        <w:r>
          <w:instrText xml:space="preserve"> PAGE   \* MERGEFORMAT </w:instrText>
        </w:r>
        <w:r>
          <w:fldChar w:fldCharType="separate"/>
        </w:r>
        <w:r>
          <w:t>9</w:t>
        </w:r>
        <w:r>
          <w:fldChar w:fldCharType="end"/>
        </w:r>
      </w:p>
    </w:sdtContent>
  </w:sdt>
  <w:p w14:paraId="3A419530" w14:textId="77777777" w:rsidR="00685F6E" w:rsidRDefault="0068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141E" w14:textId="77777777" w:rsidR="000D2CAB" w:rsidRDefault="000D2CAB">
      <w:pPr>
        <w:spacing w:after="0"/>
      </w:pPr>
      <w:r>
        <w:separator/>
      </w:r>
    </w:p>
  </w:footnote>
  <w:footnote w:type="continuationSeparator" w:id="0">
    <w:p w14:paraId="1E5AEB67" w14:textId="77777777" w:rsidR="000D2CAB" w:rsidRDefault="000D2C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872220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686517581">
    <w:abstractNumId w:val="15"/>
  </w:num>
  <w:num w:numId="3" w16cid:durableId="1711105421">
    <w:abstractNumId w:val="10"/>
  </w:num>
  <w:num w:numId="4" w16cid:durableId="1696734435">
    <w:abstractNumId w:val="3"/>
  </w:num>
  <w:num w:numId="5" w16cid:durableId="1185096274">
    <w:abstractNumId w:val="8"/>
  </w:num>
  <w:num w:numId="6" w16cid:durableId="2118208224">
    <w:abstractNumId w:val="7"/>
  </w:num>
  <w:num w:numId="7" w16cid:durableId="1596212597">
    <w:abstractNumId w:val="9"/>
  </w:num>
  <w:num w:numId="8" w16cid:durableId="1616012906">
    <w:abstractNumId w:val="13"/>
  </w:num>
  <w:num w:numId="9" w16cid:durableId="1841308894">
    <w:abstractNumId w:val="1"/>
  </w:num>
  <w:num w:numId="10" w16cid:durableId="257175496">
    <w:abstractNumId w:val="5"/>
  </w:num>
  <w:num w:numId="11" w16cid:durableId="870269152">
    <w:abstractNumId w:val="4"/>
  </w:num>
  <w:num w:numId="12" w16cid:durableId="657921333">
    <w:abstractNumId w:val="11"/>
  </w:num>
  <w:num w:numId="13" w16cid:durableId="1504007042">
    <w:abstractNumId w:val="12"/>
  </w:num>
  <w:num w:numId="14" w16cid:durableId="1899394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3834014">
    <w:abstractNumId w:val="2"/>
  </w:num>
  <w:num w:numId="16" w16cid:durableId="235941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B2Car">
    <w:name w:val="B2 Car"/>
    <w:basedOn w:val="DefaultParagraphFont"/>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0128CE-68DA-4692-816A-1C41A833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10</Pages>
  <Words>3931</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Sherif Elazzouni</cp:lastModifiedBy>
  <cp:revision>27</cp:revision>
  <cp:lastPrinted>2021-08-12T09:51:00Z</cp:lastPrinted>
  <dcterms:created xsi:type="dcterms:W3CDTF">2022-08-22T16:42:00Z</dcterms:created>
  <dcterms:modified xsi:type="dcterms:W3CDTF">2022-08-23T00:49:00Z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