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proofErr w:type="gramStart"/>
      <w:r>
        <w:rPr>
          <w:rFonts w:eastAsia="SimSun" w:cs="Arial"/>
          <w:b w:val="0"/>
          <w:sz w:val="22"/>
          <w:szCs w:val="20"/>
          <w:lang w:eastAsia="zh-CN"/>
        </w:rPr>
        <w:t xml:space="preserve">   </w:t>
      </w:r>
      <w:r w:rsidRPr="0059274D">
        <w:rPr>
          <w:rFonts w:eastAsia="SimSun" w:cs="Arial"/>
          <w:b w:val="0"/>
          <w:sz w:val="22"/>
          <w:szCs w:val="20"/>
          <w:lang w:eastAsia="zh-CN"/>
        </w:rPr>
        <w:t>[</w:t>
      </w:r>
      <w:proofErr w:type="gramEnd"/>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w:t>
      </w:r>
      <w:proofErr w:type="gramStart"/>
      <w:r w:rsidRPr="0059274D">
        <w:rPr>
          <w:lang w:val="en-US"/>
        </w:rPr>
        <w:t>108][</w:t>
      </w:r>
      <w:proofErr w:type="gramEnd"/>
      <w:r w:rsidRPr="0059274D">
        <w:rPr>
          <w:lang w:val="en-US"/>
        </w:rPr>
        <w:t>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SimSun"/>
                <w:bCs/>
                <w:lang w:eastAsia="zh-CN"/>
              </w:rPr>
            </w:pPr>
            <w:r>
              <w:rPr>
                <w:rFonts w:eastAsia="SimSun"/>
                <w:bCs/>
                <w:lang w:eastAsia="zh-CN"/>
              </w:rPr>
              <w:t>MediaTek</w:t>
            </w:r>
          </w:p>
        </w:tc>
        <w:tc>
          <w:tcPr>
            <w:tcW w:w="2694" w:type="dxa"/>
          </w:tcPr>
          <w:p w14:paraId="1F62F6B0" w14:textId="59898B7A" w:rsidR="007C6DEC" w:rsidRPr="00D41F8C" w:rsidRDefault="00360876" w:rsidP="00AB618D">
            <w:pPr>
              <w:spacing w:after="0"/>
              <w:jc w:val="center"/>
              <w:rPr>
                <w:rFonts w:eastAsia="SimSun"/>
                <w:bCs/>
                <w:lang w:eastAsia="zh-CN"/>
              </w:rPr>
            </w:pPr>
            <w:r>
              <w:rPr>
                <w:rFonts w:eastAsia="SimSun"/>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SimSun"/>
                <w:bCs/>
                <w:lang w:eastAsia="zh-CN"/>
              </w:rPr>
            </w:pPr>
            <w:r>
              <w:rPr>
                <w:rFonts w:eastAsia="SimSun"/>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77777777" w:rsidR="007C6DEC" w:rsidRPr="00D41F8C" w:rsidRDefault="007C6DEC" w:rsidP="00AB618D">
            <w:pPr>
              <w:spacing w:after="0"/>
              <w:jc w:val="center"/>
              <w:rPr>
                <w:rFonts w:eastAsia="SimSun"/>
                <w:bCs/>
                <w:lang w:eastAsia="zh-CN"/>
              </w:rPr>
            </w:pPr>
          </w:p>
        </w:tc>
        <w:tc>
          <w:tcPr>
            <w:tcW w:w="2694" w:type="dxa"/>
          </w:tcPr>
          <w:p w14:paraId="038DE17F"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75106C52" w14:textId="77777777" w:rsidR="007C6DEC" w:rsidRPr="00D41F8C" w:rsidRDefault="007C6DEC" w:rsidP="00AB618D">
            <w:pPr>
              <w:spacing w:after="0"/>
              <w:jc w:val="center"/>
              <w:rPr>
                <w:rFonts w:eastAsia="SimSun"/>
                <w:bCs/>
                <w:lang w:eastAsia="zh-CN"/>
              </w:rPr>
            </w:pPr>
          </w:p>
        </w:tc>
      </w:tr>
      <w:tr w:rsidR="007C6DEC" w:rsidRPr="00D41F8C" w14:paraId="52FAAE1A" w14:textId="77777777" w:rsidTr="00AB618D">
        <w:trPr>
          <w:trHeight w:val="127"/>
        </w:trPr>
        <w:tc>
          <w:tcPr>
            <w:tcW w:w="2376" w:type="dxa"/>
            <w:shd w:val="clear" w:color="auto" w:fill="auto"/>
          </w:tcPr>
          <w:p w14:paraId="51D65339" w14:textId="77777777" w:rsidR="007C6DEC" w:rsidRPr="00D41F8C" w:rsidRDefault="007C6DEC" w:rsidP="00AB618D">
            <w:pPr>
              <w:spacing w:after="0"/>
              <w:jc w:val="center"/>
              <w:rPr>
                <w:rFonts w:eastAsia="SimSun"/>
                <w:bCs/>
                <w:lang w:eastAsia="zh-CN"/>
              </w:rPr>
            </w:pPr>
          </w:p>
        </w:tc>
        <w:tc>
          <w:tcPr>
            <w:tcW w:w="2694" w:type="dxa"/>
          </w:tcPr>
          <w:p w14:paraId="26439D28"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AF0CD25" w14:textId="77777777" w:rsidR="007C6DEC" w:rsidRPr="00D41F8C" w:rsidRDefault="007C6DEC" w:rsidP="00AB618D">
            <w:pPr>
              <w:spacing w:after="0"/>
              <w:jc w:val="center"/>
              <w:rPr>
                <w:rFonts w:eastAsia="SimSun"/>
                <w:bCs/>
                <w:lang w:eastAsia="zh-CN"/>
              </w:rPr>
            </w:pPr>
          </w:p>
        </w:tc>
      </w:tr>
      <w:tr w:rsidR="007C6DEC" w:rsidRPr="00D41F8C" w14:paraId="559B8D08" w14:textId="77777777" w:rsidTr="00AB618D">
        <w:trPr>
          <w:trHeight w:val="127"/>
        </w:trPr>
        <w:tc>
          <w:tcPr>
            <w:tcW w:w="2376" w:type="dxa"/>
            <w:shd w:val="clear" w:color="auto" w:fill="auto"/>
          </w:tcPr>
          <w:p w14:paraId="75F5F4FB" w14:textId="77777777" w:rsidR="007C6DEC" w:rsidRPr="00D41F8C" w:rsidRDefault="007C6DEC" w:rsidP="00AB618D">
            <w:pPr>
              <w:spacing w:after="0"/>
              <w:jc w:val="center"/>
              <w:rPr>
                <w:rFonts w:eastAsia="SimSun"/>
                <w:bCs/>
                <w:lang w:eastAsia="zh-CN"/>
              </w:rPr>
            </w:pPr>
          </w:p>
        </w:tc>
        <w:tc>
          <w:tcPr>
            <w:tcW w:w="2694" w:type="dxa"/>
          </w:tcPr>
          <w:p w14:paraId="77C443B5"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3F6660C7" w14:textId="77777777" w:rsidR="007C6DEC" w:rsidRPr="00D41F8C" w:rsidRDefault="007C6DEC" w:rsidP="00AB618D">
            <w:pPr>
              <w:spacing w:after="0"/>
              <w:jc w:val="center"/>
              <w:rPr>
                <w:rFonts w:eastAsia="SimSun"/>
                <w:bCs/>
                <w:lang w:eastAsia="zh-CN"/>
              </w:rPr>
            </w:pPr>
          </w:p>
        </w:tc>
      </w:tr>
      <w:tr w:rsidR="007C6DEC" w:rsidRPr="00D41F8C" w14:paraId="2E7D7CE3" w14:textId="77777777" w:rsidTr="00AB618D">
        <w:trPr>
          <w:trHeight w:val="127"/>
        </w:trPr>
        <w:tc>
          <w:tcPr>
            <w:tcW w:w="2376" w:type="dxa"/>
            <w:shd w:val="clear" w:color="auto" w:fill="auto"/>
          </w:tcPr>
          <w:p w14:paraId="4B7E4479" w14:textId="77777777" w:rsidR="007C6DEC" w:rsidRPr="00D41F8C" w:rsidRDefault="007C6DEC" w:rsidP="00AB618D">
            <w:pPr>
              <w:spacing w:after="0"/>
              <w:jc w:val="center"/>
              <w:rPr>
                <w:rFonts w:eastAsia="SimSun"/>
                <w:bCs/>
                <w:lang w:eastAsia="zh-CN"/>
              </w:rPr>
            </w:pPr>
          </w:p>
        </w:tc>
        <w:tc>
          <w:tcPr>
            <w:tcW w:w="2694" w:type="dxa"/>
          </w:tcPr>
          <w:p w14:paraId="4615A442"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74B4AB3" w14:textId="77777777" w:rsidR="007C6DEC" w:rsidRPr="00D41F8C" w:rsidRDefault="007C6DEC" w:rsidP="00AB618D">
            <w:pPr>
              <w:spacing w:after="0"/>
              <w:jc w:val="center"/>
              <w:rPr>
                <w:rFonts w:eastAsia="SimSun"/>
                <w:bCs/>
                <w:lang w:eastAsia="zh-CN"/>
              </w:rPr>
            </w:pP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SimSun"/>
                <w:bCs/>
                <w:lang w:eastAsia="zh-CN"/>
              </w:rPr>
            </w:pPr>
          </w:p>
        </w:tc>
        <w:tc>
          <w:tcPr>
            <w:tcW w:w="2694" w:type="dxa"/>
          </w:tcPr>
          <w:p w14:paraId="1482596C"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SimSun"/>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SimSun"/>
                <w:bCs/>
                <w:lang w:eastAsia="zh-CN"/>
              </w:rPr>
            </w:pPr>
          </w:p>
        </w:tc>
        <w:tc>
          <w:tcPr>
            <w:tcW w:w="2694" w:type="dxa"/>
          </w:tcPr>
          <w:p w14:paraId="780C3701"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SimSun"/>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SimSun"/>
                <w:bCs/>
                <w:lang w:eastAsia="zh-CN"/>
              </w:rPr>
            </w:pPr>
          </w:p>
        </w:tc>
        <w:tc>
          <w:tcPr>
            <w:tcW w:w="2694" w:type="dxa"/>
          </w:tcPr>
          <w:p w14:paraId="4C3AAEF0"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SimSun"/>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SimSun"/>
                <w:bCs/>
                <w:lang w:eastAsia="zh-CN"/>
              </w:rPr>
            </w:pPr>
          </w:p>
        </w:tc>
        <w:tc>
          <w:tcPr>
            <w:tcW w:w="2694" w:type="dxa"/>
          </w:tcPr>
          <w:p w14:paraId="134223FE"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SimSun"/>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SimSun"/>
                <w:bCs/>
                <w:lang w:eastAsia="zh-CN"/>
              </w:rPr>
            </w:pPr>
          </w:p>
        </w:tc>
        <w:tc>
          <w:tcPr>
            <w:tcW w:w="2694" w:type="dxa"/>
          </w:tcPr>
          <w:p w14:paraId="6FCB26C4"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SimSun"/>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SimSun"/>
                <w:bCs/>
                <w:lang w:eastAsia="zh-CN"/>
              </w:rPr>
            </w:pPr>
          </w:p>
        </w:tc>
        <w:tc>
          <w:tcPr>
            <w:tcW w:w="2694" w:type="dxa"/>
          </w:tcPr>
          <w:p w14:paraId="3004F91D"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w:t>
      </w:r>
      <w:proofErr w:type="gramStart"/>
      <w:r>
        <w:rPr>
          <w:lang w:eastAsia="zh-CN"/>
        </w:rPr>
        <w:t>Moreover</w:t>
      </w:r>
      <w:proofErr w:type="gramEnd"/>
      <w:r>
        <w:rPr>
          <w:lang w:eastAsia="zh-CN"/>
        </w:rPr>
        <w:t xml:space="preserve">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proofErr w:type="gramStart"/>
            <w:r w:rsidRPr="00D61CE1">
              <w:t>an</w:t>
            </w:r>
            <w:proofErr w:type="gramEnd"/>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777777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77777777"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proofErr w:type="gramStart"/>
            <w:r>
              <w:rPr>
                <w:rFonts w:eastAsia="MS Mincho"/>
                <w:bCs/>
                <w:lang w:eastAsia="ja-JP"/>
              </w:rPr>
              <w:lastRenderedPageBreak/>
              <w:t>Also</w:t>
            </w:r>
            <w:proofErr w:type="gramEnd"/>
            <w:r>
              <w:rPr>
                <w:rFonts w:eastAsia="MS Mincho"/>
                <w:bCs/>
                <w:lang w:eastAsia="ja-JP"/>
              </w:rPr>
              <w:t xml:space="preserve"> it is better </w:t>
            </w:r>
            <w:r w:rsidR="00A96DD5">
              <w:rPr>
                <w:rFonts w:eastAsia="MS Mincho"/>
                <w:bCs/>
                <w:lang w:eastAsia="ja-JP"/>
              </w:rPr>
              <w:t>to explain the absent case as in [3] “</w:t>
            </w:r>
            <w:r w:rsidR="00A96DD5" w:rsidRPr="006571B1">
              <w:rPr>
                <w:lang w:eastAsia="zh-CN"/>
              </w:rPr>
              <w:t xml:space="preserve">If this field is not included the </w:t>
            </w:r>
            <w:proofErr w:type="spellStart"/>
            <w:r w:rsidR="00A96DD5" w:rsidRPr="006571B1">
              <w:rPr>
                <w:lang w:eastAsia="zh-CN"/>
              </w:rPr>
              <w:t>the</w:t>
            </w:r>
            <w:proofErr w:type="spellEnd"/>
            <w:r w:rsidR="00A96DD5" w:rsidRPr="006571B1">
              <w:rPr>
                <w:lang w:eastAsia="zh-CN"/>
              </w:rPr>
              <w:t xml:space="preserve"> UE follows legacy </w:t>
            </w:r>
            <w:proofErr w:type="spellStart"/>
            <w:r w:rsidR="00A96DD5" w:rsidRPr="006571B1">
              <w:rPr>
                <w:lang w:eastAsia="zh-CN"/>
              </w:rPr>
              <w:t>behavior</w:t>
            </w:r>
            <w:proofErr w:type="spellEnd"/>
            <w:r w:rsidR="00A96DD5" w:rsidRPr="006571B1">
              <w:rPr>
                <w:lang w:eastAsia="zh-CN"/>
              </w:rPr>
              <w:t xml:space="preserve">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77777777" w:rsidR="007C6DEC" w:rsidRPr="00314C0C" w:rsidRDefault="007C6DEC" w:rsidP="00AB618D">
            <w:pPr>
              <w:spacing w:after="0"/>
              <w:rPr>
                <w:rFonts w:eastAsia="MS Mincho"/>
                <w:bCs/>
                <w:lang w:eastAsia="ja-JP"/>
              </w:rPr>
            </w:pP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77777777" w:rsidR="007C6DEC" w:rsidRPr="00314C0C" w:rsidRDefault="007C6DEC" w:rsidP="00AB618D">
            <w:pPr>
              <w:spacing w:after="0"/>
              <w:rPr>
                <w:rFonts w:eastAsia="MS Mincho"/>
                <w:bCs/>
                <w:lang w:eastAsia="ja-JP"/>
              </w:rPr>
            </w:pPr>
          </w:p>
        </w:tc>
      </w:tr>
      <w:tr w:rsidR="007C6DEC" w:rsidRPr="0019077C" w14:paraId="48A51C6B" w14:textId="77777777" w:rsidTr="00AB618D">
        <w:trPr>
          <w:trHeight w:val="127"/>
        </w:trPr>
        <w:tc>
          <w:tcPr>
            <w:tcW w:w="1215" w:type="dxa"/>
            <w:shd w:val="clear" w:color="auto" w:fill="auto"/>
          </w:tcPr>
          <w:p w14:paraId="50112591" w14:textId="77777777" w:rsidR="007C6DEC" w:rsidRPr="00314C0C" w:rsidRDefault="007C6DEC" w:rsidP="00AB618D">
            <w:pPr>
              <w:spacing w:after="0"/>
              <w:rPr>
                <w:rFonts w:eastAsia="MS Mincho"/>
                <w:bCs/>
                <w:lang w:eastAsia="ja-JP"/>
              </w:rPr>
            </w:pPr>
          </w:p>
        </w:tc>
        <w:tc>
          <w:tcPr>
            <w:tcW w:w="1382" w:type="dxa"/>
          </w:tcPr>
          <w:p w14:paraId="3CDB1D91" w14:textId="77777777" w:rsidR="007C6DEC" w:rsidRPr="00314C0C" w:rsidRDefault="007C6DEC" w:rsidP="00AB618D">
            <w:pPr>
              <w:spacing w:after="0"/>
              <w:rPr>
                <w:rFonts w:eastAsia="MS Mincho"/>
                <w:bCs/>
                <w:lang w:eastAsia="ja-JP"/>
              </w:rPr>
            </w:pPr>
          </w:p>
        </w:tc>
        <w:tc>
          <w:tcPr>
            <w:tcW w:w="6999" w:type="dxa"/>
            <w:shd w:val="clear" w:color="auto" w:fill="auto"/>
          </w:tcPr>
          <w:p w14:paraId="3D0A211D" w14:textId="77777777" w:rsidR="007C6DEC" w:rsidRPr="00314C0C" w:rsidRDefault="007C6DEC" w:rsidP="00AB618D">
            <w:pPr>
              <w:spacing w:after="0"/>
              <w:rPr>
                <w:rFonts w:eastAsia="MS Mincho"/>
                <w:bCs/>
                <w:lang w:eastAsia="ja-JP"/>
              </w:rPr>
            </w:pPr>
          </w:p>
        </w:tc>
      </w:tr>
      <w:tr w:rsidR="007C6DEC" w:rsidRPr="0019077C" w14:paraId="744ACF37" w14:textId="77777777" w:rsidTr="00AB618D">
        <w:trPr>
          <w:trHeight w:val="127"/>
        </w:trPr>
        <w:tc>
          <w:tcPr>
            <w:tcW w:w="1215" w:type="dxa"/>
            <w:shd w:val="clear" w:color="auto" w:fill="auto"/>
          </w:tcPr>
          <w:p w14:paraId="01400845" w14:textId="77777777" w:rsidR="007C6DEC" w:rsidRPr="00314C0C" w:rsidRDefault="007C6DEC" w:rsidP="00AB618D">
            <w:pPr>
              <w:spacing w:after="0"/>
              <w:rPr>
                <w:rFonts w:eastAsia="MS Mincho"/>
                <w:bCs/>
                <w:lang w:eastAsia="ja-JP"/>
              </w:rPr>
            </w:pPr>
          </w:p>
        </w:tc>
        <w:tc>
          <w:tcPr>
            <w:tcW w:w="1382" w:type="dxa"/>
          </w:tcPr>
          <w:p w14:paraId="1089F8EA" w14:textId="77777777" w:rsidR="007C6DEC" w:rsidRPr="00314C0C" w:rsidRDefault="007C6DEC" w:rsidP="00AB618D">
            <w:pPr>
              <w:spacing w:after="0"/>
              <w:rPr>
                <w:rFonts w:eastAsia="MS Mincho"/>
                <w:bCs/>
                <w:lang w:eastAsia="ja-JP"/>
              </w:rPr>
            </w:pPr>
          </w:p>
        </w:tc>
        <w:tc>
          <w:tcPr>
            <w:tcW w:w="6999" w:type="dxa"/>
            <w:shd w:val="clear" w:color="auto" w:fill="auto"/>
          </w:tcPr>
          <w:p w14:paraId="181EE52E" w14:textId="77777777" w:rsidR="007C6DEC" w:rsidRPr="00314C0C" w:rsidRDefault="007C6DEC" w:rsidP="00AB618D">
            <w:pPr>
              <w:spacing w:after="0"/>
              <w:rPr>
                <w:rFonts w:eastAsia="MS Mincho"/>
                <w:bCs/>
                <w:lang w:eastAsia="ja-JP"/>
              </w:rPr>
            </w:pPr>
          </w:p>
        </w:tc>
      </w:tr>
      <w:tr w:rsidR="007C6DEC" w:rsidRPr="0019077C" w14:paraId="215516CC" w14:textId="77777777" w:rsidTr="00AB618D">
        <w:trPr>
          <w:trHeight w:val="132"/>
        </w:trPr>
        <w:tc>
          <w:tcPr>
            <w:tcW w:w="1215" w:type="dxa"/>
            <w:shd w:val="clear" w:color="auto" w:fill="auto"/>
          </w:tcPr>
          <w:p w14:paraId="74FC6DB2" w14:textId="77777777" w:rsidR="007C6DEC" w:rsidRPr="00314C0C" w:rsidRDefault="007C6DEC" w:rsidP="00AB618D">
            <w:pPr>
              <w:spacing w:after="0"/>
              <w:rPr>
                <w:rFonts w:eastAsia="MS Mincho"/>
                <w:bCs/>
                <w:lang w:eastAsia="ja-JP"/>
              </w:rPr>
            </w:pPr>
          </w:p>
        </w:tc>
        <w:tc>
          <w:tcPr>
            <w:tcW w:w="1382" w:type="dxa"/>
          </w:tcPr>
          <w:p w14:paraId="13093FE0" w14:textId="77777777" w:rsidR="007C6DEC" w:rsidRPr="00314C0C" w:rsidRDefault="007C6DEC" w:rsidP="00AB618D">
            <w:pPr>
              <w:spacing w:after="0"/>
              <w:rPr>
                <w:rFonts w:eastAsia="MS Mincho"/>
                <w:bCs/>
                <w:lang w:eastAsia="ja-JP"/>
              </w:rPr>
            </w:pPr>
          </w:p>
        </w:tc>
        <w:tc>
          <w:tcPr>
            <w:tcW w:w="6999" w:type="dxa"/>
            <w:shd w:val="clear" w:color="auto" w:fill="auto"/>
          </w:tcPr>
          <w:p w14:paraId="64E431BD" w14:textId="77777777" w:rsidR="007C6DEC" w:rsidRPr="00314C0C" w:rsidRDefault="007C6DEC" w:rsidP="00AB618D">
            <w:pPr>
              <w:spacing w:after="0"/>
              <w:rPr>
                <w:rFonts w:eastAsia="MS Mincho"/>
                <w:bCs/>
                <w:lang w:eastAsia="ja-JP"/>
              </w:rPr>
            </w:pP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proofErr w:type="gramStart"/>
      <w:r>
        <w:rPr>
          <w:rFonts w:eastAsia="SimSun"/>
          <w:lang w:eastAsia="zh-CN"/>
        </w:rPr>
        <w:t>Proposal :</w:t>
      </w:r>
      <w:proofErr w:type="gramEnd"/>
      <w:r>
        <w:rPr>
          <w:rFonts w:eastAsia="SimSun"/>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w:t>
            </w:r>
            <w:proofErr w:type="gramStart"/>
            <w:r w:rsidR="008441F2">
              <w:rPr>
                <w:rFonts w:eastAsia="MS Mincho"/>
                <w:bCs/>
                <w:lang w:eastAsia="ja-JP"/>
              </w:rPr>
              <w:t>Otherwise</w:t>
            </w:r>
            <w:proofErr w:type="gramEnd"/>
            <w:r w:rsidR="008441F2">
              <w:rPr>
                <w:rFonts w:eastAsia="MS Mincho"/>
                <w:bCs/>
                <w:lang w:eastAsia="ja-JP"/>
              </w:rPr>
              <w:t xml:space="preserv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 xml:space="preserve">For </w:t>
            </w:r>
            <w:proofErr w:type="spellStart"/>
            <w:r w:rsidRPr="00030A3C">
              <w:rPr>
                <w:rFonts w:eastAsia="MS Mincho"/>
                <w:bCs/>
                <w:highlight w:val="yellow"/>
                <w:lang w:val="en-US" w:eastAsia="ja-JP"/>
              </w:rPr>
              <w:t>eMTC</w:t>
            </w:r>
            <w:proofErr w:type="spellEnd"/>
            <w:r w:rsidRPr="00030A3C">
              <w:rPr>
                <w:rFonts w:eastAsia="MS Mincho"/>
                <w:bCs/>
                <w:highlight w:val="yellow"/>
                <w:lang w:val="en-US" w:eastAsia="ja-JP"/>
              </w:rPr>
              <w:t xml:space="preserve">, </w:t>
            </w:r>
            <w:proofErr w:type="gramStart"/>
            <w:r w:rsidRPr="00030A3C">
              <w:rPr>
                <w:rFonts w:eastAsia="MS Mincho"/>
                <w:bCs/>
                <w:highlight w:val="yellow"/>
                <w:lang w:val="en-US" w:eastAsia="ja-JP"/>
              </w:rPr>
              <w:t>Inter</w:t>
            </w:r>
            <w:proofErr w:type="gramEnd"/>
            <w:r w:rsidRPr="00030A3C">
              <w:rPr>
                <w:rFonts w:eastAsia="MS Mincho"/>
                <w:bCs/>
                <w:highlight w:val="yellow"/>
                <w:lang w:val="en-US" w:eastAsia="ja-JP"/>
              </w:rPr>
              <w:t xml:space="preserve">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w:t>
            </w:r>
            <w:proofErr w:type="gramStart"/>
            <w:r w:rsidRPr="00030A3C">
              <w:rPr>
                <w:rFonts w:eastAsia="MS Mincho"/>
                <w:bCs/>
                <w:lang w:val="en-US" w:eastAsia="ja-JP"/>
              </w:rPr>
              <w:t>disallowed, but</w:t>
            </w:r>
            <w:proofErr w:type="gramEnd"/>
            <w:r w:rsidRPr="00030A3C">
              <w:rPr>
                <w:rFonts w:eastAsia="MS Mincho"/>
                <w:bCs/>
                <w:lang w:val="en-US" w:eastAsia="ja-JP"/>
              </w:rPr>
              <w:t xml:space="preserve">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bl>
    <w:p w14:paraId="419D9899" w14:textId="77777777" w:rsidR="007C6DEC" w:rsidRDefault="007C6DEC"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 xml:space="preserve">Following proposals are </w:t>
      </w:r>
      <w:proofErr w:type="spellStart"/>
      <w:r>
        <w:rPr>
          <w:rFonts w:eastAsia="SimSun"/>
          <w:lang w:eastAsia="zh-CN"/>
        </w:rPr>
        <w:t>maded</w:t>
      </w:r>
      <w:proofErr w:type="spellEnd"/>
      <w:r>
        <w:rPr>
          <w:rFonts w:eastAsia="SimSun"/>
          <w:lang w:eastAsia="zh-CN"/>
        </w:rPr>
        <w:t xml:space="preserve"> in [5] to further clarify the GNSS support capability for IoT-NTN.</w:t>
      </w:r>
    </w:p>
    <w:p w14:paraId="56F3D00A" w14:textId="77777777" w:rsidR="007C6DEC" w:rsidRPr="00E96A38" w:rsidRDefault="00D34BC5" w:rsidP="007C6DEC">
      <w:pPr>
        <w:pStyle w:val="TableofFigures"/>
        <w:numPr>
          <w:ilvl w:val="0"/>
          <w:numId w:val="5"/>
        </w:numPr>
        <w:tabs>
          <w:tab w:val="right" w:leader="dot" w:pos="9629"/>
        </w:tabs>
        <w:jc w:val="left"/>
        <w:rPr>
          <w:rFonts w:eastAsia="SimSun"/>
          <w:b w:val="0"/>
          <w:lang w:eastAsia="zh-CN"/>
        </w:rPr>
      </w:pPr>
      <w:hyperlink w:anchor="_Toc111016905" w:history="1">
        <w:r w:rsidR="007C6DEC" w:rsidRPr="00E96A38">
          <w:rPr>
            <w:rFonts w:eastAsia="SimSun"/>
            <w:b w:val="0"/>
            <w:lang w:eastAsia="zh-CN"/>
          </w:rPr>
          <w:t xml:space="preserve">Proposal </w:t>
        </w:r>
        <w:proofErr w:type="gramStart"/>
        <w:r w:rsidR="007C6DEC" w:rsidRPr="00E96A38">
          <w:rPr>
            <w:rFonts w:eastAsia="SimSun"/>
            <w:b w:val="0"/>
            <w:lang w:eastAsia="zh-CN"/>
          </w:rPr>
          <w:t>1</w:t>
        </w:r>
        <w:r w:rsidR="007C6DEC">
          <w:rPr>
            <w:rFonts w:eastAsia="SimSun"/>
            <w:b w:val="0"/>
            <w:lang w:eastAsia="zh-CN"/>
          </w:rPr>
          <w:t>:</w:t>
        </w:r>
        <w:r w:rsidR="007C6DEC" w:rsidRPr="00E96A38">
          <w:rPr>
            <w:rFonts w:eastAsia="SimSun"/>
            <w:b w:val="0"/>
            <w:lang w:eastAsia="zh-CN"/>
          </w:rPr>
          <w:t>Modify</w:t>
        </w:r>
        <w:proofErr w:type="gramEnd"/>
        <w:r w:rsidR="007C6DEC" w:rsidRPr="00E96A38">
          <w:rPr>
            <w:rFonts w:eastAsia="SimSun"/>
            <w:b w:val="0"/>
            <w:lang w:eastAsia="zh-CN"/>
          </w:rPr>
          <w:t xml:space="preserve"> the description of </w:t>
        </w:r>
        <w:proofErr w:type="spellStart"/>
        <w:r w:rsidR="007C6DEC" w:rsidRPr="00E96A38">
          <w:rPr>
            <w:rFonts w:eastAsia="SimSun"/>
            <w:b w:val="0"/>
            <w:lang w:eastAsia="zh-CN"/>
          </w:rPr>
          <w:t>standaloneGNSS</w:t>
        </w:r>
        <w:proofErr w:type="spellEnd"/>
        <w:r w:rsidR="007C6DEC" w:rsidRPr="00E96A38">
          <w:rPr>
            <w:rFonts w:eastAsia="SimSun"/>
            <w:b w:val="0"/>
            <w:lang w:eastAsia="zh-CN"/>
          </w:rPr>
          <w:t>-Location to include IoT NTN use.</w:t>
        </w:r>
      </w:hyperlink>
    </w:p>
    <w:p w14:paraId="6281039F" w14:textId="77777777" w:rsidR="007C6DEC" w:rsidRPr="00E96A38" w:rsidRDefault="00D34BC5" w:rsidP="007C6DEC">
      <w:pPr>
        <w:pStyle w:val="TableofFigures"/>
        <w:numPr>
          <w:ilvl w:val="0"/>
          <w:numId w:val="5"/>
        </w:numPr>
        <w:tabs>
          <w:tab w:val="right" w:leader="dot" w:pos="9629"/>
        </w:tabs>
        <w:jc w:val="left"/>
        <w:rPr>
          <w:rFonts w:eastAsia="SimSun"/>
          <w:b w:val="0"/>
          <w:lang w:eastAsia="zh-CN"/>
        </w:rPr>
      </w:pPr>
      <w:hyperlink w:anchor="_Toc111016906" w:history="1">
        <w:r w:rsidR="007C6DEC" w:rsidRPr="00E96A38">
          <w:rPr>
            <w:rFonts w:eastAsia="SimSun"/>
            <w:b w:val="0"/>
            <w:lang w:eastAsia="zh-CN"/>
          </w:rPr>
          <w:t xml:space="preserve">Proposal </w:t>
        </w:r>
        <w:proofErr w:type="gramStart"/>
        <w:r w:rsidR="007C6DEC" w:rsidRPr="00E96A38">
          <w:rPr>
            <w:rFonts w:eastAsia="SimSun"/>
            <w:b w:val="0"/>
            <w:lang w:eastAsia="zh-CN"/>
          </w:rPr>
          <w:t>2</w:t>
        </w:r>
        <w:r w:rsidR="007C6DEC">
          <w:rPr>
            <w:rFonts w:eastAsia="SimSun"/>
            <w:b w:val="0"/>
            <w:lang w:eastAsia="zh-CN"/>
          </w:rPr>
          <w:t>:</w:t>
        </w:r>
        <w:r w:rsidR="007C6DEC" w:rsidRPr="00E96A38">
          <w:rPr>
            <w:rFonts w:eastAsia="SimSun"/>
            <w:b w:val="0"/>
            <w:lang w:eastAsia="zh-CN"/>
          </w:rPr>
          <w:t>Clarify</w:t>
        </w:r>
        <w:proofErr w:type="gramEnd"/>
        <w:r w:rsidR="007C6DEC" w:rsidRPr="00E96A38">
          <w:rPr>
            <w:rFonts w:eastAsia="SimSun"/>
            <w:b w:val="0"/>
            <w:lang w:eastAsia="zh-CN"/>
          </w:rPr>
          <w:t xml:space="preserve"> if GNSS capability for NB-IoT is implicit with the indication of ntn-Connectivity-EPC-r17.</w:t>
        </w:r>
      </w:hyperlink>
    </w:p>
    <w:p w14:paraId="0A74CB7F" w14:textId="77777777" w:rsidR="007C6DEC" w:rsidRPr="00E96A38" w:rsidRDefault="00D34BC5" w:rsidP="007C6DEC">
      <w:pPr>
        <w:pStyle w:val="TableofFigures"/>
        <w:numPr>
          <w:ilvl w:val="0"/>
          <w:numId w:val="5"/>
        </w:numPr>
        <w:tabs>
          <w:tab w:val="right" w:leader="dot" w:pos="9629"/>
        </w:tabs>
        <w:jc w:val="left"/>
        <w:rPr>
          <w:rFonts w:eastAsia="SimSun"/>
          <w:b w:val="0"/>
          <w:lang w:eastAsia="zh-CN"/>
        </w:rPr>
      </w:pPr>
      <w:hyperlink w:anchor="_Toc111016907" w:history="1">
        <w:r w:rsidR="007C6DEC" w:rsidRPr="00E96A38">
          <w:rPr>
            <w:rFonts w:eastAsia="SimSun"/>
            <w:b w:val="0"/>
            <w:lang w:eastAsia="zh-CN"/>
          </w:rPr>
          <w:t>Proposal 3</w:t>
        </w:r>
        <w:r w:rsidR="007C6DEC">
          <w:rPr>
            <w:rFonts w:eastAsia="SimSun"/>
            <w:b w:val="0"/>
            <w:lang w:eastAsia="zh-CN"/>
          </w:rPr>
          <w:t xml:space="preserve"> </w:t>
        </w:r>
        <w:r w:rsidR="007C6DEC"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w:t>
            </w:r>
            <w:proofErr w:type="spellStart"/>
            <w:r w:rsidR="00BA6B5E">
              <w:rPr>
                <w:rFonts w:eastAsia="MS Mincho"/>
                <w:bCs/>
                <w:lang w:eastAsia="ja-JP"/>
              </w:rPr>
              <w:t>eNB</w:t>
            </w:r>
            <w:proofErr w:type="spellEnd"/>
            <w:r w:rsidR="00BA6B5E">
              <w:rPr>
                <w:rFonts w:eastAsia="MS Mincho"/>
                <w:bCs/>
                <w:lang w:eastAsia="ja-JP"/>
              </w:rPr>
              <w:t>.</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lastRenderedPageBreak/>
              <w:t xml:space="preserve">In NR and </w:t>
            </w:r>
            <w:proofErr w:type="spellStart"/>
            <w:r>
              <w:rPr>
                <w:rFonts w:eastAsia="MS Mincho"/>
                <w:bCs/>
                <w:lang w:eastAsia="ja-JP"/>
              </w:rPr>
              <w:t>eMTC</w:t>
            </w:r>
            <w:proofErr w:type="spellEnd"/>
            <w:r>
              <w:rPr>
                <w:rFonts w:eastAsia="MS Mincho"/>
                <w:bCs/>
                <w:lang w:eastAsia="ja-JP"/>
              </w:rPr>
              <w:t>, we have not touched anything</w:t>
            </w:r>
            <w:r w:rsidR="00A52764">
              <w:rPr>
                <w:rFonts w:eastAsia="MS Mincho"/>
                <w:bCs/>
                <w:lang w:eastAsia="ja-JP"/>
              </w:rPr>
              <w:t xml:space="preserve"> on </w:t>
            </w:r>
            <w:proofErr w:type="spellStart"/>
            <w:r w:rsidR="00A52764" w:rsidRPr="00A52764">
              <w:rPr>
                <w:rFonts w:eastAsia="MS Mincho"/>
                <w:bCs/>
                <w:lang w:eastAsia="ja-JP"/>
              </w:rPr>
              <w:t>standaloneGNSS</w:t>
            </w:r>
            <w:proofErr w:type="spellEnd"/>
            <w:r w:rsidR="00A52764" w:rsidRPr="00A52764">
              <w:rPr>
                <w:rFonts w:eastAsia="MS Mincho"/>
                <w:bCs/>
                <w:lang w:eastAsia="ja-JP"/>
              </w:rPr>
              <w:t>-Location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Heading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proofErr w:type="spellStart"/>
            <w:r w:rsidRPr="006E7C6C">
              <w:rPr>
                <w:i/>
                <w:iCs/>
              </w:rPr>
              <w:t>ue</w:t>
            </w:r>
            <w:proofErr w:type="spellEnd"/>
            <w:r w:rsidRPr="006E7C6C">
              <w:rPr>
                <w:i/>
                <w:iCs/>
              </w:rPr>
              <w:t>-Category-NB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roofErr w:type="gramStart"/>
            <w:r w:rsidRPr="006E7C6C">
              <w:t>];</w:t>
            </w:r>
            <w:proofErr w:type="gramEnd"/>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roofErr w:type="gramStart"/>
            <w:r w:rsidRPr="006E7C6C">
              <w:t>];</w:t>
            </w:r>
            <w:proofErr w:type="gramEnd"/>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 xml:space="preserve">based on its GNSS </w:t>
            </w:r>
            <w:proofErr w:type="gramStart"/>
            <w:r w:rsidRPr="00ED4200">
              <w:rPr>
                <w:highlight w:val="yellow"/>
              </w:rPr>
              <w:t>measurements</w:t>
            </w:r>
            <w:r w:rsidRPr="006E7C6C">
              <w:t>;</w:t>
            </w:r>
            <w:proofErr w:type="gramEnd"/>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roofErr w:type="gramStart"/>
            <w:r w:rsidRPr="006E7C6C">
              <w:t>];</w:t>
            </w:r>
            <w:proofErr w:type="gramEnd"/>
          </w:p>
          <w:p w14:paraId="53006E57" w14:textId="3B032B7C" w:rsidR="00ED4200" w:rsidRDefault="00ED4200" w:rsidP="00AB618D">
            <w:pPr>
              <w:spacing w:after="0"/>
              <w:rPr>
                <w:rFonts w:eastAsia="MS Mincho"/>
                <w:bCs/>
                <w:lang w:eastAsia="ja-JP"/>
              </w:rPr>
            </w:pPr>
          </w:p>
        </w:tc>
      </w:tr>
    </w:tbl>
    <w:p w14:paraId="650A1890" w14:textId="77777777" w:rsidR="007C6DEC" w:rsidRDefault="007C6DEC"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7B190922" w14:textId="77777777" w:rsidR="007C6DEC" w:rsidRDefault="007C6DEC" w:rsidP="007C6DEC">
      <w:pPr>
        <w:rPr>
          <w:rFonts w:eastAsia="SimSun"/>
          <w:lang w:eastAsia="zh-CN"/>
        </w:rPr>
      </w:pPr>
      <w:r w:rsidRPr="00D50A29">
        <w:rPr>
          <w:rFonts w:eastAsia="SimSun"/>
          <w:highlight w:val="yellow"/>
          <w:lang w:eastAsia="zh-CN"/>
        </w:rPr>
        <w:t>To be completed</w:t>
      </w:r>
      <w:r>
        <w:rPr>
          <w:rFonts w:eastAsia="SimSun"/>
          <w:lang w:eastAsia="zh-CN"/>
        </w:rPr>
        <w:t xml:space="preserve"> based on company views.</w:t>
      </w:r>
    </w:p>
    <w:p w14:paraId="0A805FA8" w14:textId="77777777" w:rsidR="007C6DEC" w:rsidRPr="00042CEA" w:rsidRDefault="007C6DEC" w:rsidP="007C6DEC">
      <w:pPr>
        <w:jc w:val="both"/>
        <w:rPr>
          <w:rFonts w:eastAsia="SimSun"/>
          <w:kern w:val="2"/>
          <w:szCs w:val="22"/>
        </w:rPr>
      </w:pPr>
    </w:p>
    <w:p w14:paraId="79E25EB5" w14:textId="77777777" w:rsidR="007C6DEC" w:rsidRDefault="007C6DEC" w:rsidP="007C6DEC">
      <w:pPr>
        <w:pStyle w:val="Heading1"/>
        <w:rPr>
          <w:lang w:val="en-US"/>
        </w:rPr>
      </w:pPr>
      <w:r>
        <w:rPr>
          <w:lang w:val="en-US"/>
        </w:rPr>
        <w:t>Reference</w:t>
      </w:r>
    </w:p>
    <w:p w14:paraId="7C584C2C" w14:textId="77777777" w:rsidR="007C6DEC" w:rsidRPr="008F34E8" w:rsidRDefault="00D34BC5" w:rsidP="007C6DEC">
      <w:pPr>
        <w:pStyle w:val="ListParagraph"/>
        <w:numPr>
          <w:ilvl w:val="0"/>
          <w:numId w:val="3"/>
        </w:numPr>
        <w:spacing w:before="120" w:after="120"/>
        <w:ind w:firstLineChars="0"/>
        <w:rPr>
          <w:rFonts w:eastAsia="SimSun"/>
          <w:lang w:eastAsia="zh-CN"/>
        </w:rPr>
      </w:pPr>
      <w:hyperlink r:id="rId8" w:tooltip="C:Data3GPPExtractsR2-2207058- Discussion on UE capability on segmented precompensation gap in IoT NTN.doc" w:history="1">
        <w:r w:rsidR="007C6DEC" w:rsidRPr="008F34E8">
          <w:rPr>
            <w:rFonts w:eastAsia="SimSun"/>
            <w:lang w:eastAsia="zh-CN"/>
          </w:rPr>
          <w:t>R2-2207058</w:t>
        </w:r>
      </w:hyperlink>
      <w:r w:rsidR="007C6DEC" w:rsidRPr="008F34E8">
        <w:rPr>
          <w:rFonts w:eastAsia="SimSun"/>
          <w:lang w:eastAsia="zh-CN"/>
        </w:rPr>
        <w:t xml:space="preserve">    Discussion on UE capability on segmented </w:t>
      </w:r>
      <w:proofErr w:type="spellStart"/>
      <w:r w:rsidR="007C6DEC" w:rsidRPr="008F34E8">
        <w:rPr>
          <w:rFonts w:eastAsia="SimSun"/>
          <w:lang w:eastAsia="zh-CN"/>
        </w:rPr>
        <w:t>precompensation</w:t>
      </w:r>
      <w:proofErr w:type="spellEnd"/>
      <w:r w:rsidR="007C6DEC" w:rsidRPr="008F34E8">
        <w:rPr>
          <w:rFonts w:eastAsia="SimSun"/>
          <w:lang w:eastAsia="zh-CN"/>
        </w:rPr>
        <w:t xml:space="preserve"> gap in IoT NTN         OPPO   discussion   Rel-17   </w:t>
      </w:r>
      <w:proofErr w:type="spellStart"/>
      <w:r w:rsidR="007C6DEC" w:rsidRPr="008F34E8">
        <w:rPr>
          <w:rFonts w:eastAsia="SimSun"/>
          <w:lang w:eastAsia="zh-CN"/>
        </w:rPr>
        <w:t>LTE_NBIOT_eMTC_NTN</w:t>
      </w:r>
      <w:proofErr w:type="spellEnd"/>
    </w:p>
    <w:p w14:paraId="626F2F17" w14:textId="77777777" w:rsidR="007C6DEC" w:rsidRPr="008F34E8" w:rsidRDefault="00D34BC5" w:rsidP="007C6DEC">
      <w:pPr>
        <w:pStyle w:val="ListParagraph"/>
        <w:numPr>
          <w:ilvl w:val="0"/>
          <w:numId w:val="3"/>
        </w:numPr>
        <w:spacing w:before="120" w:after="120"/>
        <w:ind w:firstLineChars="0"/>
        <w:rPr>
          <w:rFonts w:eastAsia="SimSun"/>
          <w:lang w:eastAsia="zh-CN"/>
        </w:rPr>
      </w:pPr>
      <w:hyperlink r:id="rId9" w:tooltip="C:Data3GPPExtractsR2-2207307 Add TX gap capability for IoT NTN 36.306.docx" w:history="1">
        <w:r w:rsidR="007C6DEC" w:rsidRPr="008F34E8">
          <w:rPr>
            <w:rFonts w:eastAsia="SimSun"/>
            <w:lang w:eastAsia="zh-CN"/>
          </w:rPr>
          <w:t>R2-2207307</w:t>
        </w:r>
      </w:hyperlink>
      <w:r w:rsidR="007C6DEC" w:rsidRPr="008F34E8">
        <w:rPr>
          <w:rFonts w:eastAsia="SimSun"/>
          <w:lang w:eastAsia="zh-CN"/>
        </w:rPr>
        <w:t xml:space="preserve">    Add TX gap capability for IoT NTN            MediaTek Inc.    CR        Rel-17   </w:t>
      </w:r>
      <w:proofErr w:type="gramStart"/>
      <w:r w:rsidR="007C6DEC" w:rsidRPr="008F34E8">
        <w:rPr>
          <w:rFonts w:eastAsia="SimSun"/>
          <w:lang w:eastAsia="zh-CN"/>
        </w:rPr>
        <w:t>36.306  17.1.0</w:t>
      </w:r>
      <w:proofErr w:type="gramEnd"/>
      <w:r w:rsidR="007C6DEC" w:rsidRPr="008F34E8">
        <w:rPr>
          <w:rFonts w:eastAsia="SimSun"/>
          <w:lang w:eastAsia="zh-CN"/>
        </w:rPr>
        <w:t xml:space="preserve">   1854     -   F          </w:t>
      </w:r>
      <w:proofErr w:type="spellStart"/>
      <w:r w:rsidR="007C6DEC" w:rsidRPr="008F34E8">
        <w:rPr>
          <w:rFonts w:eastAsia="SimSun"/>
          <w:lang w:eastAsia="zh-CN"/>
        </w:rPr>
        <w:t>LTE_NBIOT_eMTC_NTN</w:t>
      </w:r>
      <w:proofErr w:type="spellEnd"/>
      <w:r w:rsidR="007C6DEC" w:rsidRPr="008F34E8">
        <w:rPr>
          <w:rFonts w:eastAsia="SimSun"/>
          <w:lang w:eastAsia="zh-CN"/>
        </w:rPr>
        <w:t>-Core</w:t>
      </w:r>
    </w:p>
    <w:p w14:paraId="5E6E6FFA" w14:textId="77777777" w:rsidR="007C6DEC" w:rsidRPr="008F34E8" w:rsidRDefault="00D34BC5" w:rsidP="007C6DEC">
      <w:pPr>
        <w:pStyle w:val="ListParagraph"/>
        <w:numPr>
          <w:ilvl w:val="0"/>
          <w:numId w:val="3"/>
        </w:numPr>
        <w:spacing w:before="120" w:after="120"/>
        <w:ind w:firstLineChars="0"/>
        <w:rPr>
          <w:rFonts w:eastAsia="SimSun"/>
          <w:lang w:eastAsia="zh-CN"/>
        </w:rPr>
      </w:pPr>
      <w:hyperlink r:id="rId10" w:tooltip="C:Data3GPPExtractsR2-2208044_36306-UE-Capability-correction.docx" w:history="1">
        <w:r w:rsidR="007C6DEC" w:rsidRPr="008F34E8">
          <w:rPr>
            <w:rFonts w:eastAsia="SimSun"/>
            <w:lang w:eastAsia="zh-CN"/>
          </w:rPr>
          <w:t>R2-2208044</w:t>
        </w:r>
      </w:hyperlink>
      <w:r w:rsidR="007C6DEC" w:rsidRPr="008F34E8">
        <w:rPr>
          <w:rFonts w:eastAsia="SimSun"/>
          <w:lang w:eastAsia="zh-CN"/>
        </w:rPr>
        <w:t>    New UE capability for Pre-compensation-gap for IoT-</w:t>
      </w:r>
      <w:proofErr w:type="gramStart"/>
      <w:r w:rsidR="007C6DEC" w:rsidRPr="008F34E8">
        <w:rPr>
          <w:rFonts w:eastAsia="SimSun"/>
          <w:lang w:eastAsia="zh-CN"/>
        </w:rPr>
        <w:t>NTN  Nokia</w:t>
      </w:r>
      <w:proofErr w:type="gramEnd"/>
      <w:r w:rsidR="007C6DEC" w:rsidRPr="008F34E8">
        <w:rPr>
          <w:rFonts w:eastAsia="SimSun"/>
          <w:lang w:eastAsia="zh-CN"/>
        </w:rPr>
        <w:t xml:space="preserve">, Nokia Shanghai Bell        CR        Rel-18            36.306  17.1.0   1855     -           B         </w:t>
      </w:r>
      <w:proofErr w:type="spellStart"/>
      <w:r w:rsidR="007C6DEC" w:rsidRPr="008F34E8">
        <w:rPr>
          <w:rFonts w:eastAsia="SimSun"/>
          <w:lang w:eastAsia="zh-CN"/>
        </w:rPr>
        <w:t>LTE_NBIOT_eMTC_NTN</w:t>
      </w:r>
      <w:proofErr w:type="spellEnd"/>
      <w:r w:rsidR="007C6DEC" w:rsidRPr="008F34E8">
        <w:rPr>
          <w:rFonts w:eastAsia="SimSun"/>
          <w:lang w:eastAsia="zh-CN"/>
        </w:rPr>
        <w:t> </w:t>
      </w:r>
    </w:p>
    <w:p w14:paraId="4DCAB5DE" w14:textId="77777777" w:rsidR="007C6DEC" w:rsidRPr="008F34E8" w:rsidRDefault="00D34BC5" w:rsidP="007C6DEC">
      <w:pPr>
        <w:pStyle w:val="ListParagraph"/>
        <w:numPr>
          <w:ilvl w:val="0"/>
          <w:numId w:val="3"/>
        </w:numPr>
        <w:spacing w:before="120" w:after="120"/>
        <w:ind w:firstLineChars="0"/>
        <w:rPr>
          <w:rFonts w:eastAsia="SimSun"/>
          <w:lang w:eastAsia="zh-CN"/>
        </w:rPr>
      </w:pPr>
      <w:hyperlink r:id="rId11" w:tooltip="C:Data3GPPExtracts36331_CR4841_(Rel-17)_R2-2207352 TN support indication.docx" w:history="1">
        <w:r w:rsidR="007C6DEC" w:rsidRPr="008F34E8">
          <w:rPr>
            <w:rFonts w:eastAsia="SimSun"/>
            <w:lang w:eastAsia="zh-CN"/>
          </w:rPr>
          <w:t>R2-2207352</w:t>
        </w:r>
      </w:hyperlink>
      <w:r w:rsidR="007C6DEC" w:rsidRPr="008F34E8">
        <w:rPr>
          <w:rFonts w:eastAsia="SimSun"/>
          <w:lang w:eastAsia="zh-CN"/>
        </w:rPr>
        <w:t xml:space="preserve">    Reporting the support of TN bands to NTN            Qualcomm Incorporated CR        Rel-17   </w:t>
      </w:r>
      <w:proofErr w:type="gramStart"/>
      <w:r w:rsidR="007C6DEC" w:rsidRPr="008F34E8">
        <w:rPr>
          <w:rFonts w:eastAsia="SimSun"/>
          <w:lang w:eastAsia="zh-CN"/>
        </w:rPr>
        <w:t>36.331  17.1.0</w:t>
      </w:r>
      <w:proofErr w:type="gramEnd"/>
      <w:r w:rsidR="007C6DEC" w:rsidRPr="008F34E8">
        <w:rPr>
          <w:rFonts w:eastAsia="SimSun"/>
          <w:lang w:eastAsia="zh-CN"/>
        </w:rPr>
        <w:t xml:space="preserve">   4841     -           F          </w:t>
      </w:r>
      <w:proofErr w:type="spellStart"/>
      <w:r w:rsidR="007C6DEC" w:rsidRPr="008F34E8">
        <w:rPr>
          <w:rFonts w:eastAsia="SimSun"/>
          <w:lang w:eastAsia="zh-CN"/>
        </w:rPr>
        <w:t>LTE_NBIOT_eMTC_NTN</w:t>
      </w:r>
      <w:proofErr w:type="spellEnd"/>
    </w:p>
    <w:p w14:paraId="74AFDCA3" w14:textId="77777777" w:rsidR="007C6DEC" w:rsidRPr="008F34E8" w:rsidRDefault="00D34BC5" w:rsidP="007C6DEC">
      <w:pPr>
        <w:pStyle w:val="ListParagraph"/>
        <w:numPr>
          <w:ilvl w:val="0"/>
          <w:numId w:val="3"/>
        </w:numPr>
        <w:spacing w:before="120" w:after="120"/>
        <w:ind w:firstLineChars="0"/>
        <w:rPr>
          <w:rFonts w:eastAsia="SimSun"/>
          <w:lang w:eastAsia="zh-CN"/>
        </w:rPr>
      </w:pPr>
      <w:hyperlink r:id="rId12" w:tooltip="C:Data3GPPExtractsR2-2208666 - R17 IoT NTN UE Capabilities corrections.docx" w:history="1">
        <w:r w:rsidR="007C6DEC" w:rsidRPr="008F34E8">
          <w:rPr>
            <w:rFonts w:eastAsia="SimSun"/>
            <w:lang w:eastAsia="zh-CN"/>
          </w:rPr>
          <w:t>R2-2208666</w:t>
        </w:r>
      </w:hyperlink>
      <w:r w:rsidR="007C6DEC"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A343" w14:textId="77777777" w:rsidR="003672F9" w:rsidRDefault="003672F9">
      <w:pPr>
        <w:spacing w:after="0"/>
      </w:pPr>
      <w:r>
        <w:separator/>
      </w:r>
    </w:p>
  </w:endnote>
  <w:endnote w:type="continuationSeparator" w:id="0">
    <w:p w14:paraId="5E6577C3" w14:textId="77777777" w:rsidR="003672F9" w:rsidRDefault="003672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E0F3" w14:textId="77777777" w:rsidR="003672F9" w:rsidRDefault="003672F9">
      <w:pPr>
        <w:spacing w:after="0"/>
      </w:pPr>
      <w:r>
        <w:separator/>
      </w:r>
    </w:p>
  </w:footnote>
  <w:footnote w:type="continuationSeparator" w:id="0">
    <w:p w14:paraId="0A40802E" w14:textId="77777777" w:rsidR="003672F9" w:rsidRDefault="003672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16cid:durableId="1171019979">
    <w:abstractNumId w:val="1"/>
  </w:num>
  <w:num w:numId="2" w16cid:durableId="514854065">
    <w:abstractNumId w:val="4"/>
  </w:num>
  <w:num w:numId="3" w16cid:durableId="1403678863">
    <w:abstractNumId w:val="3"/>
  </w:num>
  <w:num w:numId="4" w16cid:durableId="2112819747">
    <w:abstractNumId w:val="5"/>
  </w:num>
  <w:num w:numId="5" w16cid:durableId="1383091712">
    <w:abstractNumId w:val="2"/>
  </w:num>
  <w:num w:numId="6" w16cid:durableId="15334232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393775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EC"/>
    <w:rsid w:val="00022DA4"/>
    <w:rsid w:val="00030A3C"/>
    <w:rsid w:val="00164C25"/>
    <w:rsid w:val="001A1D86"/>
    <w:rsid w:val="00266CE2"/>
    <w:rsid w:val="00284E12"/>
    <w:rsid w:val="00322653"/>
    <w:rsid w:val="00360876"/>
    <w:rsid w:val="003672F9"/>
    <w:rsid w:val="003A79AC"/>
    <w:rsid w:val="004142B0"/>
    <w:rsid w:val="004422A9"/>
    <w:rsid w:val="00473687"/>
    <w:rsid w:val="00603137"/>
    <w:rsid w:val="006B3C30"/>
    <w:rsid w:val="006C4B50"/>
    <w:rsid w:val="006C552A"/>
    <w:rsid w:val="007C6DEC"/>
    <w:rsid w:val="008441F2"/>
    <w:rsid w:val="00855CB5"/>
    <w:rsid w:val="008D2BDB"/>
    <w:rsid w:val="008E728C"/>
    <w:rsid w:val="008F553D"/>
    <w:rsid w:val="00A52764"/>
    <w:rsid w:val="00A96DD5"/>
    <w:rsid w:val="00AD5B23"/>
    <w:rsid w:val="00B774BA"/>
    <w:rsid w:val="00BA6B5E"/>
    <w:rsid w:val="00C00131"/>
    <w:rsid w:val="00C365F8"/>
    <w:rsid w:val="00D234EE"/>
    <w:rsid w:val="00D343DD"/>
    <w:rsid w:val="00D34BC5"/>
    <w:rsid w:val="00DA119A"/>
    <w:rsid w:val="00DD5255"/>
    <w:rsid w:val="00E94393"/>
    <w:rsid w:val="00ED4200"/>
    <w:rsid w:val="00F85BB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aliases w:val="h5 Char,Heading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 w:type="paragraph" w:customStyle="1" w:styleId="B1">
    <w:name w:val="B1"/>
    <w:basedOn w:val="List"/>
    <w:link w:val="B1Char1"/>
    <w:qFormat/>
    <w:rsid w:val="00ED4200"/>
    <w:pPr>
      <w:ind w:left="568" w:hanging="284"/>
      <w:contextualSpacing w:val="0"/>
    </w:pPr>
    <w:rPr>
      <w:lang w:eastAsia="ja-JP"/>
    </w:rPr>
  </w:style>
  <w:style w:type="paragraph" w:customStyle="1" w:styleId="B2">
    <w:name w:val="B2"/>
    <w:basedOn w:val="List2"/>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ED4200"/>
    <w:pPr>
      <w:ind w:left="360" w:hanging="360"/>
      <w:contextualSpacing/>
    </w:pPr>
  </w:style>
  <w:style w:type="paragraph" w:styleId="List2">
    <w:name w:val="List 2"/>
    <w:basedOn w:val="Normal"/>
    <w:uiPriority w:val="99"/>
    <w:semiHidden/>
    <w:unhideWhenUsed/>
    <w:rsid w:val="00ED4200"/>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1485</Words>
  <Characters>8466</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Qualcomm-Bharat</cp:lastModifiedBy>
  <cp:revision>35</cp:revision>
  <dcterms:created xsi:type="dcterms:W3CDTF">2022-08-19T21:00:00Z</dcterms:created>
  <dcterms:modified xsi:type="dcterms:W3CDTF">2022-08-21T07:26:00Z</dcterms:modified>
</cp:coreProperties>
</file>