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694E0" w14:textId="59335BE8" w:rsidR="008327D8" w:rsidRDefault="003D0F93">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w:t>
      </w:r>
      <w:r w:rsidR="00D67B2A">
        <w:rPr>
          <w:rFonts w:eastAsia="宋体" w:cs="Arial"/>
          <w:b/>
          <w:kern w:val="0"/>
          <w:sz w:val="28"/>
          <w:szCs w:val="28"/>
          <w:lang w:val="en-US" w:eastAsia="en-US"/>
        </w:rPr>
        <w:t>8</w:t>
      </w:r>
      <w:r>
        <w:rPr>
          <w:rFonts w:eastAsia="宋体" w:cs="Arial"/>
          <w:b/>
          <w:kern w:val="0"/>
          <w:sz w:val="28"/>
          <w:szCs w:val="28"/>
          <w:lang w:val="en-US" w:eastAsia="en-US"/>
        </w:rPr>
        <w:t>-e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A32D2B" w:rsidRPr="00A32D2B">
        <w:rPr>
          <w:rFonts w:eastAsia="宋体" w:cs="Arial"/>
          <w:b/>
          <w:kern w:val="0"/>
          <w:sz w:val="28"/>
          <w:szCs w:val="28"/>
          <w:lang w:val="en-US" w:eastAsia="en-US"/>
        </w:rPr>
        <w:t>R2-220</w:t>
      </w:r>
      <w:r w:rsidR="00200DD2">
        <w:rPr>
          <w:rFonts w:eastAsia="宋体"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 xml:space="preserve">Electronic meeting, </w:t>
      </w:r>
      <w:r w:rsidR="00D67B2A">
        <w:rPr>
          <w:rFonts w:eastAsia="宋体" w:cs="Arial"/>
          <w:b/>
          <w:kern w:val="0"/>
          <w:sz w:val="28"/>
          <w:szCs w:val="28"/>
          <w:lang w:val="en-US" w:eastAsia="en-US"/>
        </w:rPr>
        <w:t xml:space="preserve">May </w:t>
      </w:r>
      <w:r w:rsidR="00882713">
        <w:rPr>
          <w:rFonts w:eastAsia="宋体" w:cs="Arial"/>
          <w:b/>
          <w:kern w:val="0"/>
          <w:sz w:val="28"/>
          <w:szCs w:val="28"/>
          <w:lang w:val="en-US" w:eastAsia="en-US"/>
        </w:rPr>
        <w:t>09-20</w:t>
      </w:r>
      <w:r w:rsidR="00D67B2A">
        <w:rPr>
          <w:rFonts w:eastAsia="宋体" w:cs="Arial"/>
          <w:b/>
          <w:kern w:val="0"/>
          <w:sz w:val="28"/>
          <w:szCs w:val="28"/>
          <w:lang w:val="en-US" w:eastAsia="en-US"/>
        </w:rPr>
        <w:t>,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158"/>
        <w:gridCol w:w="4224"/>
        <w:gridCol w:w="3685"/>
        <w:gridCol w:w="4881"/>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The only issue here is the UE need to perform the 5.1.1b twice for both RACH resource verification and RACH resource selection</w:t>
            </w:r>
            <w:r>
              <w:rPr>
                <w:sz w:val="22"/>
                <w:szCs w:val="22"/>
                <w:lang w:val="en-US" w:eastAsia="zh-CN"/>
              </w:rPr>
              <w:t xml:space="preserve">, but since same threshold will </w:t>
            </w:r>
            <w:r>
              <w:rPr>
                <w:sz w:val="22"/>
                <w:szCs w:val="22"/>
                <w:lang w:val="en-US" w:eastAsia="zh-CN"/>
              </w:rPr>
              <w:lastRenderedPageBreak/>
              <w:t xml:space="preserve">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7E4602">
        <w:tc>
          <w:tcPr>
            <w:tcW w:w="1158"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7E4602">
        <w:tc>
          <w:tcPr>
            <w:tcW w:w="1158" w:type="dxa"/>
          </w:tcPr>
          <w:p w14:paraId="5CCE09EC" w14:textId="2AFE9D10" w:rsidR="00394777" w:rsidRDefault="007578FB" w:rsidP="00394777">
            <w:pPr>
              <w:rPr>
                <w:sz w:val="22"/>
                <w:szCs w:val="22"/>
                <w:lang w:eastAsia="zh-CN"/>
              </w:rPr>
            </w:pPr>
            <w:r>
              <w:rPr>
                <w:sz w:val="22"/>
                <w:szCs w:val="22"/>
                <w:lang w:eastAsia="zh-CN"/>
              </w:rPr>
              <w:t>Huawei, HiSilicon</w:t>
            </w:r>
          </w:p>
        </w:tc>
        <w:tc>
          <w:tcPr>
            <w:tcW w:w="4224" w:type="dxa"/>
          </w:tcPr>
          <w:p w14:paraId="675F8DA8" w14:textId="1C8CFDDE" w:rsidR="00394777" w:rsidRDefault="007578FB" w:rsidP="00394777">
            <w:pPr>
              <w:rPr>
                <w:sz w:val="22"/>
                <w:szCs w:val="22"/>
                <w:lang w:eastAsia="zh-CN"/>
              </w:rPr>
            </w:pPr>
            <w:r>
              <w:rPr>
                <w:sz w:val="22"/>
                <w:szCs w:val="22"/>
                <w:lang w:eastAsia="zh-CN"/>
              </w:rPr>
              <w:t xml:space="preserve">We think it is better to have this clear in the specifications and it is ambiguous at the moment. Potentially issue 2 could be solved by UE implementation, but in case it is not, this may lead to </w:t>
            </w:r>
            <w:proofErr w:type="spellStart"/>
            <w:r>
              <w:rPr>
                <w:sz w:val="22"/>
                <w:szCs w:val="22"/>
                <w:lang w:eastAsia="zh-CN"/>
              </w:rPr>
              <w:t>misalignement</w:t>
            </w:r>
            <w:proofErr w:type="spellEnd"/>
            <w:r>
              <w:rPr>
                <w:sz w:val="22"/>
                <w:szCs w:val="22"/>
                <w:lang w:eastAsia="zh-CN"/>
              </w:rPr>
              <w:t xml:space="preserve">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w:t>
            </w:r>
            <w:proofErr w:type="spellStart"/>
            <w:r>
              <w:rPr>
                <w:sz w:val="22"/>
                <w:szCs w:val="22"/>
                <w:lang w:eastAsia="zh-CN"/>
              </w:rPr>
              <w:t>o</w:t>
            </w:r>
            <w:proofErr w:type="spellEnd"/>
            <w:r>
              <w:rPr>
                <w:sz w:val="22"/>
                <w:szCs w:val="22"/>
                <w:lang w:eastAsia="zh-CN"/>
              </w:rPr>
              <w:t xml:space="preserve"> stick to </w:t>
            </w:r>
            <w:r w:rsidRPr="00B411BD">
              <w:rPr>
                <w:sz w:val="22"/>
                <w:szCs w:val="22"/>
                <w:lang w:eastAsia="zh-CN"/>
              </w:rPr>
              <w:t>R2-2205942</w:t>
            </w:r>
            <w:r>
              <w:rPr>
                <w:sz w:val="22"/>
                <w:szCs w:val="22"/>
                <w:lang w:eastAsia="zh-CN"/>
              </w:rPr>
              <w:t>.</w:t>
            </w: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lastRenderedPageBreak/>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158"/>
        <w:gridCol w:w="1814"/>
        <w:gridCol w:w="10915"/>
      </w:tblGrid>
      <w:tr w:rsidR="00596C1D" w14:paraId="594F9A48" w14:textId="77777777" w:rsidTr="00320C94">
        <w:tc>
          <w:tcPr>
            <w:tcW w:w="13887"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7E4602">
        <w:tc>
          <w:tcPr>
            <w:tcW w:w="1158"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7E4602">
        <w:tc>
          <w:tcPr>
            <w:tcW w:w="1158"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7E4602">
        <w:tc>
          <w:tcPr>
            <w:tcW w:w="1158"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7E4602">
        <w:tc>
          <w:tcPr>
            <w:tcW w:w="1158" w:type="dxa"/>
          </w:tcPr>
          <w:p w14:paraId="563D41DB" w14:textId="355D4BE0" w:rsidR="00394777" w:rsidRDefault="004C2C16" w:rsidP="00394777">
            <w:pPr>
              <w:rPr>
                <w:sz w:val="22"/>
                <w:szCs w:val="22"/>
                <w:lang w:eastAsia="zh-CN"/>
              </w:rPr>
            </w:pPr>
            <w:r>
              <w:rPr>
                <w:sz w:val="22"/>
                <w:szCs w:val="22"/>
                <w:lang w:eastAsia="zh-CN"/>
              </w:rPr>
              <w:t>Huawei, HiSilicon</w:t>
            </w:r>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158"/>
        <w:gridCol w:w="1814"/>
        <w:gridCol w:w="1091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lastRenderedPageBreak/>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B775B3">
        <w:tc>
          <w:tcPr>
            <w:tcW w:w="1158"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r>
              <w:rPr>
                <w:sz w:val="22"/>
                <w:szCs w:val="22"/>
                <w:lang w:eastAsia="zh-CN"/>
              </w:rPr>
              <w:t>Ie</w:t>
            </w:r>
            <w:proofErr w:type="spellEnd"/>
            <w:r>
              <w:rPr>
                <w:sz w:val="22"/>
                <w:szCs w:val="22"/>
                <w:lang w:eastAsia="zh-CN"/>
              </w:rPr>
              <w:t>., there should not be any BWP switch performed for the CBRA fallback.</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w:t>
            </w:r>
            <w:proofErr w:type="spellStart"/>
            <w:r>
              <w:rPr>
                <w:sz w:val="22"/>
                <w:szCs w:val="22"/>
                <w:lang w:eastAsia="zh-CN"/>
              </w:rPr>
              <w:t>RedCap</w:t>
            </w:r>
            <w:proofErr w:type="spellEnd"/>
            <w:r>
              <w:rPr>
                <w:sz w:val="22"/>
                <w:szCs w:val="22"/>
                <w:lang w:eastAsia="zh-CN"/>
              </w:rPr>
              <w:t xml:space="preserve"> UE. Hence, if there is no </w:t>
            </w:r>
            <w:proofErr w:type="spellStart"/>
            <w:r>
              <w:rPr>
                <w:sz w:val="22"/>
                <w:szCs w:val="22"/>
                <w:lang w:eastAsia="zh-CN"/>
              </w:rPr>
              <w:t>RedCap</w:t>
            </w:r>
            <w:proofErr w:type="spellEnd"/>
            <w:r>
              <w:rPr>
                <w:sz w:val="22"/>
                <w:szCs w:val="22"/>
                <w:lang w:eastAsia="zh-CN"/>
              </w:rPr>
              <w:t xml:space="preserve"> RACH in the current BWP, the </w:t>
            </w:r>
            <w:proofErr w:type="spellStart"/>
            <w:r>
              <w:rPr>
                <w:sz w:val="22"/>
                <w:szCs w:val="22"/>
                <w:lang w:eastAsia="zh-CN"/>
              </w:rPr>
              <w:t>the</w:t>
            </w:r>
            <w:proofErr w:type="spellEnd"/>
            <w:r>
              <w:rPr>
                <w:sz w:val="22"/>
                <w:szCs w:val="22"/>
                <w:lang w:eastAsia="zh-CN"/>
              </w:rPr>
              <w:t xml:space="preserve"> UE uses the common RACH for CBRA. OTOH, if there is </w:t>
            </w:r>
            <w:proofErr w:type="spellStart"/>
            <w:r>
              <w:rPr>
                <w:sz w:val="22"/>
                <w:szCs w:val="22"/>
                <w:lang w:eastAsia="zh-CN"/>
              </w:rPr>
              <w:t>RedCap</w:t>
            </w:r>
            <w:proofErr w:type="spellEnd"/>
            <w:r>
              <w:rPr>
                <w:sz w:val="22"/>
                <w:szCs w:val="22"/>
                <w:lang w:eastAsia="zh-CN"/>
              </w:rPr>
              <w:t xml:space="preserve">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B775B3">
        <w:tc>
          <w:tcPr>
            <w:tcW w:w="1158" w:type="dxa"/>
          </w:tcPr>
          <w:p w14:paraId="46726333" w14:textId="784A6027" w:rsidR="00394777" w:rsidRDefault="00CE4787" w:rsidP="00394777">
            <w:pPr>
              <w:rPr>
                <w:sz w:val="22"/>
                <w:szCs w:val="22"/>
                <w:lang w:eastAsia="zh-CN"/>
              </w:rPr>
            </w:pPr>
            <w:r>
              <w:rPr>
                <w:sz w:val="22"/>
                <w:szCs w:val="22"/>
                <w:lang w:eastAsia="zh-CN"/>
              </w:rPr>
              <w:t>Huawei, HiSilicon</w:t>
            </w:r>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 xml:space="preserve">It is important to ensure that </w:t>
            </w:r>
            <w:proofErr w:type="spellStart"/>
            <w:r>
              <w:rPr>
                <w:sz w:val="22"/>
                <w:szCs w:val="22"/>
                <w:lang w:eastAsia="zh-CN"/>
              </w:rPr>
              <w:t>RedCap</w:t>
            </w:r>
            <w:proofErr w:type="spellEnd"/>
            <w:r>
              <w:rPr>
                <w:sz w:val="22"/>
                <w:szCs w:val="22"/>
                <w:lang w:eastAsia="zh-CN"/>
              </w:rPr>
              <w:t xml:space="preserve"> UE uses </w:t>
            </w:r>
            <w:proofErr w:type="spellStart"/>
            <w:r>
              <w:rPr>
                <w:sz w:val="22"/>
                <w:szCs w:val="22"/>
                <w:lang w:eastAsia="zh-CN"/>
              </w:rPr>
              <w:t>RedCap</w:t>
            </w:r>
            <w:proofErr w:type="spellEnd"/>
            <w:r>
              <w:rPr>
                <w:sz w:val="22"/>
                <w:szCs w:val="22"/>
                <w:lang w:eastAsia="zh-CN"/>
              </w:rPr>
              <w:t xml:space="preserve">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lastRenderedPageBreak/>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 xml:space="preserve">In case of CFRA, in order to initialize the RACH parameters (such as </w:t>
            </w:r>
            <w:proofErr w:type="spellStart"/>
            <w:r w:rsidRPr="009F0A30">
              <w:rPr>
                <w:rFonts w:ascii="Calibri" w:eastAsia="Times New Roman" w:hAnsi="Calibri" w:cs="Calibri"/>
                <w:b/>
                <w:color w:val="000000"/>
                <w:kern w:val="0"/>
                <w:sz w:val="22"/>
                <w:szCs w:val="22"/>
                <w:lang w:eastAsia="zh-CN"/>
              </w:rPr>
              <w:t>rsrp-ThresholdSSB</w:t>
            </w:r>
            <w:proofErr w:type="spellEnd"/>
            <w:r w:rsidRPr="009F0A30">
              <w:rPr>
                <w:rFonts w:ascii="Calibri" w:eastAsia="Times New Roman" w:hAnsi="Calibri" w:cs="Calibri"/>
                <w:b/>
                <w:color w:val="000000"/>
                <w:kern w:val="0"/>
                <w:sz w:val="22"/>
                <w:szCs w:val="22"/>
                <w:lang w:eastAsia="zh-CN"/>
              </w:rPr>
              <w:t xml:space="preserve"> </w:t>
            </w:r>
            <w:proofErr w:type="spellStart"/>
            <w:r w:rsidRPr="009F0A30">
              <w:rPr>
                <w:rFonts w:ascii="Calibri" w:eastAsia="Times New Roman" w:hAnsi="Calibri" w:cs="Calibri"/>
                <w:b/>
                <w:color w:val="000000"/>
                <w:kern w:val="0"/>
                <w:sz w:val="22"/>
                <w:szCs w:val="22"/>
                <w:lang w:eastAsia="zh-CN"/>
              </w:rPr>
              <w:t>etc</w:t>
            </w:r>
            <w:proofErr w:type="spellEnd"/>
            <w:r w:rsidRPr="009F0A30">
              <w:rPr>
                <w:rFonts w:ascii="Calibri" w:eastAsia="Times New Roman" w:hAnsi="Calibri" w:cs="Calibri"/>
                <w:b/>
                <w:color w:val="000000"/>
                <w:kern w:val="0"/>
                <w:sz w:val="22"/>
                <w:szCs w:val="22"/>
                <w:lang w:eastAsia="zh-CN"/>
              </w:rPr>
              <w:t xml:space="preserve">) and for CBRA </w:t>
            </w:r>
            <w:proofErr w:type="spellStart"/>
            <w:r w:rsidRPr="009F0A30">
              <w:rPr>
                <w:rFonts w:ascii="Calibri" w:eastAsia="Times New Roman" w:hAnsi="Calibri" w:cs="Calibri"/>
                <w:b/>
                <w:color w:val="000000"/>
                <w:kern w:val="0"/>
                <w:sz w:val="22"/>
                <w:szCs w:val="22"/>
                <w:lang w:eastAsia="zh-CN"/>
              </w:rPr>
              <w:t>fallback</w:t>
            </w:r>
            <w:proofErr w:type="spellEnd"/>
            <w:r w:rsidRPr="009F0A30">
              <w:rPr>
                <w:rFonts w:ascii="Calibri" w:eastAsia="Times New Roman" w:hAnsi="Calibri" w:cs="Calibri"/>
                <w:b/>
                <w:color w:val="000000"/>
                <w:kern w:val="0"/>
                <w:sz w:val="22"/>
                <w:szCs w:val="22"/>
                <w:lang w:eastAsia="zh-CN"/>
              </w:rPr>
              <w:t xml:space="preserve"> - UE uses RA parameters of Rel-15 common RACH resource or for </w:t>
            </w:r>
            <w:proofErr w:type="spellStart"/>
            <w:r w:rsidRPr="009F0A30">
              <w:rPr>
                <w:rFonts w:ascii="Calibri" w:eastAsia="Times New Roman" w:hAnsi="Calibri" w:cs="Calibri"/>
                <w:b/>
                <w:color w:val="000000"/>
                <w:kern w:val="0"/>
                <w:sz w:val="22"/>
                <w:szCs w:val="22"/>
                <w:lang w:eastAsia="zh-CN"/>
              </w:rPr>
              <w:t>RedCap</w:t>
            </w:r>
            <w:proofErr w:type="spellEnd"/>
            <w:r w:rsidRPr="009F0A30">
              <w:rPr>
                <w:rFonts w:ascii="Calibri" w:eastAsia="Times New Roman" w:hAnsi="Calibri" w:cs="Calibri"/>
                <w:b/>
                <w:color w:val="000000"/>
                <w:kern w:val="0"/>
                <w:sz w:val="22"/>
                <w:szCs w:val="22"/>
                <w:lang w:eastAsia="zh-CN"/>
              </w:rPr>
              <w:t xml:space="preserve">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bl>
    <w:p w14:paraId="4C644BF8" w14:textId="45A62510"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TableGrid"/>
        <w:tblW w:w="0" w:type="auto"/>
        <w:tblLook w:val="04A0" w:firstRow="1" w:lastRow="0" w:firstColumn="1" w:lastColumn="0" w:noHBand="0" w:noVBand="1"/>
      </w:tblPr>
      <w:tblGrid>
        <w:gridCol w:w="1158"/>
        <w:gridCol w:w="1814"/>
        <w:gridCol w:w="10915"/>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lastRenderedPageBreak/>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B775B3">
        <w:tc>
          <w:tcPr>
            <w:tcW w:w="1158"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B775B3">
        <w:tc>
          <w:tcPr>
            <w:tcW w:w="1158" w:type="dxa"/>
          </w:tcPr>
          <w:p w14:paraId="3C31F9ED" w14:textId="41FD5FD0" w:rsidR="00394777" w:rsidRDefault="00CE4787" w:rsidP="00394777">
            <w:pPr>
              <w:rPr>
                <w:sz w:val="22"/>
                <w:szCs w:val="22"/>
                <w:lang w:eastAsia="zh-CN"/>
              </w:rPr>
            </w:pPr>
            <w:r>
              <w:rPr>
                <w:sz w:val="22"/>
                <w:szCs w:val="22"/>
                <w:lang w:eastAsia="zh-CN"/>
              </w:rPr>
              <w:t>Huawei, HiSilicon</w:t>
            </w:r>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158"/>
        <w:gridCol w:w="1814"/>
        <w:gridCol w:w="10915"/>
      </w:tblGrid>
      <w:tr w:rsidR="00C574FF" w14:paraId="413660A3" w14:textId="77777777" w:rsidTr="00B775B3">
        <w:tc>
          <w:tcPr>
            <w:tcW w:w="13887"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B775B3">
        <w:tc>
          <w:tcPr>
            <w:tcW w:w="1158"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B775B3">
        <w:tc>
          <w:tcPr>
            <w:tcW w:w="1158"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B775B3">
        <w:tc>
          <w:tcPr>
            <w:tcW w:w="1158"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 xml:space="preserve">What error case is this? Obviously the NW may not provide all partitions, and for this we specified the </w:t>
            </w:r>
            <w:r>
              <w:rPr>
                <w:sz w:val="22"/>
                <w:szCs w:val="22"/>
                <w:lang w:eastAsia="zh-CN"/>
              </w:rPr>
              <w:lastRenderedPageBreak/>
              <w:t>prioritization for the selection.</w:t>
            </w:r>
          </w:p>
        </w:tc>
      </w:tr>
      <w:tr w:rsidR="00394777" w14:paraId="5AD9BA47" w14:textId="77777777" w:rsidTr="00B775B3">
        <w:tc>
          <w:tcPr>
            <w:tcW w:w="1158" w:type="dxa"/>
          </w:tcPr>
          <w:p w14:paraId="3EF71D88" w14:textId="536184E9" w:rsidR="00394777" w:rsidRDefault="00CE4787" w:rsidP="00394777">
            <w:pPr>
              <w:rPr>
                <w:sz w:val="22"/>
                <w:szCs w:val="22"/>
                <w:lang w:eastAsia="zh-CN"/>
              </w:rPr>
            </w:pPr>
            <w:r>
              <w:rPr>
                <w:sz w:val="22"/>
                <w:szCs w:val="22"/>
                <w:lang w:eastAsia="zh-CN"/>
              </w:rPr>
              <w:lastRenderedPageBreak/>
              <w:t>Huawei, HiSilicon</w:t>
            </w:r>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158"/>
        <w:gridCol w:w="1814"/>
        <w:gridCol w:w="10915"/>
      </w:tblGrid>
      <w:tr w:rsidR="00655983" w14:paraId="70D5344B" w14:textId="77777777" w:rsidTr="00B775B3">
        <w:tc>
          <w:tcPr>
            <w:tcW w:w="13887"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B775B3">
        <w:tc>
          <w:tcPr>
            <w:tcW w:w="1158"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B775B3">
        <w:tc>
          <w:tcPr>
            <w:tcW w:w="1158"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B775B3">
        <w:tc>
          <w:tcPr>
            <w:tcW w:w="1158"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 xml:space="preserve">Agree </w:t>
            </w:r>
            <w:r>
              <w:rPr>
                <w:sz w:val="22"/>
                <w:szCs w:val="22"/>
                <w:lang w:eastAsia="zh-CN"/>
              </w:rPr>
              <w:lastRenderedPageBreak/>
              <w:t>(proponent)</w:t>
            </w:r>
          </w:p>
        </w:tc>
        <w:tc>
          <w:tcPr>
            <w:tcW w:w="10915" w:type="dxa"/>
          </w:tcPr>
          <w:p w14:paraId="12D84930" w14:textId="77777777" w:rsidR="00394777" w:rsidRDefault="00394777" w:rsidP="00394777">
            <w:pPr>
              <w:rPr>
                <w:sz w:val="22"/>
                <w:szCs w:val="22"/>
                <w:lang w:eastAsia="zh-CN"/>
              </w:rPr>
            </w:pPr>
            <w:r>
              <w:rPr>
                <w:sz w:val="22"/>
                <w:szCs w:val="22"/>
                <w:lang w:eastAsia="zh-CN"/>
              </w:rPr>
              <w:lastRenderedPageBreak/>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lastRenderedPageBreak/>
              <w:t xml:space="preserve">In any case, certain sets of RA resources would need to be determined available for the RA procedure, </w:t>
            </w:r>
            <w:proofErr w:type="spellStart"/>
            <w:r>
              <w:rPr>
                <w:sz w:val="22"/>
                <w:szCs w:val="22"/>
                <w:lang w:eastAsia="zh-CN"/>
              </w:rPr>
              <w:t>ie</w:t>
            </w:r>
            <w:proofErr w:type="spellEnd"/>
            <w:r>
              <w:rPr>
                <w:sz w:val="22"/>
                <w:szCs w:val="22"/>
                <w:lang w:eastAsia="zh-CN"/>
              </w:rPr>
              <w:t>., we cannot just exclude RA resource sets without considering anything as available.</w:t>
            </w:r>
          </w:p>
        </w:tc>
      </w:tr>
      <w:tr w:rsidR="00394777" w14:paraId="713B54A0" w14:textId="77777777" w:rsidTr="00B775B3">
        <w:tc>
          <w:tcPr>
            <w:tcW w:w="1158" w:type="dxa"/>
          </w:tcPr>
          <w:p w14:paraId="45BD4CCC" w14:textId="1B14E9B8" w:rsidR="00394777" w:rsidRDefault="009F404D" w:rsidP="00394777">
            <w:pPr>
              <w:rPr>
                <w:sz w:val="22"/>
                <w:szCs w:val="22"/>
                <w:lang w:eastAsia="zh-CN"/>
              </w:rPr>
            </w:pPr>
            <w:r>
              <w:rPr>
                <w:sz w:val="22"/>
                <w:szCs w:val="22"/>
                <w:lang w:eastAsia="zh-CN"/>
              </w:rPr>
              <w:lastRenderedPageBreak/>
              <w:t>Huawei, HiSilicon</w:t>
            </w:r>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158"/>
        <w:gridCol w:w="1956"/>
        <w:gridCol w:w="10814"/>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E43787">
        <w:tc>
          <w:tcPr>
            <w:tcW w:w="1158"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E43787">
        <w:tc>
          <w:tcPr>
            <w:tcW w:w="1158" w:type="dxa"/>
          </w:tcPr>
          <w:p w14:paraId="4800AA25" w14:textId="40D2DCC6" w:rsidR="00394777" w:rsidRDefault="004C1814" w:rsidP="00394777">
            <w:pPr>
              <w:rPr>
                <w:sz w:val="22"/>
                <w:szCs w:val="22"/>
                <w:lang w:eastAsia="zh-CN"/>
              </w:rPr>
            </w:pPr>
            <w:r>
              <w:rPr>
                <w:sz w:val="22"/>
                <w:szCs w:val="22"/>
                <w:lang w:eastAsia="zh-CN"/>
              </w:rPr>
              <w:t>Huawei, HiSilicon</w:t>
            </w:r>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158"/>
        <w:gridCol w:w="1956"/>
        <w:gridCol w:w="10814"/>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lastRenderedPageBreak/>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B775B3">
        <w:tc>
          <w:tcPr>
            <w:tcW w:w="1158"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B775B3">
        <w:tc>
          <w:tcPr>
            <w:tcW w:w="1158" w:type="dxa"/>
          </w:tcPr>
          <w:p w14:paraId="0151CE47" w14:textId="55822B50" w:rsidR="00394777" w:rsidRDefault="008740B1" w:rsidP="00394777">
            <w:pPr>
              <w:rPr>
                <w:sz w:val="22"/>
                <w:szCs w:val="22"/>
                <w:lang w:eastAsia="zh-CN"/>
              </w:rPr>
            </w:pPr>
            <w:r>
              <w:rPr>
                <w:sz w:val="22"/>
                <w:szCs w:val="22"/>
                <w:lang w:eastAsia="zh-CN"/>
              </w:rPr>
              <w:t>Huawei, HiSilicon</w:t>
            </w:r>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158"/>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B775B3">
        <w:tc>
          <w:tcPr>
            <w:tcW w:w="1158" w:type="dxa"/>
          </w:tcPr>
          <w:p w14:paraId="2CF50F40" w14:textId="468F937E" w:rsidR="00347107" w:rsidRDefault="00347107" w:rsidP="00347107">
            <w:pPr>
              <w:rPr>
                <w:sz w:val="22"/>
                <w:szCs w:val="22"/>
                <w:lang w:eastAsia="zh-CN"/>
              </w:rPr>
            </w:pPr>
            <w:r>
              <w:rPr>
                <w:sz w:val="22"/>
                <w:szCs w:val="22"/>
                <w:lang w:eastAsia="zh-CN"/>
              </w:rPr>
              <w:t>Huawei, HiSilicon</w:t>
            </w:r>
          </w:p>
        </w:tc>
        <w:tc>
          <w:tcPr>
            <w:tcW w:w="1956" w:type="dxa"/>
          </w:tcPr>
          <w:p w14:paraId="5056D63A" w14:textId="242B4C9D" w:rsidR="00347107" w:rsidRDefault="00347107" w:rsidP="00347107">
            <w:pPr>
              <w:rPr>
                <w:sz w:val="22"/>
                <w:szCs w:val="22"/>
                <w:lang w:eastAsia="zh-CN"/>
              </w:rPr>
            </w:pPr>
            <w:r>
              <w:rPr>
                <w:sz w:val="22"/>
                <w:szCs w:val="22"/>
                <w:lang w:eastAsia="zh-CN"/>
              </w:rPr>
              <w:t>OK</w:t>
            </w:r>
            <w:bookmarkStart w:id="6" w:name="_GoBack"/>
            <w:bookmarkEnd w:id="6"/>
          </w:p>
        </w:tc>
        <w:tc>
          <w:tcPr>
            <w:tcW w:w="10814" w:type="dxa"/>
          </w:tcPr>
          <w:p w14:paraId="2E654FF4" w14:textId="77777777" w:rsidR="00347107" w:rsidRDefault="00347107" w:rsidP="0034710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7" w:name="_Toc18413612"/>
      <w:bookmarkStart w:id="8" w:name="_Toc18404543"/>
      <w:bookmarkStart w:id="9" w:name="_Toc18403976"/>
      <w:r>
        <w:rPr>
          <w:rFonts w:cs="Arial"/>
          <w:b w:val="0"/>
          <w:bCs w:val="0"/>
          <w:kern w:val="0"/>
          <w:sz w:val="32"/>
          <w:szCs w:val="36"/>
        </w:rPr>
        <w:t>References</w:t>
      </w:r>
      <w:bookmarkEnd w:id="7"/>
      <w:bookmarkEnd w:id="8"/>
      <w:bookmarkEnd w:id="9"/>
    </w:p>
    <w:bookmarkStart w:id="10"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11"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11"/>
      <w:r>
        <w:tab/>
        <w:t>Correction to RACH procedure with SDT applicability</w:t>
      </w:r>
      <w:r>
        <w:tab/>
        <w:t>Huawei, HiSilicon</w:t>
      </w:r>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042107" w:rsidP="00842F6B">
      <w:pPr>
        <w:pStyle w:val="Doc-title"/>
        <w:numPr>
          <w:ilvl w:val="0"/>
          <w:numId w:val="29"/>
        </w:numPr>
      </w:pPr>
      <w:hyperlink r:id="rId10" w:history="1">
        <w:r w:rsidR="00842F6B" w:rsidRPr="0078385C">
          <w:rPr>
            <w:rStyle w:val="Hyperlink"/>
          </w:rPr>
          <w:t>R2-2205486</w:t>
        </w:r>
      </w:hyperlink>
      <w:r w:rsidR="00842F6B">
        <w:tab/>
        <w:t xml:space="preserve">Correction on fallback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12"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12"/>
      <w:r>
        <w:tab/>
        <w:t>Feature Prioritization for RACH Partitioning</w:t>
      </w:r>
      <w:r>
        <w:tab/>
        <w:t>Ericsson</w:t>
      </w:r>
      <w:r>
        <w:tab/>
        <w:t>discussion</w:t>
      </w:r>
      <w:r>
        <w:tab/>
        <w:t>Rel-17</w:t>
      </w:r>
    </w:p>
    <w:bookmarkStart w:id="13"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13"/>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14"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14"/>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15"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15"/>
      <w:r>
        <w:tab/>
        <w:t>Various corrections to MAC spec for RACH partitioning</w:t>
      </w:r>
      <w:r>
        <w:tab/>
        <w:t>Huawei, HiSilicon</w:t>
      </w:r>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16"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16"/>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10"/>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ABDF6" w14:textId="77777777" w:rsidR="00042107" w:rsidRDefault="00042107">
      <w:pPr>
        <w:spacing w:after="0" w:line="240" w:lineRule="auto"/>
      </w:pPr>
      <w:r>
        <w:separator/>
      </w:r>
    </w:p>
  </w:endnote>
  <w:endnote w:type="continuationSeparator" w:id="0">
    <w:p w14:paraId="180BAD63" w14:textId="77777777" w:rsidR="00042107" w:rsidRDefault="0004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9060101010101"/>
    <w:charset w:val="86"/>
    <w:family w:val="modern"/>
    <w:notTrueType/>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E5AF" w14:textId="77777777" w:rsidR="008327D8" w:rsidRDefault="008327D8">
    <w:pPr>
      <w:pStyle w:val="Footer"/>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E050" w14:textId="77777777" w:rsidR="00042107" w:rsidRDefault="00042107">
      <w:pPr>
        <w:spacing w:after="0" w:line="240" w:lineRule="auto"/>
      </w:pPr>
      <w:r>
        <w:separator/>
      </w:r>
    </w:p>
  </w:footnote>
  <w:footnote w:type="continuationSeparator" w:id="0">
    <w:p w14:paraId="077EE733" w14:textId="77777777" w:rsidR="00042107" w:rsidRDefault="00042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0E42" w14:textId="77777777" w:rsidR="008327D8" w:rsidRDefault="008327D8">
    <w:pPr>
      <w:jc w:val="distribute"/>
      <w:rPr>
        <w:rFonts w:eastAsia="华文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4E98"/>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4FE1"/>
    <w:rsid w:val="008A5B3F"/>
    <w:rsid w:val="008A5E28"/>
    <w:rsid w:val="008B0EAE"/>
    <w:rsid w:val="008B2486"/>
    <w:rsid w:val="008B302A"/>
    <w:rsid w:val="008B4198"/>
    <w:rsid w:val="008B4609"/>
    <w:rsid w:val="008B725C"/>
    <w:rsid w:val="008C1D6D"/>
    <w:rsid w:val="008C3F98"/>
    <w:rsid w:val="008C4144"/>
    <w:rsid w:val="008C594A"/>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566A"/>
    <w:rsid w:val="00B2704A"/>
    <w:rsid w:val="00B306C5"/>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宋体"/>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宋体"/>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宋体"/>
    </w:rPr>
  </w:style>
  <w:style w:type="paragraph" w:styleId="TOC3">
    <w:name w:val="toc 3"/>
    <w:basedOn w:val="Normal"/>
    <w:next w:val="Normal"/>
    <w:uiPriority w:val="39"/>
    <w:qFormat/>
    <w:pPr>
      <w:tabs>
        <w:tab w:val="right" w:leader="dot" w:pos="9241"/>
      </w:tabs>
      <w:ind w:firstLineChars="100" w:firstLine="100"/>
      <w:jc w:val="left"/>
    </w:pPr>
    <w:rPr>
      <w:rFonts w:ascii="宋体"/>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宋体"/>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宋体"/>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宋体"/>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宋体"/>
      <w:sz w:val="18"/>
      <w:szCs w:val="18"/>
    </w:rPr>
  </w:style>
  <w:style w:type="paragraph" w:styleId="TOC6">
    <w:name w:val="toc 6"/>
    <w:basedOn w:val="Normal"/>
    <w:next w:val="Normal"/>
    <w:qFormat/>
    <w:pPr>
      <w:tabs>
        <w:tab w:val="right" w:leader="dot" w:pos="9241"/>
      </w:tabs>
      <w:ind w:firstLineChars="400" w:firstLine="400"/>
      <w:jc w:val="left"/>
    </w:pPr>
    <w:rPr>
      <w:rFonts w:ascii="宋体"/>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宋体"/>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宋体"/>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宋体"/>
      <w:kern w:val="2"/>
      <w:sz w:val="18"/>
      <w:szCs w:val="18"/>
      <w:lang w:val="en-US" w:eastAsia="zh-CN"/>
    </w:rPr>
  </w:style>
  <w:style w:type="paragraph" w:customStyle="1" w:styleId="a6">
    <w:name w:val="示例内容"/>
    <w:qFormat/>
    <w:pPr>
      <w:ind w:firstLineChars="200" w:firstLine="200"/>
    </w:pPr>
    <w:rPr>
      <w:rFonts w:ascii="宋体"/>
      <w:kern w:val="2"/>
      <w:sz w:val="18"/>
      <w:szCs w:val="18"/>
      <w:lang w:val="en-US" w:eastAsia="zh-CN"/>
    </w:rPr>
  </w:style>
  <w:style w:type="paragraph" w:customStyle="1" w:styleId="a7">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宋体"/>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宋体"/>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宋体"/>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宋体"/>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宋体"/>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0">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宋体"/>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3">
    <w:name w:val="二级无"/>
    <w:basedOn w:val="ab"/>
    <w:qFormat/>
    <w:rPr>
      <w:rFonts w:ascii="宋体" w:eastAsia="宋体"/>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宋体"/>
      <w:kern w:val="2"/>
      <w:sz w:val="18"/>
      <w:szCs w:val="18"/>
      <w:lang w:val="en-US" w:eastAsia="zh-CN"/>
    </w:rPr>
  </w:style>
  <w:style w:type="paragraph" w:customStyle="1" w:styleId="afffff0">
    <w:name w:val="附录二级无"/>
    <w:basedOn w:val="af6"/>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rPr>
  </w:style>
  <w:style w:type="paragraph" w:customStyle="1" w:styleId="afffff2">
    <w:name w:val="列项说明数字编号"/>
    <w:qFormat/>
    <w:pPr>
      <w:ind w:leftChars="400" w:left="600" w:hangingChars="200" w:hanging="200"/>
    </w:pPr>
    <w:rPr>
      <w:rFonts w:ascii="宋体"/>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
    <w:name w:val="Unresolved Mention"/>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EBE68-9C99-41D1-B18B-E3783A14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Dawid Koziol</cp:lastModifiedBy>
  <cp:revision>9</cp:revision>
  <cp:lastPrinted>2113-01-01T00:00:00Z</cp:lastPrinted>
  <dcterms:created xsi:type="dcterms:W3CDTF">2022-05-11T13:50:00Z</dcterms:created>
  <dcterms:modified xsi:type="dcterms:W3CDTF">2022-05-11T14:25:00Z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