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w:t>
      </w:r>
      <w:r w:rsidR="009841BA" w:rsidRPr="009841BA">
        <w:rPr>
          <w:rFonts w:ascii="Arial" w:hAnsi="Arial" w:cs="Arial"/>
          <w:b/>
          <w:sz w:val="22"/>
        </w:rPr>
        <w:t>[AT118-e</w:t>
      </w:r>
      <w:proofErr w:type="gramStart"/>
      <w:r w:rsidR="009841BA" w:rsidRPr="009841BA">
        <w:rPr>
          <w:rFonts w:ascii="Arial" w:hAnsi="Arial" w:cs="Arial"/>
          <w:b/>
          <w:sz w:val="22"/>
        </w:rPr>
        <w:t>][</w:t>
      </w:r>
      <w:proofErr w:type="gramEnd"/>
      <w:r w:rsidR="009841BA" w:rsidRPr="009841BA">
        <w:rPr>
          <w:rFonts w:ascii="Arial" w:hAnsi="Arial" w:cs="Arial"/>
          <w:b/>
          <w:sz w:val="22"/>
        </w:rPr>
        <w:t>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2D672BED" w:rsidR="00070B78" w:rsidRDefault="00070B78">
            <w:pPr>
              <w:spacing w:line="276" w:lineRule="auto"/>
              <w:rPr>
                <w:rFonts w:eastAsia="等线"/>
                <w:lang w:eastAsia="zh-CN"/>
              </w:rPr>
            </w:pPr>
          </w:p>
        </w:tc>
        <w:tc>
          <w:tcPr>
            <w:tcW w:w="7224" w:type="dxa"/>
            <w:shd w:val="clear" w:color="auto" w:fill="auto"/>
          </w:tcPr>
          <w:p w14:paraId="23299FA8" w14:textId="50D24328" w:rsidR="00070B78" w:rsidRDefault="00070B78">
            <w:pPr>
              <w:spacing w:line="276" w:lineRule="auto"/>
              <w:rPr>
                <w:rFonts w:eastAsia="等线"/>
                <w:lang w:eastAsia="zh-CN"/>
              </w:rPr>
            </w:pPr>
          </w:p>
        </w:tc>
      </w:tr>
      <w:tr w:rsidR="00070B78" w14:paraId="4C841243" w14:textId="77777777">
        <w:tc>
          <w:tcPr>
            <w:tcW w:w="2405" w:type="dxa"/>
            <w:shd w:val="clear" w:color="auto" w:fill="auto"/>
          </w:tcPr>
          <w:p w14:paraId="1124A205" w14:textId="0C0BDA7F" w:rsidR="00070B78" w:rsidRDefault="00070B78">
            <w:pPr>
              <w:spacing w:line="276" w:lineRule="auto"/>
              <w:rPr>
                <w:rFonts w:eastAsia="等线"/>
                <w:lang w:eastAsia="zh-CN"/>
              </w:rPr>
            </w:pPr>
          </w:p>
        </w:tc>
        <w:tc>
          <w:tcPr>
            <w:tcW w:w="7224" w:type="dxa"/>
            <w:shd w:val="clear" w:color="auto" w:fill="auto"/>
          </w:tcPr>
          <w:p w14:paraId="4568474C" w14:textId="6A0CE721" w:rsidR="00070B78" w:rsidRDefault="00070B78">
            <w:pPr>
              <w:spacing w:line="276" w:lineRule="auto"/>
              <w:rPr>
                <w:rFonts w:eastAsia="等线"/>
                <w:lang w:eastAsia="zh-CN"/>
              </w:rPr>
            </w:pPr>
          </w:p>
        </w:tc>
      </w:tr>
      <w:tr w:rsidR="00070B78" w14:paraId="0631486A" w14:textId="77777777">
        <w:tc>
          <w:tcPr>
            <w:tcW w:w="2405" w:type="dxa"/>
            <w:shd w:val="clear" w:color="auto" w:fill="auto"/>
          </w:tcPr>
          <w:p w14:paraId="01BD8483" w14:textId="081A8149" w:rsidR="00070B78" w:rsidRDefault="00070B78">
            <w:pPr>
              <w:spacing w:line="276" w:lineRule="auto"/>
              <w:rPr>
                <w:rFonts w:eastAsia="MS Mincho"/>
              </w:rPr>
            </w:pPr>
          </w:p>
        </w:tc>
        <w:tc>
          <w:tcPr>
            <w:tcW w:w="7224" w:type="dxa"/>
            <w:shd w:val="clear" w:color="auto" w:fill="auto"/>
          </w:tcPr>
          <w:p w14:paraId="5E9145D8" w14:textId="3DC9F721" w:rsidR="00070B78" w:rsidRDefault="00070B78">
            <w:pPr>
              <w:spacing w:line="276" w:lineRule="auto"/>
              <w:rPr>
                <w:rFonts w:eastAsia="MS Mincho"/>
              </w:rPr>
            </w:pPr>
          </w:p>
        </w:tc>
      </w:tr>
      <w:tr w:rsidR="00070B78" w14:paraId="2D639C25" w14:textId="77777777">
        <w:tc>
          <w:tcPr>
            <w:tcW w:w="2405" w:type="dxa"/>
            <w:shd w:val="clear" w:color="auto" w:fill="auto"/>
          </w:tcPr>
          <w:p w14:paraId="2BB3C5ED" w14:textId="2404516B" w:rsidR="00070B78" w:rsidRDefault="00070B78">
            <w:pPr>
              <w:spacing w:line="276" w:lineRule="auto"/>
              <w:rPr>
                <w:rFonts w:eastAsia="等线"/>
                <w:lang w:eastAsia="zh-CN"/>
              </w:rPr>
            </w:pPr>
          </w:p>
        </w:tc>
        <w:tc>
          <w:tcPr>
            <w:tcW w:w="7224" w:type="dxa"/>
            <w:shd w:val="clear" w:color="auto" w:fill="auto"/>
          </w:tcPr>
          <w:p w14:paraId="2ABCF083" w14:textId="7BDE8E41" w:rsidR="00070B78" w:rsidRDefault="00070B78">
            <w:pPr>
              <w:spacing w:line="276" w:lineRule="auto"/>
              <w:rPr>
                <w:rFonts w:eastAsia="等线"/>
                <w:lang w:eastAsia="zh-CN"/>
              </w:rPr>
            </w:pPr>
          </w:p>
        </w:tc>
      </w:tr>
      <w:tr w:rsidR="00070B78" w14:paraId="69E79B62" w14:textId="77777777">
        <w:tc>
          <w:tcPr>
            <w:tcW w:w="2405" w:type="dxa"/>
            <w:shd w:val="clear" w:color="auto" w:fill="auto"/>
          </w:tcPr>
          <w:p w14:paraId="616A0703" w14:textId="24404C58" w:rsidR="00070B78" w:rsidRDefault="00070B78">
            <w:pPr>
              <w:spacing w:line="276" w:lineRule="auto"/>
              <w:rPr>
                <w:rFonts w:eastAsia="等线"/>
                <w:lang w:eastAsia="zh-CN"/>
              </w:rPr>
            </w:pPr>
          </w:p>
        </w:tc>
        <w:tc>
          <w:tcPr>
            <w:tcW w:w="7224" w:type="dxa"/>
            <w:shd w:val="clear" w:color="auto" w:fill="auto"/>
          </w:tcPr>
          <w:p w14:paraId="3B9BFA8C" w14:textId="54B44ECF" w:rsidR="00070B78" w:rsidRDefault="00070B78">
            <w:pPr>
              <w:spacing w:line="276" w:lineRule="auto"/>
              <w:rPr>
                <w:rFonts w:eastAsia="等线"/>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等线"/>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等线"/>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lastRenderedPageBreak/>
        <w:t>Discussion</w:t>
      </w:r>
    </w:p>
    <w:p w14:paraId="6C2E954C" w14:textId="6DD665CA" w:rsidR="00070B78" w:rsidRDefault="00284E03">
      <w:pPr>
        <w:pStyle w:val="20"/>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等线" w:hAnsi="Arial" w:hint="eastAsia"/>
          <w:szCs w:val="24"/>
          <w:lang w:eastAsia="zh-CN"/>
        </w:rPr>
      </w:pPr>
      <w:r>
        <w:rPr>
          <w:rFonts w:ascii="Arial" w:eastAsia="等线"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9841BA"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Pr="009841BA">
          <w:rPr>
            <w:rFonts w:ascii="Arial" w:eastAsia="MS Mincho" w:hAnsi="Arial"/>
            <w:noProof/>
            <w:color w:val="0000FF"/>
            <w:szCs w:val="24"/>
            <w:u w:val="single"/>
            <w:lang w:eastAsia="en-GB"/>
          </w:rPr>
          <w:t>R2-2205519</w:t>
        </w:r>
      </w:hyperlink>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w:t>
      </w:r>
      <w:proofErr w:type="gramStart"/>
      <w:r w:rsidRPr="009841BA">
        <w:rPr>
          <w:rFonts w:ascii="Arial" w:eastAsia="MS Mincho" w:hAnsi="Arial"/>
          <w:szCs w:val="24"/>
          <w:lang w:eastAsia="en-GB"/>
        </w:rPr>
        <w:t>a</w:t>
      </w:r>
      <w:proofErr w:type="gramEnd"/>
      <w:r w:rsidRPr="009841BA">
        <w:rPr>
          <w:rFonts w:ascii="Arial" w:eastAsia="MS Mincho" w:hAnsi="Arial"/>
          <w:szCs w:val="24"/>
          <w:lang w:eastAsia="en-GB"/>
        </w:rPr>
        <w:t xml:space="preserve">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20"/>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 xml:space="preserve">include the </w:t>
      </w:r>
      <w:r>
        <w:rPr>
          <w:b/>
        </w:rPr>
        <w:t xml:space="preserve">indication of supporting </w:t>
      </w:r>
      <w:r>
        <w:rPr>
          <w:b/>
        </w:rPr>
        <w:t>UL RRC segmentation in RRC setup complete message</w:t>
      </w:r>
      <w:r>
        <w:rPr>
          <w:b/>
        </w:rPr>
        <w:t xml:space="preserv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57A8EE17" w:rsidR="00070B78" w:rsidRDefault="00070B78">
            <w:pPr>
              <w:rPr>
                <w:rFonts w:eastAsia="等线"/>
                <w:sz w:val="22"/>
                <w:szCs w:val="22"/>
                <w:lang w:eastAsia="zh-CN"/>
              </w:rPr>
            </w:pPr>
          </w:p>
        </w:tc>
        <w:tc>
          <w:tcPr>
            <w:tcW w:w="1985" w:type="dxa"/>
          </w:tcPr>
          <w:p w14:paraId="4E689BE4" w14:textId="2ABE0A96" w:rsidR="00070B78" w:rsidRDefault="00070B78">
            <w:pPr>
              <w:rPr>
                <w:rFonts w:eastAsia="等线"/>
                <w:sz w:val="22"/>
                <w:szCs w:val="22"/>
                <w:lang w:eastAsia="zh-CN"/>
              </w:rPr>
            </w:pP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8436A3" w:rsidR="00070B78" w:rsidRDefault="00070B78">
            <w:pPr>
              <w:rPr>
                <w:rFonts w:eastAsia="等线"/>
                <w:sz w:val="22"/>
                <w:szCs w:val="22"/>
                <w:lang w:eastAsia="zh-CN"/>
              </w:rPr>
            </w:pPr>
          </w:p>
        </w:tc>
        <w:tc>
          <w:tcPr>
            <w:tcW w:w="1985" w:type="dxa"/>
          </w:tcPr>
          <w:p w14:paraId="039C1F41" w14:textId="06C2BAC8" w:rsidR="00070B78" w:rsidRDefault="00070B78">
            <w:pPr>
              <w:rPr>
                <w:rFonts w:eastAsia="等线"/>
                <w:sz w:val="22"/>
                <w:szCs w:val="22"/>
                <w:lang w:eastAsia="zh-CN"/>
              </w:rPr>
            </w:pPr>
          </w:p>
        </w:tc>
        <w:tc>
          <w:tcPr>
            <w:tcW w:w="5808" w:type="dxa"/>
          </w:tcPr>
          <w:p w14:paraId="1767A722" w14:textId="77777777" w:rsidR="00070B78" w:rsidRDefault="00070B78">
            <w:pPr>
              <w:rPr>
                <w:rFonts w:eastAsia="等线"/>
                <w:sz w:val="22"/>
                <w:szCs w:val="22"/>
                <w:lang w:eastAsia="zh-CN"/>
              </w:rPr>
            </w:pPr>
          </w:p>
        </w:tc>
      </w:tr>
      <w:tr w:rsidR="00070B78" w14:paraId="1BC045D1" w14:textId="77777777">
        <w:tc>
          <w:tcPr>
            <w:tcW w:w="1838" w:type="dxa"/>
          </w:tcPr>
          <w:p w14:paraId="143B7B2C" w14:textId="00896DBC" w:rsidR="00070B78" w:rsidRDefault="00070B78">
            <w:pPr>
              <w:rPr>
                <w:sz w:val="22"/>
                <w:szCs w:val="22"/>
                <w:lang w:val="en-US" w:eastAsia="zh-CN"/>
              </w:rPr>
            </w:pPr>
          </w:p>
        </w:tc>
        <w:tc>
          <w:tcPr>
            <w:tcW w:w="1985" w:type="dxa"/>
          </w:tcPr>
          <w:p w14:paraId="48F11030" w14:textId="406512A7" w:rsidR="00070B78" w:rsidRDefault="00070B78">
            <w:pPr>
              <w:rPr>
                <w:sz w:val="22"/>
                <w:szCs w:val="22"/>
                <w:lang w:val="en-US" w:eastAsia="zh-CN"/>
              </w:rPr>
            </w:pPr>
          </w:p>
        </w:tc>
        <w:tc>
          <w:tcPr>
            <w:tcW w:w="5808" w:type="dxa"/>
          </w:tcPr>
          <w:p w14:paraId="6306ED08" w14:textId="2630FCF5" w:rsidR="00070B78" w:rsidRDefault="00070B78">
            <w:pPr>
              <w:rPr>
                <w:sz w:val="22"/>
                <w:szCs w:val="22"/>
                <w:lang w:val="en-US" w:eastAsia="zh-CN"/>
              </w:rPr>
            </w:pPr>
          </w:p>
        </w:tc>
      </w:tr>
      <w:tr w:rsidR="00070B78" w14:paraId="7D72DB03" w14:textId="77777777">
        <w:tc>
          <w:tcPr>
            <w:tcW w:w="1838" w:type="dxa"/>
          </w:tcPr>
          <w:p w14:paraId="3A432AB5" w14:textId="2309645D" w:rsidR="00070B78" w:rsidRDefault="00070B78">
            <w:pPr>
              <w:rPr>
                <w:rFonts w:eastAsia="等线"/>
                <w:sz w:val="22"/>
                <w:szCs w:val="22"/>
                <w:lang w:eastAsia="zh-CN"/>
              </w:rPr>
            </w:pPr>
          </w:p>
        </w:tc>
        <w:tc>
          <w:tcPr>
            <w:tcW w:w="1985" w:type="dxa"/>
          </w:tcPr>
          <w:p w14:paraId="3DCA3C0B" w14:textId="3C2CF03F" w:rsidR="00070B78" w:rsidRDefault="00070B78">
            <w:pPr>
              <w:rPr>
                <w:rFonts w:eastAsia="等线"/>
                <w:sz w:val="22"/>
                <w:szCs w:val="22"/>
                <w:lang w:eastAsia="zh-CN"/>
              </w:rPr>
            </w:pPr>
          </w:p>
        </w:tc>
        <w:tc>
          <w:tcPr>
            <w:tcW w:w="5808" w:type="dxa"/>
          </w:tcPr>
          <w:p w14:paraId="610E5229" w14:textId="33436957" w:rsidR="00070B78" w:rsidRDefault="00070B78">
            <w:pPr>
              <w:rPr>
                <w:rFonts w:eastAsia="等线"/>
                <w:sz w:val="22"/>
                <w:szCs w:val="22"/>
                <w:lang w:eastAsia="zh-CN"/>
              </w:rPr>
            </w:pPr>
          </w:p>
        </w:tc>
      </w:tr>
      <w:tr w:rsidR="00070B78" w14:paraId="7D27EDFF" w14:textId="77777777">
        <w:tc>
          <w:tcPr>
            <w:tcW w:w="1838" w:type="dxa"/>
          </w:tcPr>
          <w:p w14:paraId="3A49066A" w14:textId="6B33A1A6" w:rsidR="00070B78" w:rsidRDefault="00070B78">
            <w:pPr>
              <w:rPr>
                <w:rFonts w:eastAsia="等线"/>
                <w:sz w:val="22"/>
                <w:szCs w:val="22"/>
                <w:lang w:eastAsia="zh-CN"/>
              </w:rPr>
            </w:pPr>
          </w:p>
        </w:tc>
        <w:tc>
          <w:tcPr>
            <w:tcW w:w="1985" w:type="dxa"/>
          </w:tcPr>
          <w:p w14:paraId="1E87E1F5" w14:textId="758E327B" w:rsidR="00070B78" w:rsidRDefault="00070B78">
            <w:pPr>
              <w:rPr>
                <w:rFonts w:eastAsia="等线"/>
                <w:sz w:val="22"/>
                <w:szCs w:val="22"/>
                <w:lang w:eastAsia="zh-CN"/>
              </w:rPr>
            </w:pPr>
          </w:p>
        </w:tc>
        <w:tc>
          <w:tcPr>
            <w:tcW w:w="5808" w:type="dxa"/>
          </w:tcPr>
          <w:p w14:paraId="5DF4387D" w14:textId="3A5BF9E2" w:rsidR="00070B78" w:rsidRDefault="00070B78">
            <w:pPr>
              <w:rPr>
                <w:rFonts w:eastAsia="等线"/>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等线"/>
                <w:sz w:val="22"/>
                <w:szCs w:val="22"/>
                <w:lang w:eastAsia="zh-CN"/>
              </w:rPr>
            </w:pPr>
          </w:p>
        </w:tc>
        <w:tc>
          <w:tcPr>
            <w:tcW w:w="1985" w:type="dxa"/>
          </w:tcPr>
          <w:p w14:paraId="09488113" w14:textId="3133E86D" w:rsidR="00070B78" w:rsidRDefault="00070B78">
            <w:pPr>
              <w:rPr>
                <w:rFonts w:eastAsia="等线"/>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等线"/>
                <w:sz w:val="22"/>
                <w:szCs w:val="22"/>
                <w:lang w:eastAsia="zh-CN"/>
              </w:rPr>
            </w:pPr>
          </w:p>
        </w:tc>
        <w:tc>
          <w:tcPr>
            <w:tcW w:w="1985" w:type="dxa"/>
          </w:tcPr>
          <w:p w14:paraId="5FD025F5" w14:textId="72158F7D" w:rsidR="0008583D" w:rsidRDefault="0008583D" w:rsidP="0008583D">
            <w:pPr>
              <w:rPr>
                <w:rFonts w:eastAsia="等线"/>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等线"/>
                <w:sz w:val="22"/>
                <w:szCs w:val="22"/>
                <w:lang w:eastAsia="zh-CN"/>
              </w:rPr>
            </w:pPr>
          </w:p>
        </w:tc>
        <w:tc>
          <w:tcPr>
            <w:tcW w:w="1985" w:type="dxa"/>
          </w:tcPr>
          <w:p w14:paraId="1A5A99FC" w14:textId="2F01BC89" w:rsidR="00070B78" w:rsidRDefault="00070B78">
            <w:pPr>
              <w:rPr>
                <w:rFonts w:eastAsia="等线"/>
                <w:sz w:val="22"/>
                <w:szCs w:val="22"/>
                <w:lang w:eastAsia="zh-CN"/>
              </w:rPr>
            </w:pPr>
          </w:p>
        </w:tc>
        <w:tc>
          <w:tcPr>
            <w:tcW w:w="5808" w:type="dxa"/>
          </w:tcPr>
          <w:p w14:paraId="20D20F06" w14:textId="599472B7" w:rsidR="00070B78" w:rsidRPr="00F62549" w:rsidRDefault="00070B78">
            <w:pPr>
              <w:rPr>
                <w:rFonts w:eastAsia="等线"/>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等线"/>
          <w:b/>
          <w:sz w:val="28"/>
          <w:szCs w:val="22"/>
          <w:lang w:eastAsia="zh-CN"/>
        </w:rPr>
      </w:pPr>
    </w:p>
    <w:p w14:paraId="4360F76B" w14:textId="4C68E37D" w:rsidR="00125217" w:rsidRPr="00125217" w:rsidRDefault="00125217">
      <w:pPr>
        <w:rPr>
          <w:rFonts w:hint="eastAsia"/>
          <w:b/>
          <w:lang w:eastAsia="zh-CN"/>
        </w:rPr>
      </w:pPr>
      <w:bookmarkStart w:id="1" w:name="_GoBack"/>
      <w:r w:rsidRPr="00125217">
        <w:rPr>
          <w:b/>
          <w:lang w:eastAsia="zh-CN"/>
        </w:rPr>
        <w:t>If proposal 1 is agreeable, the subsequent discussion is how to support it in case of handover.</w:t>
      </w:r>
    </w:p>
    <w:bookmarkEnd w:id="1"/>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rFonts w:hint="eastAsia"/>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等线"/>
                <w:b/>
                <w:bCs/>
                <w:sz w:val="22"/>
                <w:szCs w:val="22"/>
                <w:lang w:eastAsia="zh-CN"/>
              </w:rPr>
            </w:pPr>
            <w:r>
              <w:rPr>
                <w:rFonts w:eastAsia="等线"/>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761B216A" w:rsidR="00070B78" w:rsidRDefault="00070B78">
            <w:pPr>
              <w:rPr>
                <w:rFonts w:eastAsia="等线"/>
                <w:sz w:val="22"/>
                <w:szCs w:val="22"/>
                <w:lang w:eastAsia="zh-CN"/>
              </w:rPr>
            </w:pPr>
          </w:p>
        </w:tc>
        <w:tc>
          <w:tcPr>
            <w:tcW w:w="1838" w:type="dxa"/>
          </w:tcPr>
          <w:p w14:paraId="06690F40" w14:textId="7DB72533" w:rsidR="00070B78" w:rsidRDefault="00070B78">
            <w:pPr>
              <w:rPr>
                <w:rFonts w:eastAsia="等线"/>
                <w:sz w:val="22"/>
                <w:szCs w:val="22"/>
                <w:lang w:eastAsia="zh-CN"/>
              </w:rPr>
            </w:pPr>
          </w:p>
        </w:tc>
        <w:tc>
          <w:tcPr>
            <w:tcW w:w="5808" w:type="dxa"/>
          </w:tcPr>
          <w:p w14:paraId="077AD03D" w14:textId="3A30D062" w:rsidR="00070B78" w:rsidRDefault="00070B78">
            <w:pPr>
              <w:rPr>
                <w:b/>
                <w:bCs/>
                <w:lang w:eastAsia="zh-CN"/>
              </w:rPr>
            </w:pPr>
          </w:p>
        </w:tc>
      </w:tr>
      <w:tr w:rsidR="00070B78" w14:paraId="7668C016" w14:textId="77777777">
        <w:trPr>
          <w:jc w:val="center"/>
        </w:trPr>
        <w:tc>
          <w:tcPr>
            <w:tcW w:w="1838" w:type="dxa"/>
          </w:tcPr>
          <w:p w14:paraId="68FC00E8" w14:textId="6B99E9A5" w:rsidR="00070B78" w:rsidRDefault="00070B78">
            <w:pPr>
              <w:rPr>
                <w:rFonts w:eastAsia="等线"/>
                <w:sz w:val="22"/>
                <w:szCs w:val="22"/>
                <w:lang w:eastAsia="zh-CN"/>
              </w:rPr>
            </w:pPr>
          </w:p>
        </w:tc>
        <w:tc>
          <w:tcPr>
            <w:tcW w:w="1838" w:type="dxa"/>
          </w:tcPr>
          <w:p w14:paraId="26BBA251" w14:textId="20941297" w:rsidR="00070B78" w:rsidRDefault="00070B78">
            <w:pPr>
              <w:rPr>
                <w:rFonts w:eastAsia="等线"/>
                <w:sz w:val="22"/>
                <w:szCs w:val="22"/>
                <w:lang w:eastAsia="zh-CN"/>
              </w:rPr>
            </w:pPr>
          </w:p>
        </w:tc>
        <w:tc>
          <w:tcPr>
            <w:tcW w:w="5808" w:type="dxa"/>
          </w:tcPr>
          <w:p w14:paraId="074ED5B2" w14:textId="09DDE482" w:rsidR="00070B78" w:rsidRDefault="00070B78">
            <w:pPr>
              <w:rPr>
                <w:rFonts w:eastAsia="等线"/>
                <w:sz w:val="22"/>
                <w:szCs w:val="22"/>
                <w:lang w:eastAsia="zh-CN"/>
              </w:rPr>
            </w:pPr>
          </w:p>
        </w:tc>
      </w:tr>
      <w:tr w:rsidR="00070B78" w14:paraId="2B43B1ED" w14:textId="77777777">
        <w:trPr>
          <w:jc w:val="center"/>
        </w:trPr>
        <w:tc>
          <w:tcPr>
            <w:tcW w:w="1838" w:type="dxa"/>
          </w:tcPr>
          <w:p w14:paraId="2B9E1590" w14:textId="53F629BF" w:rsidR="00070B78" w:rsidRDefault="00070B78">
            <w:pPr>
              <w:rPr>
                <w:sz w:val="22"/>
                <w:szCs w:val="22"/>
                <w:lang w:val="en-US" w:eastAsia="zh-CN"/>
              </w:rPr>
            </w:pPr>
          </w:p>
        </w:tc>
        <w:tc>
          <w:tcPr>
            <w:tcW w:w="1838" w:type="dxa"/>
          </w:tcPr>
          <w:p w14:paraId="6AADFBAB" w14:textId="00BC542E" w:rsidR="00070B78" w:rsidRDefault="00070B78">
            <w:pPr>
              <w:rPr>
                <w:sz w:val="22"/>
                <w:szCs w:val="22"/>
                <w:lang w:val="en-US" w:eastAsia="zh-CN"/>
              </w:rPr>
            </w:pPr>
          </w:p>
        </w:tc>
        <w:tc>
          <w:tcPr>
            <w:tcW w:w="5808" w:type="dxa"/>
          </w:tcPr>
          <w:p w14:paraId="2F9CBE77" w14:textId="0AA54107" w:rsidR="00070B78" w:rsidRDefault="00070B78">
            <w:pPr>
              <w:rPr>
                <w:sz w:val="22"/>
                <w:szCs w:val="22"/>
                <w:lang w:val="en-US" w:eastAsia="zh-CN"/>
              </w:rPr>
            </w:pPr>
          </w:p>
        </w:tc>
      </w:tr>
      <w:tr w:rsidR="00070B78" w14:paraId="75520AE4" w14:textId="77777777">
        <w:trPr>
          <w:jc w:val="center"/>
        </w:trPr>
        <w:tc>
          <w:tcPr>
            <w:tcW w:w="1838" w:type="dxa"/>
          </w:tcPr>
          <w:p w14:paraId="5F0D8AA4" w14:textId="123DC974" w:rsidR="00070B78" w:rsidRDefault="00070B78">
            <w:pPr>
              <w:rPr>
                <w:rFonts w:eastAsia="等线"/>
                <w:sz w:val="22"/>
                <w:szCs w:val="22"/>
                <w:lang w:eastAsia="zh-CN"/>
              </w:rPr>
            </w:pPr>
          </w:p>
        </w:tc>
        <w:tc>
          <w:tcPr>
            <w:tcW w:w="1838" w:type="dxa"/>
          </w:tcPr>
          <w:p w14:paraId="258CA29A" w14:textId="6479083C" w:rsidR="00070B78" w:rsidRDefault="00070B78">
            <w:pPr>
              <w:rPr>
                <w:rFonts w:eastAsia="等线"/>
                <w:sz w:val="22"/>
                <w:szCs w:val="22"/>
                <w:lang w:eastAsia="zh-CN"/>
              </w:rPr>
            </w:pPr>
          </w:p>
        </w:tc>
        <w:tc>
          <w:tcPr>
            <w:tcW w:w="5808" w:type="dxa"/>
          </w:tcPr>
          <w:p w14:paraId="1F46AC70" w14:textId="25AC77B4" w:rsidR="00070B78" w:rsidRDefault="00070B78">
            <w:pPr>
              <w:rPr>
                <w:rFonts w:eastAsia="等线"/>
                <w:sz w:val="22"/>
                <w:szCs w:val="22"/>
                <w:lang w:eastAsia="zh-CN"/>
              </w:rPr>
            </w:pPr>
          </w:p>
        </w:tc>
      </w:tr>
      <w:tr w:rsidR="00070B78" w14:paraId="666B213C" w14:textId="77777777">
        <w:trPr>
          <w:jc w:val="center"/>
        </w:trPr>
        <w:tc>
          <w:tcPr>
            <w:tcW w:w="1838" w:type="dxa"/>
          </w:tcPr>
          <w:p w14:paraId="6778D499" w14:textId="56708A88" w:rsidR="00070B78" w:rsidRDefault="00070B78">
            <w:pPr>
              <w:rPr>
                <w:rFonts w:eastAsia="等线"/>
                <w:sz w:val="22"/>
                <w:szCs w:val="22"/>
                <w:lang w:eastAsia="zh-CN"/>
              </w:rPr>
            </w:pPr>
          </w:p>
        </w:tc>
        <w:tc>
          <w:tcPr>
            <w:tcW w:w="1838" w:type="dxa"/>
          </w:tcPr>
          <w:p w14:paraId="2180D085" w14:textId="676630F1" w:rsidR="00070B78" w:rsidRDefault="00070B78">
            <w:pPr>
              <w:rPr>
                <w:rFonts w:eastAsia="等线"/>
                <w:sz w:val="22"/>
                <w:szCs w:val="22"/>
                <w:lang w:eastAsia="zh-CN"/>
              </w:rPr>
            </w:pP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等线"/>
                <w:sz w:val="22"/>
                <w:szCs w:val="22"/>
                <w:lang w:eastAsia="zh-CN"/>
              </w:rPr>
            </w:pPr>
          </w:p>
        </w:tc>
        <w:tc>
          <w:tcPr>
            <w:tcW w:w="1838" w:type="dxa"/>
          </w:tcPr>
          <w:p w14:paraId="39B98800" w14:textId="51ED297F" w:rsidR="00070B78" w:rsidRDefault="00070B78">
            <w:pPr>
              <w:rPr>
                <w:rFonts w:eastAsia="等线"/>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等线"/>
                <w:sz w:val="22"/>
                <w:szCs w:val="22"/>
                <w:lang w:eastAsia="zh-CN"/>
              </w:rPr>
            </w:pPr>
          </w:p>
        </w:tc>
        <w:tc>
          <w:tcPr>
            <w:tcW w:w="1838" w:type="dxa"/>
          </w:tcPr>
          <w:p w14:paraId="4654A53E" w14:textId="2C632A9B" w:rsidR="0008583D" w:rsidRDefault="0008583D" w:rsidP="0008583D">
            <w:pPr>
              <w:rPr>
                <w:rFonts w:eastAsia="等线"/>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等线"/>
                <w:sz w:val="22"/>
                <w:szCs w:val="22"/>
                <w:lang w:eastAsia="zh-CN"/>
              </w:rPr>
            </w:pPr>
          </w:p>
        </w:tc>
        <w:tc>
          <w:tcPr>
            <w:tcW w:w="1838" w:type="dxa"/>
          </w:tcPr>
          <w:p w14:paraId="33F77885" w14:textId="6C3070E9" w:rsidR="00070B78" w:rsidRDefault="00070B78">
            <w:pPr>
              <w:rPr>
                <w:rFonts w:eastAsia="等线"/>
                <w:sz w:val="22"/>
                <w:szCs w:val="22"/>
                <w:lang w:eastAsia="zh-CN"/>
              </w:rPr>
            </w:pPr>
          </w:p>
        </w:tc>
        <w:tc>
          <w:tcPr>
            <w:tcW w:w="5808" w:type="dxa"/>
          </w:tcPr>
          <w:p w14:paraId="37D74EC6" w14:textId="33E4D0F1" w:rsidR="00F62549" w:rsidRPr="00F62549" w:rsidRDefault="00F62549">
            <w:pPr>
              <w:rPr>
                <w:rFonts w:eastAsia="等线"/>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等线"/>
          <w:b/>
          <w:sz w:val="22"/>
          <w:szCs w:val="22"/>
          <w:lang w:eastAsia="zh-CN"/>
        </w:rPr>
      </w:pPr>
      <w:r>
        <w:rPr>
          <w:rFonts w:eastAsia="等线"/>
          <w:b/>
          <w:sz w:val="22"/>
          <w:szCs w:val="22"/>
          <w:lang w:eastAsia="zh-CN"/>
        </w:rPr>
        <w:t xml:space="preserve">About </w:t>
      </w:r>
      <w:r w:rsidR="003175BC" w:rsidRPr="003175BC">
        <w:rPr>
          <w:rFonts w:eastAsia="等线"/>
          <w:b/>
          <w:sz w:val="22"/>
          <w:szCs w:val="22"/>
          <w:lang w:eastAsia="zh-CN"/>
        </w:rPr>
        <w:t>Early implementation</w:t>
      </w:r>
    </w:p>
    <w:p w14:paraId="43413150" w14:textId="630E28C7" w:rsidR="00C77565" w:rsidRDefault="003175BC">
      <w:pPr>
        <w:spacing w:beforeLines="50" w:before="120"/>
        <w:rPr>
          <w:rFonts w:eastAsia="等线"/>
          <w:sz w:val="22"/>
          <w:szCs w:val="22"/>
          <w:lang w:eastAsia="zh-CN"/>
        </w:rPr>
      </w:pPr>
      <w:r>
        <w:rPr>
          <w:rFonts w:eastAsia="等线"/>
          <w:sz w:val="22"/>
          <w:szCs w:val="22"/>
          <w:lang w:eastAsia="zh-CN"/>
        </w:rPr>
        <w:t xml:space="preserve">If the above proposals are agreeable, </w:t>
      </w:r>
      <w:r w:rsidR="00C77565">
        <w:rPr>
          <w:rFonts w:eastAsia="等线"/>
          <w:sz w:val="22"/>
          <w:szCs w:val="22"/>
          <w:lang w:eastAsia="zh-CN"/>
        </w:rPr>
        <w:t>the</w:t>
      </w:r>
      <w:r>
        <w:rPr>
          <w:rFonts w:eastAsia="等线"/>
          <w:sz w:val="22"/>
          <w:szCs w:val="22"/>
          <w:lang w:eastAsia="zh-CN"/>
        </w:rPr>
        <w:t xml:space="preserve"> release to support this can be discussed. </w:t>
      </w:r>
      <w:r w:rsidR="00C77565">
        <w:rPr>
          <w:rFonts w:eastAsia="等线"/>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等线" w:hint="eastAsia"/>
          <w:sz w:val="22"/>
          <w:szCs w:val="22"/>
          <w:lang w:eastAsia="zh-CN"/>
        </w:rPr>
        <w:t xml:space="preserve"> </w:t>
      </w:r>
      <w:r w:rsidR="00C77565">
        <w:rPr>
          <w:rFonts w:eastAsia="等线"/>
          <w:sz w:val="22"/>
          <w:szCs w:val="22"/>
          <w:lang w:eastAsia="zh-CN"/>
        </w:rPr>
        <w:t>The options can be summarized as below.</w:t>
      </w:r>
    </w:p>
    <w:p w14:paraId="313F39E7" w14:textId="6A06DA47" w:rsidR="00C77565" w:rsidRDefault="00C77565">
      <w:pPr>
        <w:spacing w:beforeLines="50" w:before="120"/>
        <w:rPr>
          <w:rFonts w:eastAsia="等线"/>
          <w:sz w:val="22"/>
          <w:szCs w:val="22"/>
          <w:lang w:eastAsia="zh-CN"/>
        </w:rPr>
      </w:pPr>
      <w:r>
        <w:rPr>
          <w:rFonts w:eastAsia="等线"/>
          <w:sz w:val="22"/>
          <w:szCs w:val="22"/>
          <w:lang w:eastAsia="zh-CN"/>
        </w:rPr>
        <w:t>Option 1: only change Rel-17</w:t>
      </w:r>
    </w:p>
    <w:p w14:paraId="23F0BB66" w14:textId="1D7CD107" w:rsidR="00C77565" w:rsidRDefault="00C77565">
      <w:pPr>
        <w:spacing w:beforeLines="50" w:before="120"/>
        <w:rPr>
          <w:rFonts w:eastAsia="等线"/>
          <w:sz w:val="22"/>
          <w:szCs w:val="22"/>
          <w:lang w:eastAsia="zh-CN"/>
        </w:rPr>
      </w:pPr>
      <w:r>
        <w:rPr>
          <w:rFonts w:eastAsia="等线"/>
          <w:sz w:val="22"/>
          <w:szCs w:val="22"/>
          <w:lang w:eastAsia="zh-CN"/>
        </w:rPr>
        <w:t>Option 2: change Rel-17 with early implementation to Rel-16</w:t>
      </w:r>
    </w:p>
    <w:p w14:paraId="586BB14A" w14:textId="3CB0E051" w:rsidR="00C77565" w:rsidRDefault="00C77565">
      <w:pPr>
        <w:spacing w:beforeLines="50" w:before="120"/>
        <w:rPr>
          <w:rFonts w:eastAsia="等线"/>
          <w:sz w:val="22"/>
          <w:szCs w:val="22"/>
          <w:lang w:eastAsia="zh-CN"/>
        </w:rPr>
      </w:pPr>
      <w:r>
        <w:rPr>
          <w:rFonts w:eastAsia="等线"/>
          <w:sz w:val="22"/>
          <w:szCs w:val="22"/>
          <w:lang w:eastAsia="zh-CN"/>
        </w:rPr>
        <w:t>Option 3: change both Rel-16 and Rel-17</w:t>
      </w:r>
    </w:p>
    <w:p w14:paraId="71B5972F" w14:textId="7FF021CA" w:rsidR="00C77565" w:rsidRPr="00C77565" w:rsidRDefault="00C77565">
      <w:pPr>
        <w:spacing w:beforeLines="50" w:before="120"/>
        <w:rPr>
          <w:rFonts w:eastAsia="等线" w:hint="eastAsia"/>
          <w:b/>
          <w:sz w:val="22"/>
          <w:szCs w:val="22"/>
          <w:lang w:eastAsia="zh-CN"/>
        </w:rPr>
      </w:pPr>
      <w:r w:rsidRPr="00C77565">
        <w:rPr>
          <w:rFonts w:eastAsia="等线"/>
          <w:b/>
          <w:sz w:val="22"/>
          <w:szCs w:val="22"/>
          <w:lang w:eastAsia="zh-CN"/>
        </w:rPr>
        <w:t>Q3: please companies provide your preferred option.</w:t>
      </w:r>
    </w:p>
    <w:tbl>
      <w:tblPr>
        <w:tblStyle w:val="af6"/>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等线"/>
                <w:b/>
                <w:bCs/>
                <w:sz w:val="22"/>
                <w:szCs w:val="22"/>
                <w:lang w:eastAsia="zh-CN"/>
              </w:rPr>
            </w:pPr>
            <w:r>
              <w:rPr>
                <w:rFonts w:eastAsia="等线"/>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7777777" w:rsidR="00C77565" w:rsidRDefault="00C77565" w:rsidP="0029582D">
            <w:pPr>
              <w:rPr>
                <w:rFonts w:eastAsia="等线"/>
                <w:sz w:val="22"/>
                <w:szCs w:val="22"/>
                <w:lang w:eastAsia="zh-CN"/>
              </w:rPr>
            </w:pPr>
          </w:p>
        </w:tc>
        <w:tc>
          <w:tcPr>
            <w:tcW w:w="1838" w:type="dxa"/>
          </w:tcPr>
          <w:p w14:paraId="22C7664E" w14:textId="77777777" w:rsidR="00C77565" w:rsidRDefault="00C77565" w:rsidP="0029582D">
            <w:pPr>
              <w:rPr>
                <w:rFonts w:eastAsia="等线"/>
                <w:sz w:val="22"/>
                <w:szCs w:val="22"/>
                <w:lang w:eastAsia="zh-CN"/>
              </w:rPr>
            </w:pPr>
          </w:p>
        </w:tc>
        <w:tc>
          <w:tcPr>
            <w:tcW w:w="5808" w:type="dxa"/>
          </w:tcPr>
          <w:p w14:paraId="56AC7C86" w14:textId="77777777" w:rsidR="00C77565" w:rsidRDefault="00C77565" w:rsidP="0029582D">
            <w:pPr>
              <w:rPr>
                <w:b/>
                <w:bCs/>
                <w:lang w:eastAsia="zh-CN"/>
              </w:rPr>
            </w:pPr>
          </w:p>
        </w:tc>
      </w:tr>
      <w:tr w:rsidR="00C77565" w14:paraId="5B157230" w14:textId="77777777" w:rsidTr="0029582D">
        <w:trPr>
          <w:jc w:val="center"/>
        </w:trPr>
        <w:tc>
          <w:tcPr>
            <w:tcW w:w="1838" w:type="dxa"/>
          </w:tcPr>
          <w:p w14:paraId="46C59F8D" w14:textId="77777777" w:rsidR="00C77565" w:rsidRDefault="00C77565" w:rsidP="0029582D">
            <w:pPr>
              <w:rPr>
                <w:rFonts w:eastAsia="等线"/>
                <w:sz w:val="22"/>
                <w:szCs w:val="22"/>
                <w:lang w:eastAsia="zh-CN"/>
              </w:rPr>
            </w:pPr>
          </w:p>
        </w:tc>
        <w:tc>
          <w:tcPr>
            <w:tcW w:w="1838" w:type="dxa"/>
          </w:tcPr>
          <w:p w14:paraId="2686C1A9" w14:textId="77777777" w:rsidR="00C77565" w:rsidRDefault="00C77565" w:rsidP="0029582D">
            <w:pPr>
              <w:rPr>
                <w:rFonts w:eastAsia="等线"/>
                <w:sz w:val="22"/>
                <w:szCs w:val="22"/>
                <w:lang w:eastAsia="zh-CN"/>
              </w:rPr>
            </w:pPr>
          </w:p>
        </w:tc>
        <w:tc>
          <w:tcPr>
            <w:tcW w:w="5808" w:type="dxa"/>
          </w:tcPr>
          <w:p w14:paraId="1AC03747" w14:textId="77777777" w:rsidR="00C77565" w:rsidRDefault="00C77565" w:rsidP="0029582D">
            <w:pPr>
              <w:rPr>
                <w:rFonts w:eastAsia="等线"/>
                <w:sz w:val="22"/>
                <w:szCs w:val="22"/>
                <w:lang w:eastAsia="zh-CN"/>
              </w:rPr>
            </w:pPr>
          </w:p>
        </w:tc>
      </w:tr>
      <w:tr w:rsidR="00C77565" w14:paraId="7B9C9F38" w14:textId="77777777" w:rsidTr="0029582D">
        <w:trPr>
          <w:jc w:val="center"/>
        </w:trPr>
        <w:tc>
          <w:tcPr>
            <w:tcW w:w="1838" w:type="dxa"/>
          </w:tcPr>
          <w:p w14:paraId="60CA7BA5" w14:textId="77777777" w:rsidR="00C77565" w:rsidRDefault="00C77565" w:rsidP="0029582D">
            <w:pPr>
              <w:rPr>
                <w:sz w:val="22"/>
                <w:szCs w:val="22"/>
                <w:lang w:val="en-US" w:eastAsia="zh-CN"/>
              </w:rPr>
            </w:pPr>
          </w:p>
        </w:tc>
        <w:tc>
          <w:tcPr>
            <w:tcW w:w="1838" w:type="dxa"/>
          </w:tcPr>
          <w:p w14:paraId="52F64B79" w14:textId="77777777" w:rsidR="00C77565" w:rsidRDefault="00C77565" w:rsidP="0029582D">
            <w:pPr>
              <w:rPr>
                <w:sz w:val="22"/>
                <w:szCs w:val="22"/>
                <w:lang w:val="en-US" w:eastAsia="zh-CN"/>
              </w:rPr>
            </w:pPr>
          </w:p>
        </w:tc>
        <w:tc>
          <w:tcPr>
            <w:tcW w:w="5808" w:type="dxa"/>
          </w:tcPr>
          <w:p w14:paraId="4DBA3553" w14:textId="77777777" w:rsidR="00C77565" w:rsidRDefault="00C77565" w:rsidP="0029582D">
            <w:pPr>
              <w:rPr>
                <w:sz w:val="22"/>
                <w:szCs w:val="22"/>
                <w:lang w:val="en-US" w:eastAsia="zh-CN"/>
              </w:rPr>
            </w:pPr>
          </w:p>
        </w:tc>
      </w:tr>
      <w:tr w:rsidR="00C77565" w14:paraId="33711FD8" w14:textId="77777777" w:rsidTr="0029582D">
        <w:trPr>
          <w:jc w:val="center"/>
        </w:trPr>
        <w:tc>
          <w:tcPr>
            <w:tcW w:w="1838" w:type="dxa"/>
          </w:tcPr>
          <w:p w14:paraId="42952107" w14:textId="77777777" w:rsidR="00C77565" w:rsidRDefault="00C77565" w:rsidP="0029582D">
            <w:pPr>
              <w:rPr>
                <w:rFonts w:eastAsia="等线"/>
                <w:sz w:val="22"/>
                <w:szCs w:val="22"/>
                <w:lang w:eastAsia="zh-CN"/>
              </w:rPr>
            </w:pPr>
          </w:p>
        </w:tc>
        <w:tc>
          <w:tcPr>
            <w:tcW w:w="1838" w:type="dxa"/>
          </w:tcPr>
          <w:p w14:paraId="6E20E2C8" w14:textId="77777777" w:rsidR="00C77565" w:rsidRDefault="00C77565" w:rsidP="0029582D">
            <w:pPr>
              <w:rPr>
                <w:rFonts w:eastAsia="等线"/>
                <w:sz w:val="22"/>
                <w:szCs w:val="22"/>
                <w:lang w:eastAsia="zh-CN"/>
              </w:rPr>
            </w:pPr>
          </w:p>
        </w:tc>
        <w:tc>
          <w:tcPr>
            <w:tcW w:w="5808" w:type="dxa"/>
          </w:tcPr>
          <w:p w14:paraId="7EA8F94E" w14:textId="77777777" w:rsidR="00C77565" w:rsidRDefault="00C77565" w:rsidP="0029582D">
            <w:pPr>
              <w:rPr>
                <w:rFonts w:eastAsia="等线"/>
                <w:sz w:val="22"/>
                <w:szCs w:val="22"/>
                <w:lang w:eastAsia="zh-CN"/>
              </w:rPr>
            </w:pPr>
          </w:p>
        </w:tc>
      </w:tr>
      <w:tr w:rsidR="00C77565" w14:paraId="179ADA86" w14:textId="77777777" w:rsidTr="0029582D">
        <w:trPr>
          <w:jc w:val="center"/>
        </w:trPr>
        <w:tc>
          <w:tcPr>
            <w:tcW w:w="1838" w:type="dxa"/>
          </w:tcPr>
          <w:p w14:paraId="15DF7AB6" w14:textId="77777777" w:rsidR="00C77565" w:rsidRDefault="00C77565" w:rsidP="0029582D">
            <w:pPr>
              <w:rPr>
                <w:rFonts w:eastAsia="等线"/>
                <w:sz w:val="22"/>
                <w:szCs w:val="22"/>
                <w:lang w:eastAsia="zh-CN"/>
              </w:rPr>
            </w:pPr>
          </w:p>
        </w:tc>
        <w:tc>
          <w:tcPr>
            <w:tcW w:w="1838" w:type="dxa"/>
          </w:tcPr>
          <w:p w14:paraId="39735868" w14:textId="77777777" w:rsidR="00C77565" w:rsidRDefault="00C77565" w:rsidP="0029582D">
            <w:pPr>
              <w:rPr>
                <w:rFonts w:eastAsia="等线"/>
                <w:sz w:val="22"/>
                <w:szCs w:val="22"/>
                <w:lang w:eastAsia="zh-CN"/>
              </w:rPr>
            </w:pPr>
          </w:p>
        </w:tc>
        <w:tc>
          <w:tcPr>
            <w:tcW w:w="5808" w:type="dxa"/>
          </w:tcPr>
          <w:p w14:paraId="191361C7" w14:textId="77777777" w:rsidR="00C77565" w:rsidRDefault="00C77565" w:rsidP="0029582D">
            <w:pPr>
              <w:rPr>
                <w:rFonts w:eastAsia="等线"/>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等线"/>
                <w:sz w:val="22"/>
                <w:szCs w:val="22"/>
                <w:lang w:eastAsia="zh-CN"/>
              </w:rPr>
            </w:pPr>
          </w:p>
        </w:tc>
        <w:tc>
          <w:tcPr>
            <w:tcW w:w="1838" w:type="dxa"/>
          </w:tcPr>
          <w:p w14:paraId="7B29C3BA" w14:textId="77777777" w:rsidR="00C77565" w:rsidRDefault="00C77565" w:rsidP="0029582D">
            <w:pPr>
              <w:rPr>
                <w:rFonts w:eastAsia="等线"/>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等线"/>
                <w:sz w:val="22"/>
                <w:szCs w:val="22"/>
                <w:lang w:eastAsia="zh-CN"/>
              </w:rPr>
            </w:pPr>
          </w:p>
        </w:tc>
        <w:tc>
          <w:tcPr>
            <w:tcW w:w="1838" w:type="dxa"/>
          </w:tcPr>
          <w:p w14:paraId="3C4397FC" w14:textId="77777777" w:rsidR="00C77565" w:rsidRDefault="00C77565" w:rsidP="0029582D">
            <w:pPr>
              <w:rPr>
                <w:rFonts w:eastAsia="等线"/>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等线"/>
                <w:sz w:val="22"/>
                <w:szCs w:val="22"/>
                <w:lang w:eastAsia="zh-CN"/>
              </w:rPr>
            </w:pPr>
          </w:p>
        </w:tc>
        <w:tc>
          <w:tcPr>
            <w:tcW w:w="1838" w:type="dxa"/>
          </w:tcPr>
          <w:p w14:paraId="4D3E697F" w14:textId="77777777" w:rsidR="00C77565" w:rsidRDefault="00C77565" w:rsidP="0029582D">
            <w:pPr>
              <w:rPr>
                <w:rFonts w:eastAsia="等线"/>
                <w:sz w:val="22"/>
                <w:szCs w:val="22"/>
                <w:lang w:eastAsia="zh-CN"/>
              </w:rPr>
            </w:pPr>
          </w:p>
        </w:tc>
        <w:tc>
          <w:tcPr>
            <w:tcW w:w="5808" w:type="dxa"/>
          </w:tcPr>
          <w:p w14:paraId="6E620F4A" w14:textId="77777777" w:rsidR="00C77565" w:rsidRPr="00F62549" w:rsidRDefault="00C77565" w:rsidP="0029582D">
            <w:pPr>
              <w:rPr>
                <w:rFonts w:eastAsia="等线"/>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等线"/>
          <w:b/>
          <w:sz w:val="22"/>
          <w:szCs w:val="22"/>
          <w:lang w:eastAsia="zh-CN"/>
        </w:rPr>
      </w:pPr>
    </w:p>
    <w:p w14:paraId="50FFB902" w14:textId="59F307BD" w:rsidR="00125217" w:rsidRPr="00C77565" w:rsidRDefault="00125217" w:rsidP="00125217">
      <w:pPr>
        <w:spacing w:beforeLines="50" w:before="120"/>
        <w:rPr>
          <w:rFonts w:eastAsia="等线" w:hint="eastAsia"/>
          <w:b/>
          <w:sz w:val="22"/>
          <w:szCs w:val="22"/>
          <w:lang w:eastAsia="zh-CN"/>
        </w:rPr>
      </w:pPr>
      <w:r w:rsidRPr="00C77565">
        <w:rPr>
          <w:rFonts w:eastAsia="等线"/>
          <w:b/>
          <w:sz w:val="22"/>
          <w:szCs w:val="22"/>
          <w:lang w:eastAsia="zh-CN"/>
        </w:rPr>
        <w:t>Q</w:t>
      </w:r>
      <w:r>
        <w:rPr>
          <w:rFonts w:eastAsia="等线"/>
          <w:b/>
          <w:sz w:val="22"/>
          <w:szCs w:val="22"/>
          <w:lang w:eastAsia="zh-CN"/>
        </w:rPr>
        <w:t>4</w:t>
      </w:r>
      <w:r w:rsidRPr="00C77565">
        <w:rPr>
          <w:rFonts w:eastAsia="等线"/>
          <w:b/>
          <w:sz w:val="22"/>
          <w:szCs w:val="22"/>
          <w:lang w:eastAsia="zh-CN"/>
        </w:rPr>
        <w:t xml:space="preserve">: please companies provide </w:t>
      </w:r>
      <w:r>
        <w:rPr>
          <w:rFonts w:eastAsia="等线"/>
          <w:b/>
          <w:sz w:val="22"/>
          <w:szCs w:val="22"/>
          <w:lang w:eastAsia="zh-CN"/>
        </w:rPr>
        <w:t>comments on CR details</w:t>
      </w:r>
      <w:r w:rsidRPr="00C77565">
        <w:rPr>
          <w:rFonts w:eastAsia="等线"/>
          <w:b/>
          <w:sz w:val="22"/>
          <w:szCs w:val="22"/>
          <w:lang w:eastAsia="zh-CN"/>
        </w:rPr>
        <w:t>.</w:t>
      </w:r>
      <w:r>
        <w:rPr>
          <w:rFonts w:eastAsia="等线"/>
          <w:b/>
          <w:sz w:val="22"/>
          <w:szCs w:val="22"/>
          <w:lang w:eastAsia="zh-CN"/>
        </w:rPr>
        <w:t xml:space="preserve"> </w:t>
      </w:r>
      <w:r w:rsidRPr="00125217">
        <w:rPr>
          <w:rFonts w:eastAsia="等线"/>
          <w:b/>
          <w:sz w:val="22"/>
          <w:szCs w:val="22"/>
          <w:highlight w:val="yellow"/>
          <w:lang w:eastAsia="zh-CN"/>
        </w:rPr>
        <w:t>[</w:t>
      </w:r>
      <w:r>
        <w:rPr>
          <w:rFonts w:eastAsia="等线"/>
          <w:b/>
          <w:sz w:val="22"/>
          <w:szCs w:val="22"/>
          <w:highlight w:val="yellow"/>
          <w:lang w:eastAsia="zh-CN"/>
        </w:rPr>
        <w:t>T</w:t>
      </w:r>
      <w:r w:rsidRPr="00125217">
        <w:rPr>
          <w:rFonts w:eastAsia="等线"/>
          <w:b/>
          <w:sz w:val="22"/>
          <w:szCs w:val="22"/>
          <w:highlight w:val="yellow"/>
          <w:lang w:eastAsia="zh-CN"/>
        </w:rPr>
        <w:t>o be discussed once Q1-Q3 are concluded]</w:t>
      </w:r>
    </w:p>
    <w:tbl>
      <w:tblPr>
        <w:tblStyle w:val="af6"/>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7777777" w:rsidR="00125217" w:rsidRDefault="00125217" w:rsidP="0029582D">
            <w:pPr>
              <w:rPr>
                <w:rFonts w:eastAsia="等线"/>
                <w:sz w:val="22"/>
                <w:szCs w:val="22"/>
                <w:lang w:eastAsia="zh-CN"/>
              </w:rPr>
            </w:pPr>
          </w:p>
        </w:tc>
        <w:tc>
          <w:tcPr>
            <w:tcW w:w="5808" w:type="dxa"/>
          </w:tcPr>
          <w:p w14:paraId="0767727F" w14:textId="77777777" w:rsidR="00125217" w:rsidRDefault="00125217" w:rsidP="0029582D">
            <w:pPr>
              <w:rPr>
                <w:b/>
                <w:bCs/>
                <w:lang w:eastAsia="zh-CN"/>
              </w:rPr>
            </w:pPr>
          </w:p>
        </w:tc>
      </w:tr>
      <w:tr w:rsidR="00125217" w14:paraId="4AD2C0B3" w14:textId="77777777" w:rsidTr="00125217">
        <w:trPr>
          <w:jc w:val="center"/>
        </w:trPr>
        <w:tc>
          <w:tcPr>
            <w:tcW w:w="1838" w:type="dxa"/>
          </w:tcPr>
          <w:p w14:paraId="677F78D6" w14:textId="77777777" w:rsidR="00125217" w:rsidRDefault="00125217" w:rsidP="0029582D">
            <w:pPr>
              <w:rPr>
                <w:rFonts w:eastAsia="等线"/>
                <w:sz w:val="22"/>
                <w:szCs w:val="22"/>
                <w:lang w:eastAsia="zh-CN"/>
              </w:rPr>
            </w:pPr>
          </w:p>
        </w:tc>
        <w:tc>
          <w:tcPr>
            <w:tcW w:w="5808" w:type="dxa"/>
          </w:tcPr>
          <w:p w14:paraId="0F36F7F2" w14:textId="77777777" w:rsidR="00125217" w:rsidRDefault="00125217" w:rsidP="0029582D">
            <w:pPr>
              <w:rPr>
                <w:rFonts w:eastAsia="等线"/>
                <w:sz w:val="22"/>
                <w:szCs w:val="22"/>
                <w:lang w:eastAsia="zh-CN"/>
              </w:rPr>
            </w:pPr>
          </w:p>
        </w:tc>
      </w:tr>
      <w:tr w:rsidR="00125217" w14:paraId="4C9EDDE4" w14:textId="77777777" w:rsidTr="00125217">
        <w:trPr>
          <w:jc w:val="center"/>
        </w:trPr>
        <w:tc>
          <w:tcPr>
            <w:tcW w:w="1838" w:type="dxa"/>
          </w:tcPr>
          <w:p w14:paraId="12377F4D" w14:textId="77777777" w:rsidR="00125217" w:rsidRDefault="00125217" w:rsidP="0029582D">
            <w:pPr>
              <w:rPr>
                <w:sz w:val="22"/>
                <w:szCs w:val="22"/>
                <w:lang w:val="en-US" w:eastAsia="zh-CN"/>
              </w:rPr>
            </w:pPr>
          </w:p>
        </w:tc>
        <w:tc>
          <w:tcPr>
            <w:tcW w:w="5808" w:type="dxa"/>
          </w:tcPr>
          <w:p w14:paraId="1604AE49" w14:textId="77777777" w:rsidR="00125217" w:rsidRDefault="00125217" w:rsidP="0029582D">
            <w:pPr>
              <w:rPr>
                <w:sz w:val="22"/>
                <w:szCs w:val="22"/>
                <w:lang w:val="en-US" w:eastAsia="zh-CN"/>
              </w:rPr>
            </w:pPr>
          </w:p>
        </w:tc>
      </w:tr>
      <w:tr w:rsidR="00125217" w14:paraId="17C5A012" w14:textId="77777777" w:rsidTr="00125217">
        <w:trPr>
          <w:jc w:val="center"/>
        </w:trPr>
        <w:tc>
          <w:tcPr>
            <w:tcW w:w="1838" w:type="dxa"/>
          </w:tcPr>
          <w:p w14:paraId="05B35696" w14:textId="77777777" w:rsidR="00125217" w:rsidRDefault="00125217" w:rsidP="0029582D">
            <w:pPr>
              <w:rPr>
                <w:rFonts w:eastAsia="等线"/>
                <w:sz w:val="22"/>
                <w:szCs w:val="22"/>
                <w:lang w:eastAsia="zh-CN"/>
              </w:rPr>
            </w:pPr>
          </w:p>
        </w:tc>
        <w:tc>
          <w:tcPr>
            <w:tcW w:w="5808" w:type="dxa"/>
          </w:tcPr>
          <w:p w14:paraId="3C440020" w14:textId="77777777" w:rsidR="00125217" w:rsidRDefault="00125217" w:rsidP="0029582D">
            <w:pPr>
              <w:rPr>
                <w:rFonts w:eastAsia="等线"/>
                <w:sz w:val="22"/>
                <w:szCs w:val="22"/>
                <w:lang w:eastAsia="zh-CN"/>
              </w:rPr>
            </w:pPr>
          </w:p>
        </w:tc>
      </w:tr>
      <w:tr w:rsidR="00125217" w14:paraId="4366B348" w14:textId="77777777" w:rsidTr="00125217">
        <w:trPr>
          <w:jc w:val="center"/>
        </w:trPr>
        <w:tc>
          <w:tcPr>
            <w:tcW w:w="1838" w:type="dxa"/>
          </w:tcPr>
          <w:p w14:paraId="139AA138" w14:textId="77777777" w:rsidR="00125217" w:rsidRDefault="00125217" w:rsidP="0029582D">
            <w:pPr>
              <w:rPr>
                <w:rFonts w:eastAsia="等线"/>
                <w:sz w:val="22"/>
                <w:szCs w:val="22"/>
                <w:lang w:eastAsia="zh-CN"/>
              </w:rPr>
            </w:pPr>
          </w:p>
        </w:tc>
        <w:tc>
          <w:tcPr>
            <w:tcW w:w="5808" w:type="dxa"/>
          </w:tcPr>
          <w:p w14:paraId="3DECE053" w14:textId="77777777" w:rsidR="00125217" w:rsidRDefault="00125217" w:rsidP="0029582D">
            <w:pPr>
              <w:rPr>
                <w:rFonts w:eastAsia="等线"/>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等线"/>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等线"/>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等线"/>
                <w:sz w:val="22"/>
                <w:szCs w:val="22"/>
                <w:lang w:eastAsia="zh-CN"/>
              </w:rPr>
            </w:pPr>
          </w:p>
        </w:tc>
        <w:tc>
          <w:tcPr>
            <w:tcW w:w="5808" w:type="dxa"/>
          </w:tcPr>
          <w:p w14:paraId="43BD81B7" w14:textId="77777777" w:rsidR="00125217" w:rsidRPr="00F62549" w:rsidRDefault="00125217" w:rsidP="0029582D">
            <w:pPr>
              <w:rPr>
                <w:rFonts w:eastAsia="等线"/>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等线" w:hint="eastAsia"/>
          <w:b/>
          <w:sz w:val="22"/>
          <w:szCs w:val="22"/>
          <w:lang w:eastAsia="zh-CN"/>
        </w:rPr>
      </w:pPr>
    </w:p>
    <w:p w14:paraId="037A7C94" w14:textId="77777777" w:rsidR="00C77565" w:rsidRDefault="00C77565" w:rsidP="00F53966">
      <w:pPr>
        <w:rPr>
          <w:rFonts w:eastAsia="等线"/>
          <w:b/>
          <w:sz w:val="22"/>
          <w:szCs w:val="22"/>
          <w:lang w:eastAsia="zh-CN"/>
        </w:rPr>
      </w:pPr>
    </w:p>
    <w:p w14:paraId="0D09F7CF" w14:textId="77777777" w:rsidR="00C77565" w:rsidRPr="00F53966" w:rsidRDefault="00C77565" w:rsidP="00F53966">
      <w:pPr>
        <w:rPr>
          <w:rFonts w:eastAsia="等线" w:hint="eastAsia"/>
          <w:b/>
          <w:sz w:val="22"/>
          <w:szCs w:val="22"/>
          <w:lang w:eastAsia="zh-CN"/>
        </w:rPr>
      </w:pPr>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t>C</w:t>
      </w:r>
      <w:r>
        <w:rPr>
          <w:rFonts w:eastAsia="宋体"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E9DD0" w14:textId="77777777" w:rsidR="005A1B7F" w:rsidRDefault="005A1B7F">
      <w:pPr>
        <w:spacing w:after="0"/>
      </w:pPr>
      <w:r>
        <w:separator/>
      </w:r>
    </w:p>
  </w:endnote>
  <w:endnote w:type="continuationSeparator" w:id="0">
    <w:p w14:paraId="4FB3B98C" w14:textId="77777777" w:rsidR="005A1B7F" w:rsidRDefault="005A1B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roman"/>
    <w:notTrueType/>
    <w:pitch w:val="fixed"/>
    <w:sig w:usb0="00000001" w:usb1="08070000" w:usb2="00000010" w:usb3="00000000" w:csb0="00020000" w:csb1="00000000"/>
  </w:font>
  <w:font w:name="宋体">
    <w:altName w:val="ËÎÌå"/>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¹ÙÅÁ"/>
    <w:panose1 w:val="02030600000101010101"/>
    <w:charset w:val="81"/>
    <w:family w:val="auto"/>
    <w:notTrueType/>
    <w:pitch w:val="fixed"/>
    <w:sig w:usb0="00000001" w:usb1="09060000" w:usb2="00000010" w:usb3="00000000" w:csb0="00080000"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28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64DF" w14:textId="77777777" w:rsidR="005A1B7F" w:rsidRDefault="005A1B7F">
      <w:pPr>
        <w:spacing w:after="0"/>
      </w:pPr>
      <w:r>
        <w:separator/>
      </w:r>
    </w:p>
  </w:footnote>
  <w:footnote w:type="continuationSeparator" w:id="0">
    <w:p w14:paraId="20026841" w14:textId="77777777" w:rsidR="005A1B7F" w:rsidRDefault="005A1B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1"/>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6035"/>
    <w:rsid w:val="00070B78"/>
    <w:rsid w:val="0008583D"/>
    <w:rsid w:val="000C70F3"/>
    <w:rsid w:val="00104BFC"/>
    <w:rsid w:val="00125217"/>
    <w:rsid w:val="00190B9D"/>
    <w:rsid w:val="002062A8"/>
    <w:rsid w:val="00273465"/>
    <w:rsid w:val="00284E03"/>
    <w:rsid w:val="002961A4"/>
    <w:rsid w:val="003175BC"/>
    <w:rsid w:val="0035094A"/>
    <w:rsid w:val="00496175"/>
    <w:rsid w:val="004B4FBA"/>
    <w:rsid w:val="005A1B7F"/>
    <w:rsid w:val="006051D0"/>
    <w:rsid w:val="006B4720"/>
    <w:rsid w:val="006B668F"/>
    <w:rsid w:val="006C3368"/>
    <w:rsid w:val="00767D72"/>
    <w:rsid w:val="007D7B66"/>
    <w:rsid w:val="009841BA"/>
    <w:rsid w:val="009C7243"/>
    <w:rsid w:val="00A40303"/>
    <w:rsid w:val="00B60B1D"/>
    <w:rsid w:val="00C77565"/>
    <w:rsid w:val="00CA7F51"/>
    <w:rsid w:val="00DE6721"/>
    <w:rsid w:val="00F53966"/>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5217"/>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DD9BECD9-8B75-420D-84AE-F7751052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898</Words>
  <Characters>5125</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3</cp:revision>
  <cp:lastPrinted>2009-04-22T00:01:00Z</cp:lastPrinted>
  <dcterms:created xsi:type="dcterms:W3CDTF">2022-05-17T02:24:00Z</dcterms:created>
  <dcterms:modified xsi:type="dcterms:W3CDTF">2022-05-17T02:47:00Z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