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33910F5D" w:rsidR="00EB0E9D" w:rsidRPr="00EB0E9D" w:rsidRDefault="00EB0E9D" w:rsidP="0023357C">
            <w:pPr>
              <w:pStyle w:val="TAL"/>
              <w:rPr>
                <w:rFonts w:eastAsia="Calibri"/>
                <w:lang w:eastAsia="ja-JP"/>
              </w:rPr>
            </w:pPr>
          </w:p>
        </w:tc>
        <w:tc>
          <w:tcPr>
            <w:tcW w:w="6597" w:type="dxa"/>
            <w:tcBorders>
              <w:top w:val="single" w:sz="4" w:space="0" w:color="auto"/>
              <w:left w:val="single" w:sz="4" w:space="0" w:color="auto"/>
              <w:bottom w:val="single" w:sz="4" w:space="0" w:color="auto"/>
              <w:right w:val="single" w:sz="4" w:space="0" w:color="auto"/>
            </w:tcBorders>
          </w:tcPr>
          <w:p w14:paraId="7EFCB765" w14:textId="3CD4320E" w:rsidR="00EB0E9D" w:rsidRPr="00EB0E9D" w:rsidRDefault="00EB0E9D" w:rsidP="0023357C">
            <w:pPr>
              <w:pStyle w:val="TAL"/>
              <w:rPr>
                <w:rFonts w:eastAsia="Calibri"/>
                <w:lang w:eastAsia="ja-JP"/>
              </w:rPr>
            </w:pPr>
          </w:p>
        </w:tc>
      </w:tr>
      <w:tr w:rsidR="00EB0E9D" w:rsidRPr="00EB0E9D"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647A246C" w:rsidR="00EB0E9D" w:rsidRPr="00EB0E9D" w:rsidRDefault="00EB0E9D" w:rsidP="0023357C">
            <w:pPr>
              <w:pStyle w:val="TAL"/>
              <w:rPr>
                <w:rFonts w:eastAsia="Yu Mincho"/>
                <w:lang w:eastAsia="ja-JP"/>
              </w:rPr>
            </w:pPr>
          </w:p>
        </w:tc>
        <w:tc>
          <w:tcPr>
            <w:tcW w:w="6597" w:type="dxa"/>
            <w:tcBorders>
              <w:top w:val="single" w:sz="4" w:space="0" w:color="auto"/>
              <w:left w:val="single" w:sz="4" w:space="0" w:color="auto"/>
              <w:bottom w:val="single" w:sz="4" w:space="0" w:color="auto"/>
              <w:right w:val="single" w:sz="4" w:space="0" w:color="auto"/>
            </w:tcBorders>
          </w:tcPr>
          <w:p w14:paraId="3B372F20" w14:textId="69AB1CBB" w:rsidR="00EB0E9D" w:rsidRPr="00EB0E9D" w:rsidRDefault="00EB0E9D" w:rsidP="0023357C">
            <w:pPr>
              <w:pStyle w:val="TAL"/>
              <w:rPr>
                <w:rFonts w:eastAsia="Yu Mincho"/>
                <w:lang w:eastAsia="ja-JP"/>
              </w:rPr>
            </w:pPr>
          </w:p>
        </w:tc>
      </w:tr>
      <w:tr w:rsidR="00EB0E9D" w:rsidRPr="00EB0E9D"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7807B64F" w14:textId="77777777" w:rsidR="00EB0E9D" w:rsidRPr="00EB0E9D" w:rsidRDefault="00EB0E9D" w:rsidP="0023357C">
            <w:pPr>
              <w:pStyle w:val="TAL"/>
              <w:rPr>
                <w:rFonts w:eastAsia="Calibri" w:cs="Arial"/>
                <w:lang w:eastAsia="ja-JP"/>
              </w:rPr>
            </w:pPr>
          </w:p>
        </w:tc>
      </w:tr>
      <w:tr w:rsidR="00EB0E9D" w:rsidRPr="00EB0E9D"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EB0E9D"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EB0E9D"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B0E9D" w:rsidRDefault="00EB0E9D" w:rsidP="0023357C">
            <w:pPr>
              <w:pStyle w:val="TAL"/>
              <w:rPr>
                <w:rFonts w:eastAsia="SimSun" w:cs="Arial"/>
                <w:lang w:val="en-US"/>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B0E9D" w:rsidRDefault="00EB0E9D" w:rsidP="0023357C">
            <w:pPr>
              <w:pStyle w:val="TAL"/>
              <w:rPr>
                <w:rFonts w:eastAsia="SimSun" w:cs="Arial"/>
                <w:lang w:val="en-US"/>
              </w:rPr>
            </w:pPr>
          </w:p>
        </w:tc>
      </w:tr>
      <w:tr w:rsidR="00EB0E9D" w:rsidRPr="00EB0E9D"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B0E9D" w:rsidRDefault="00EB0E9D" w:rsidP="0023357C">
            <w:pPr>
              <w:pStyle w:val="TAL"/>
              <w:rPr>
                <w:rFonts w:eastAsia="SimSun" w:cs="Arial"/>
                <w:lang w:val="en-US"/>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B0E9D" w:rsidRDefault="00EB0E9D" w:rsidP="0023357C">
            <w:pPr>
              <w:pStyle w:val="TAL"/>
              <w:rPr>
                <w:rFonts w:eastAsia="SimSun" w:cs="Arial"/>
                <w:lang w:val="en-US"/>
              </w:rPr>
            </w:pPr>
          </w:p>
        </w:tc>
      </w:tr>
    </w:tbl>
    <w:p w14:paraId="5136F564" w14:textId="77777777" w:rsidR="00EB0E9D" w:rsidRDefault="00EB0E9D" w:rsidP="00055188">
      <w:pPr>
        <w:pStyle w:val="EmailDiscussion2"/>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3F17F85"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t>So the possible options are:</w:t>
      </w:r>
    </w:p>
    <w:p w14:paraId="56B8A593" w14:textId="38119E57" w:rsidR="00EB0E9D" w:rsidRDefault="00EB0E9D" w:rsidP="00EB0E9D">
      <w:pPr>
        <w:pStyle w:val="B1"/>
        <w:rPr>
          <w:lang w:eastAsia="ja-JP"/>
        </w:rPr>
      </w:pPr>
      <w:r>
        <w:rPr>
          <w:lang w:eastAsia="ja-JP"/>
        </w:rPr>
        <w:lastRenderedPageBreak/>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77777777" w:rsidR="004847B3" w:rsidRDefault="004847B3" w:rsidP="004847B3">
      <w:pPr>
        <w:rPr>
          <w:lang w:eastAsia="ja-JP"/>
        </w:rPr>
      </w:pPr>
      <w:r>
        <w:rPr>
          <w:lang w:eastAsia="ja-JP"/>
        </w:rPr>
        <w:t>[39] thinks the "</w:t>
      </w:r>
      <w:r w:rsidRPr="0093109E">
        <w:rPr>
          <w:lang w:eastAsia="ja-JP"/>
        </w:rPr>
        <w:t>explicitly signalled contention-free Random Access Resources for 4-step RA type and 2-step RA type</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7777777" w:rsidR="00A921E1" w:rsidRDefault="00A921E1" w:rsidP="00A921E1">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bl>
    <w:p w14:paraId="7D7097ED" w14:textId="77777777" w:rsidR="00A921E1" w:rsidRDefault="00A921E1" w:rsidP="00711716">
      <w:pPr>
        <w:rPr>
          <w:lang w:eastAsia="ja-JP"/>
        </w:rPr>
      </w:pPr>
    </w:p>
    <w:p w14:paraId="6D1CB654" w14:textId="48360D58" w:rsidR="00CF6FFA" w:rsidRPr="00CF6FFA" w:rsidRDefault="00CF6FFA" w:rsidP="00711716">
      <w:pPr>
        <w:rPr>
          <w:b/>
          <w:lang w:eastAsia="ja-JP"/>
        </w:rPr>
      </w:pPr>
      <w:r w:rsidRPr="00CF6FFA">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bookmarkStart w:id="6" w:name="_GoBack"/>
            <w:bookmarkEnd w:id="6"/>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lastRenderedPageBreak/>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B918" w16cid:durableId="25B94BE5"/>
  <w16cid:commentId w16cid:paraId="3C8CF42A" w16cid:durableId="25B94E7A"/>
  <w16cid:commentId w16cid:paraId="7C2F6065" w16cid:durableId="25B94ADF"/>
  <w16cid:commentId w16cid:paraId="3A97732F" w16cid:durableId="25B94AE7"/>
  <w16cid:commentId w16cid:paraId="43E4FABC" w16cid:durableId="25B94694"/>
  <w16cid:commentId w16cid:paraId="5857310D" w16cid:durableId="25B947F1"/>
  <w16cid:commentId w16cid:paraId="5D3AB278" w16cid:durableId="25B94C07"/>
  <w16cid:commentId w16cid:paraId="035F8C53" w16cid:durableId="25B954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C95E9" w14:textId="77777777" w:rsidR="003029CE" w:rsidRDefault="003029CE" w:rsidP="002758C7">
      <w:pPr>
        <w:spacing w:after="0"/>
      </w:pPr>
      <w:r>
        <w:separator/>
      </w:r>
    </w:p>
  </w:endnote>
  <w:endnote w:type="continuationSeparator" w:id="0">
    <w:p w14:paraId="56B08656" w14:textId="77777777" w:rsidR="003029CE" w:rsidRDefault="003029CE"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57479" w14:textId="77777777" w:rsidR="003029CE" w:rsidRDefault="003029CE" w:rsidP="002758C7">
      <w:pPr>
        <w:spacing w:after="0"/>
      </w:pPr>
      <w:r>
        <w:separator/>
      </w:r>
    </w:p>
  </w:footnote>
  <w:footnote w:type="continuationSeparator" w:id="0">
    <w:p w14:paraId="25E1DBBC" w14:textId="77777777" w:rsidR="003029CE" w:rsidRDefault="003029CE"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357C"/>
    <w:rsid w:val="00236B3C"/>
    <w:rsid w:val="002544F5"/>
    <w:rsid w:val="00262D44"/>
    <w:rsid w:val="00265045"/>
    <w:rsid w:val="002758C7"/>
    <w:rsid w:val="00284DD6"/>
    <w:rsid w:val="002858F4"/>
    <w:rsid w:val="00286E87"/>
    <w:rsid w:val="00290EEA"/>
    <w:rsid w:val="002A201E"/>
    <w:rsid w:val="002A3485"/>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32A82"/>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78E0"/>
    <w:rsid w:val="00C46321"/>
    <w:rsid w:val="00C50F44"/>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7442-61A2-47C5-9603-A980A01F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Jang, Jaehyuk</cp:lastModifiedBy>
  <cp:revision>3</cp:revision>
  <dcterms:created xsi:type="dcterms:W3CDTF">2022-02-22T06:56:00Z</dcterms:created>
  <dcterms:modified xsi:type="dcterms:W3CDTF">2022-02-22T07:04:00Z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