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[AT117-e][109][NTN]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NormalWeb"/>
        <w:rPr>
          <w:lang w:eastAsia="fr-FR"/>
        </w:rPr>
      </w:pPr>
      <w:r>
        <w:rPr>
          <w:rStyle w:val="Strong"/>
          <w:rFonts w:ascii="Wingdings" w:hAnsi="Wingdings"/>
        </w:rPr>
        <w:t></w:t>
      </w:r>
      <w:r>
        <w:rPr>
          <w:rStyle w:val="Strong"/>
          <w:rFonts w:ascii="Wingdings" w:hAnsi="Wingdings"/>
        </w:rPr>
        <w:t></w:t>
      </w:r>
      <w:r>
        <w:rPr>
          <w:rStyle w:val="Strong"/>
        </w:rPr>
        <w:t>[AT117-e][109][NTN] Stage 2 CR (Thales)</w:t>
      </w:r>
    </w:p>
    <w:p w14:paraId="5137C749" w14:textId="77777777" w:rsidR="0096444A" w:rsidRDefault="0096444A" w:rsidP="0096444A">
      <w:pPr>
        <w:pStyle w:val="NormalWeb"/>
        <w:ind w:left="1620"/>
      </w:pPr>
      <w:r>
        <w:t>Scope:</w:t>
      </w:r>
      <w:r>
        <w:rPr>
          <w:shd w:val="clear" w:color="auto" w:fill="FFFFFF"/>
        </w:rPr>
        <w:t xml:space="preserve"> Update the Stage 2 CR</w:t>
      </w:r>
    </w:p>
    <w:p w14:paraId="63E528FE" w14:textId="77777777" w:rsidR="0096444A" w:rsidRDefault="0096444A" w:rsidP="0096444A">
      <w:pPr>
        <w:pStyle w:val="NormalWeb"/>
        <w:ind w:left="1620"/>
      </w:pPr>
      <w:r>
        <w:t>Intended outcome: Agreed Stage 2 CR</w:t>
      </w:r>
    </w:p>
    <w:p w14:paraId="69627136" w14:textId="77777777" w:rsidR="0096444A" w:rsidRDefault="0096444A" w:rsidP="0096444A">
      <w:pPr>
        <w:pStyle w:val="NormalWeb"/>
        <w:ind w:left="1620"/>
      </w:pPr>
      <w:r>
        <w:t>Initial deadline (for companies' feedback): Monday 2022-02-28 1800 UTC</w:t>
      </w:r>
    </w:p>
    <w:p w14:paraId="009E15C3" w14:textId="77777777" w:rsidR="0096444A" w:rsidRDefault="0096444A" w:rsidP="0096444A">
      <w:pPr>
        <w:pStyle w:val="NormalWeb"/>
        <w:ind w:left="1620"/>
      </w:pPr>
      <w:r>
        <w:t>Initial deadline (for Stage 2 CR in R2-2203537): Tuesday 2022-03-01 1000 UTC</w:t>
      </w:r>
    </w:p>
    <w:p w14:paraId="4BB597F4" w14:textId="77777777" w:rsidR="0096444A" w:rsidRPr="002833E3" w:rsidRDefault="0096444A" w:rsidP="0096444A">
      <w:pPr>
        <w:pStyle w:val="NormalWeb"/>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BodyText"/>
      </w:pPr>
    </w:p>
    <w:p w14:paraId="2E57465F" w14:textId="40A32382" w:rsidR="002833E3" w:rsidRDefault="002833E3" w:rsidP="002833E3">
      <w:pPr>
        <w:pStyle w:val="BodyText"/>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BodyText"/>
      </w:pPr>
      <w:r>
        <w:t>Then it will focuses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05BE7F9F" w14:textId="77777777" w:rsidR="00E21D80" w:rsidRDefault="003B50B9">
      <w:pPr>
        <w:pStyle w:val="Heading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pt;height:322.45pt" o:ole="">
            <v:imagedata r:id="rId9" o:title=""/>
          </v:shape>
          <o:OLEObject Type="Embed" ProgID="Visio.Drawing.15" ShapeID="_x0000_i1025" DrawAspect="Content" ObjectID="_1707294918"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5C7E4A" w:rsidRDefault="005C7E4A" w:rsidP="005C7E4A">
      <w:pPr>
        <w:pStyle w:val="NO"/>
        <w:rPr>
          <w:color w:val="833C0B" w:themeColor="accent2" w:themeShade="80"/>
        </w:rPr>
      </w:pPr>
      <w:r w:rsidRPr="005C7E4A">
        <w:rPr>
          <w:color w:val="833C0B" w:themeColor="accent2" w:themeShade="80"/>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A gNB may serve multiple NTN payloads;</w:t>
      </w:r>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An NTN payload may be served by multiple gNBs.</w:t>
      </w:r>
    </w:p>
    <w:p w14:paraId="45B38578" w14:textId="77777777" w:rsidR="005C7E4A" w:rsidRPr="005C7E4A" w:rsidRDefault="005C7E4A" w:rsidP="005C7E4A">
      <w:pPr>
        <w:pStyle w:val="NO"/>
        <w:rPr>
          <w:color w:val="833C0B" w:themeColor="accent2" w:themeShade="80"/>
        </w:rPr>
      </w:pPr>
      <w:r w:rsidRPr="005C7E4A">
        <w:rPr>
          <w:color w:val="833C0B" w:themeColor="accent2" w:themeShade="80"/>
        </w:rPr>
        <w:t>NOTE:</w:t>
      </w:r>
      <w:r w:rsidRPr="005C7E4A">
        <w:rPr>
          <w:color w:val="833C0B" w:themeColor="accent2" w:themeShade="80"/>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A Mapped Cell ID as specified in subclause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gNB can provide either quasi-Earth-fixed cell coverage or Earth-moving cell coverage, while gNB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Question 2.1: Do companies agree with the proposed text or have further suggestions ?</w:t>
      </w:r>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724E59F1" w:rsidR="00B510F8" w:rsidRDefault="008747D0" w:rsidP="005C7E4A">
            <w:pPr>
              <w:rPr>
                <w:rFonts w:eastAsia="DengXian"/>
              </w:rPr>
            </w:pPr>
            <w:r>
              <w:rPr>
                <w:rFonts w:eastAsia="DengXian"/>
              </w:rPr>
              <w:t>ESA</w:t>
            </w:r>
          </w:p>
        </w:tc>
        <w:tc>
          <w:tcPr>
            <w:tcW w:w="2009" w:type="dxa"/>
            <w:shd w:val="clear" w:color="auto" w:fill="auto"/>
          </w:tcPr>
          <w:p w14:paraId="1549F6B6" w14:textId="7799180D" w:rsidR="00B510F8" w:rsidRDefault="008747D0" w:rsidP="005C7E4A">
            <w:pPr>
              <w:rPr>
                <w:rFonts w:eastAsia="DengXian"/>
              </w:rPr>
            </w:pPr>
            <w:r>
              <w:rPr>
                <w:rFonts w:eastAsia="DengXian"/>
              </w:rPr>
              <w:t>Agree</w:t>
            </w:r>
          </w:p>
        </w:tc>
        <w:tc>
          <w:tcPr>
            <w:tcW w:w="6210" w:type="dxa"/>
            <w:shd w:val="clear" w:color="auto" w:fill="auto"/>
          </w:tcPr>
          <w:p w14:paraId="518A4E3A" w14:textId="0E4FC3AC" w:rsidR="00B510F8" w:rsidRDefault="008747D0" w:rsidP="005C7E4A">
            <w:pPr>
              <w:rPr>
                <w:rFonts w:eastAsia="DengXian"/>
              </w:rPr>
            </w:pPr>
            <w:r>
              <w:rPr>
                <w:rFonts w:eastAsia="DengXian"/>
              </w:rPr>
              <w:t>Typo: Mapped Cell ID is specified in 16.x.6 (not 5).</w:t>
            </w: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DengXian"/>
          <w:b/>
          <w:u w:val="single"/>
          <w:lang w:val="en-US"/>
        </w:rPr>
      </w:pPr>
      <w:r>
        <w:rPr>
          <w:rFonts w:eastAsia="DengXian"/>
          <w:b/>
          <w:u w:val="single"/>
          <w:lang w:val="en-US"/>
        </w:rPr>
        <w:t>[Rapporteur summary]:</w:t>
      </w:r>
    </w:p>
    <w:p w14:paraId="72E838C4" w14:textId="77777777" w:rsidR="008C0EB8" w:rsidRDefault="008C0EB8" w:rsidP="00C32BB8">
      <w:pPr>
        <w:pStyle w:val="CommentText"/>
      </w:pPr>
    </w:p>
    <w:p w14:paraId="1B60C8AD" w14:textId="6121D331" w:rsidR="00C32BB8" w:rsidRDefault="005C7E4A" w:rsidP="00C32BB8">
      <w:pPr>
        <w:pStyle w:val="CommentText"/>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628EB280" w:rsidR="005C7E4A" w:rsidRDefault="005C7E4A" w:rsidP="005C7E4A">
      <w:pPr>
        <w:pStyle w:val="Heading2"/>
        <w:tabs>
          <w:tab w:val="left" w:pos="576"/>
        </w:tabs>
        <w:ind w:left="576" w:hanging="576"/>
        <w:rPr>
          <w:rFonts w:cs="Times New Roman"/>
        </w:rPr>
      </w:pPr>
      <w:r>
        <w:rPr>
          <w:rFonts w:cs="Times New Roman"/>
        </w:rPr>
        <w:t>2.2 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Heading3"/>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System Information (SI) consists of a MIB and a number of SIBs, which are divided into Minimum SI and Other SI:</w:t>
      </w:r>
    </w:p>
    <w:p w14:paraId="46ECC2D2" w14:textId="77777777" w:rsidR="005C7E4A" w:rsidRPr="0013232F" w:rsidRDefault="005C7E4A" w:rsidP="005C7E4A">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4A2D805D" w14:textId="77777777"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UEs in RRC_CONNECTED</w:t>
      </w:r>
      <w:r w:rsidRPr="0013232F">
        <w:t>.</w:t>
      </w:r>
    </w:p>
    <w:p w14:paraId="4EA24953" w14:textId="77777777"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42E3D150" w14:textId="77777777" w:rsidR="005C7E4A" w:rsidRPr="0013232F" w:rsidRDefault="005C7E4A" w:rsidP="005C7E4A">
      <w:pPr>
        <w:pStyle w:val="B2"/>
      </w:pPr>
      <w:r w:rsidRPr="0013232F">
        <w:lastRenderedPageBreak/>
        <w:t>-</w:t>
      </w:r>
      <w:r w:rsidRPr="0013232F">
        <w:tab/>
      </w:r>
      <w:r w:rsidRPr="0013232F">
        <w:rPr>
          <w:i/>
        </w:rPr>
        <w:t>SIB2</w:t>
      </w:r>
      <w:r w:rsidRPr="0013232F">
        <w:t xml:space="preserve"> contains cell re-selection information, mainly related to the serving cell;</w:t>
      </w:r>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notification;</w:t>
      </w:r>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notification;</w:t>
      </w:r>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notification;</w:t>
      </w:r>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41961235" w14:textId="77777777" w:rsidR="005C7E4A" w:rsidRPr="0013232F" w:rsidRDefault="005C7E4A" w:rsidP="005C7E4A">
      <w:pPr>
        <w:pStyle w:val="B2"/>
      </w:pPr>
      <w:r w:rsidRPr="0013232F">
        <w:t>-</w:t>
      </w:r>
      <w:r w:rsidRPr="0013232F">
        <w:tab/>
      </w:r>
      <w:r w:rsidRPr="0013232F">
        <w:rPr>
          <w:i/>
          <w:iCs/>
        </w:rPr>
        <w:t xml:space="preserve">SIBpos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sidelink,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sidelink communication;</w:t>
      </w:r>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for V2X sidelink communication as specified in TS 36.331 clause 5.2.2.28 [29];</w:t>
      </w:r>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for V2X sidelink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6" type="#_x0000_t75" alt="" style="width:170.05pt;height:190.8pt;mso-width-percent:0;mso-height-percent:0;mso-width-percent:0;mso-height-percent:0" o:ole="">
            <v:fill o:detectmouseclick="t"/>
            <v:imagedata r:id="rId11" o:title=""/>
            <o:lock v:ext="edit" aspectratio="f"/>
          </v:shape>
          <o:OLEObject Type="Embed" ProgID="Mscgen.Chart" ShapeID="_x0000_i1026" DrawAspect="Content" ObjectID="_1707294919"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lastRenderedPageBreak/>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r w:rsidRPr="005C7E4A">
        <w:rPr>
          <w:i/>
          <w:color w:val="833C0B" w:themeColor="accent2" w:themeShade="80"/>
        </w:rPr>
        <w:t>SIBx</w:t>
      </w:r>
      <w:r w:rsidRPr="005C7E4A">
        <w:rPr>
          <w:color w:val="833C0B" w:themeColor="accent2" w:themeShade="80"/>
        </w:rPr>
        <w:t xml:space="preserve"> contains NTN-specific parameters;</w:t>
      </w:r>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69FAD48B" w:rsidR="005C7E4A" w:rsidRDefault="008747D0" w:rsidP="005C7E4A">
            <w:pPr>
              <w:rPr>
                <w:rFonts w:eastAsia="DengXian"/>
              </w:rPr>
            </w:pPr>
            <w:r>
              <w:rPr>
                <w:rFonts w:eastAsia="DengXian"/>
              </w:rPr>
              <w:t>ESA</w:t>
            </w:r>
          </w:p>
        </w:tc>
        <w:tc>
          <w:tcPr>
            <w:tcW w:w="2009" w:type="dxa"/>
            <w:shd w:val="clear" w:color="auto" w:fill="auto"/>
          </w:tcPr>
          <w:p w14:paraId="393F44CC" w14:textId="29A6125A" w:rsidR="005C7E4A" w:rsidRDefault="008747D0" w:rsidP="005C7E4A">
            <w:pPr>
              <w:rPr>
                <w:rFonts w:eastAsia="DengXian"/>
              </w:rPr>
            </w:pPr>
            <w:r>
              <w:rPr>
                <w:rFonts w:eastAsia="DengXian"/>
              </w:rPr>
              <w:t>Agree</w:t>
            </w:r>
          </w:p>
        </w:tc>
        <w:tc>
          <w:tcPr>
            <w:tcW w:w="6210" w:type="dxa"/>
            <w:shd w:val="clear" w:color="auto" w:fill="auto"/>
          </w:tcPr>
          <w:p w14:paraId="06C6AC9B" w14:textId="4F4433BB" w:rsidR="005C7E4A" w:rsidRPr="00D80AD9" w:rsidRDefault="005C7E4A" w:rsidP="005C7E4A">
            <w:pPr>
              <w:pStyle w:val="BodyText"/>
              <w:rPr>
                <w:rFonts w:ascii="Times New Roman" w:hAnsi="Times New Roman"/>
              </w:rPr>
            </w:pPr>
          </w:p>
        </w:tc>
      </w:tr>
    </w:tbl>
    <w:p w14:paraId="5406CCB2" w14:textId="77777777" w:rsidR="005C7E4A" w:rsidRDefault="005C7E4A">
      <w:pPr>
        <w:rPr>
          <w:b/>
          <w:u w:val="single"/>
        </w:rPr>
      </w:pPr>
    </w:p>
    <w:p w14:paraId="7C37BA0D" w14:textId="77777777" w:rsidR="005C7E4A"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Heading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Heading4"/>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Question 2.3: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4A6EE1D1" w:rsidR="00B36336" w:rsidRDefault="008747D0" w:rsidP="00086012">
            <w:pPr>
              <w:rPr>
                <w:rFonts w:eastAsia="DengXian"/>
              </w:rPr>
            </w:pPr>
            <w:r>
              <w:rPr>
                <w:rFonts w:eastAsia="DengXian"/>
              </w:rPr>
              <w:t>ESA</w:t>
            </w:r>
          </w:p>
        </w:tc>
        <w:tc>
          <w:tcPr>
            <w:tcW w:w="2009" w:type="dxa"/>
            <w:shd w:val="clear" w:color="auto" w:fill="auto"/>
          </w:tcPr>
          <w:p w14:paraId="0508E91D" w14:textId="180F9CDD" w:rsidR="00B36336" w:rsidRDefault="008747D0" w:rsidP="00086012">
            <w:pPr>
              <w:rPr>
                <w:rFonts w:eastAsia="DengXian"/>
              </w:rPr>
            </w:pPr>
            <w:r>
              <w:rPr>
                <w:rFonts w:eastAsia="DengXian"/>
              </w:rPr>
              <w:t>Agree</w:t>
            </w:r>
          </w:p>
        </w:tc>
        <w:tc>
          <w:tcPr>
            <w:tcW w:w="6210" w:type="dxa"/>
            <w:shd w:val="clear" w:color="auto" w:fill="auto"/>
          </w:tcPr>
          <w:p w14:paraId="41E3BD13" w14:textId="77777777" w:rsidR="00B36336" w:rsidRDefault="00B36336" w:rsidP="00086012">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CommentText"/>
      </w:pPr>
    </w:p>
    <w:p w14:paraId="2E7F1CB8" w14:textId="77777777" w:rsidR="00B36336" w:rsidRDefault="00B36336" w:rsidP="00B36336">
      <w:pPr>
        <w:pStyle w:val="CommentText"/>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BodyText"/>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DengXian"/>
              </w:rPr>
            </w:pPr>
            <w:r>
              <w:rPr>
                <w:rFonts w:eastAsia="DengXian"/>
              </w:rPr>
              <w:t>InterDigital</w:t>
            </w:r>
          </w:p>
        </w:tc>
        <w:tc>
          <w:tcPr>
            <w:tcW w:w="2009" w:type="dxa"/>
            <w:shd w:val="clear" w:color="auto" w:fill="auto"/>
          </w:tcPr>
          <w:p w14:paraId="55FF395C" w14:textId="07C99645" w:rsidR="00B36336" w:rsidRDefault="008C58FA" w:rsidP="005C7E4A">
            <w:pPr>
              <w:rPr>
                <w:rFonts w:eastAsia="DengXian"/>
              </w:rPr>
            </w:pPr>
            <w:r>
              <w:rPr>
                <w:rFonts w:eastAsia="DengXian"/>
              </w:rPr>
              <w:t>Agree with comments</w:t>
            </w:r>
          </w:p>
        </w:tc>
        <w:tc>
          <w:tcPr>
            <w:tcW w:w="6210" w:type="dxa"/>
            <w:shd w:val="clear" w:color="auto" w:fill="auto"/>
          </w:tcPr>
          <w:p w14:paraId="53EFBB59" w14:textId="6B54CA1A" w:rsidR="00B36336" w:rsidRDefault="008C58FA" w:rsidP="00D80AD9">
            <w:pPr>
              <w:pStyle w:val="BodyText"/>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BodyText"/>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also modifies the DRX behaviour, but this is not mentioned.</w:t>
            </w:r>
          </w:p>
          <w:p w14:paraId="033B6840" w14:textId="18227BEC" w:rsidR="00333079" w:rsidRDefault="00333079" w:rsidP="00946581">
            <w:pPr>
              <w:pStyle w:val="BodyText"/>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BodyText"/>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whether HARQ feedback is 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HARQ RTT Timer UL behavior is adjusted based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r w:rsidR="004117AD" w14:paraId="6162C651" w14:textId="77777777" w:rsidTr="005C7E4A">
        <w:tc>
          <w:tcPr>
            <w:tcW w:w="1496" w:type="dxa"/>
            <w:shd w:val="clear" w:color="auto" w:fill="auto"/>
          </w:tcPr>
          <w:p w14:paraId="2BDF4E6F" w14:textId="255F003F" w:rsidR="004117AD" w:rsidRDefault="004117AD" w:rsidP="005C7E4A">
            <w:pPr>
              <w:rPr>
                <w:rFonts w:eastAsia="DengXian"/>
                <w:lang w:eastAsia="ko-KR"/>
              </w:rPr>
            </w:pPr>
            <w:r>
              <w:rPr>
                <w:rFonts w:eastAsia="DengXian" w:hint="eastAsia"/>
                <w:lang w:eastAsia="ko-KR"/>
              </w:rPr>
              <w:lastRenderedPageBreak/>
              <w:t>LG</w:t>
            </w:r>
          </w:p>
        </w:tc>
        <w:tc>
          <w:tcPr>
            <w:tcW w:w="2009" w:type="dxa"/>
            <w:shd w:val="clear" w:color="auto" w:fill="auto"/>
          </w:tcPr>
          <w:p w14:paraId="30D0B252" w14:textId="2C75B1DC" w:rsidR="004117AD" w:rsidRDefault="004117AD" w:rsidP="005C7E4A">
            <w:pPr>
              <w:rPr>
                <w:rFonts w:eastAsia="DengXian"/>
                <w:lang w:eastAsia="ko-KR"/>
              </w:rPr>
            </w:pPr>
          </w:p>
        </w:tc>
        <w:tc>
          <w:tcPr>
            <w:tcW w:w="6210" w:type="dxa"/>
            <w:shd w:val="clear" w:color="auto" w:fill="auto"/>
          </w:tcPr>
          <w:p w14:paraId="5155BDE4" w14:textId="59579E29" w:rsidR="004117AD" w:rsidRDefault="004117AD" w:rsidP="00B0167F">
            <w:pPr>
              <w:pStyle w:val="BodyText"/>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w:t>
            </w:r>
            <w:r w:rsidR="00B0167F">
              <w:rPr>
                <w:rFonts w:ascii="Times New Roman" w:hAnsi="Times New Roman"/>
                <w:lang w:eastAsia="ko-KR"/>
              </w:rPr>
              <w:t xml:space="preserve"> instead of LCH</w:t>
            </w:r>
            <w:r>
              <w:rPr>
                <w:rFonts w:ascii="Times New Roman" w:hAnsi="Times New Roman"/>
                <w:lang w:eastAsia="ko-KR"/>
              </w:rPr>
              <w:t xml:space="preserve">. So, </w:t>
            </w:r>
            <w:r w:rsidR="00AC51F8">
              <w:rPr>
                <w:rFonts w:ascii="Times New Roman" w:hAnsi="Times New Roman"/>
                <w:lang w:eastAsia="ko-KR"/>
              </w:rPr>
              <w:t xml:space="preserve">“LCH” </w:t>
            </w:r>
            <w:r>
              <w:rPr>
                <w:rFonts w:ascii="Times New Roman" w:hAnsi="Times New Roman"/>
                <w:lang w:eastAsia="ko-KR"/>
              </w:rPr>
              <w:t xml:space="preserve">should be changed to </w:t>
            </w:r>
            <w:r w:rsidR="00AC51F8">
              <w:rPr>
                <w:rFonts w:ascii="Times New Roman" w:hAnsi="Times New Roman"/>
                <w:lang w:eastAsia="ko-KR"/>
              </w:rPr>
              <w:t>“</w:t>
            </w:r>
            <w:r>
              <w:rPr>
                <w:rFonts w:ascii="Times New Roman" w:hAnsi="Times New Roman"/>
                <w:lang w:eastAsia="ko-KR"/>
              </w:rPr>
              <w:t>logical channel</w:t>
            </w:r>
            <w:r w:rsidR="00AC51F8">
              <w:rPr>
                <w:rFonts w:ascii="Times New Roman" w:hAnsi="Times New Roman"/>
                <w:lang w:eastAsia="ko-KR"/>
              </w:rPr>
              <w:t>”</w:t>
            </w:r>
            <w:r>
              <w:rPr>
                <w:rFonts w:ascii="Times New Roman" w:hAnsi="Times New Roman"/>
                <w:lang w:eastAsia="ko-KR"/>
              </w:rPr>
              <w:t>.</w:t>
            </w:r>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BodyText"/>
        <w:rPr>
          <w:rFonts w:eastAsia="DengXian"/>
        </w:rPr>
      </w:pPr>
    </w:p>
    <w:p w14:paraId="6668DC58" w14:textId="332CA0F4"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The network may broadcast up to 12  Tracking Area Codes (TAC) per PLMN in a NR NTN cell, including same or different PLMNs. A TAC change in the System Information is under network control, i.e.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Location information refers to the reference location of serving or neighboring cells</w:t>
      </w:r>
    </w:p>
    <w:p w14:paraId="7EFF3A9A" w14:textId="3C6F11E9" w:rsidR="00B80023" w:rsidRPr="00B36336" w:rsidRDefault="00B36336" w:rsidP="00B36336">
      <w:pPr>
        <w:rPr>
          <w:b/>
          <w:color w:val="833C0B" w:themeColor="accent2" w:themeShade="80"/>
          <w:u w:val="single"/>
        </w:rPr>
      </w:pPr>
      <w:r w:rsidRPr="00B36336">
        <w:rPr>
          <w:color w:val="833C0B" w:themeColor="accent2" w:themeShade="80"/>
        </w:rPr>
        <w:t>Location information may be used to assist cell reselection in NTN with for example a condition based on the distance between UE and the reference location of the serving cell and/or neighbor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0FE3DE37" w:rsidR="00B36336" w:rsidRDefault="008747D0" w:rsidP="005C7E4A">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44C62E52" w:rsidR="00B36336" w:rsidRDefault="008747D0" w:rsidP="005C7E4A">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ListParagraph"/>
              <w:ind w:hanging="360"/>
            </w:pPr>
          </w:p>
        </w:tc>
      </w:tr>
    </w:tbl>
    <w:p w14:paraId="631D8A24" w14:textId="77777777" w:rsidR="00B80023" w:rsidRDefault="00B80023" w:rsidP="00B80023">
      <w:pPr>
        <w:rPr>
          <w:b/>
          <w:u w:val="single"/>
        </w:rPr>
      </w:pPr>
    </w:p>
    <w:p w14:paraId="7F497E23" w14:textId="77777777" w:rsidR="00B80023"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Heading2"/>
        <w:tabs>
          <w:tab w:val="left" w:pos="576"/>
        </w:tabs>
        <w:ind w:left="576" w:hanging="576"/>
        <w:rPr>
          <w:rFonts w:cs="Times New Roman"/>
        </w:rPr>
      </w:pPr>
      <w:r>
        <w:rPr>
          <w:rFonts w:cs="Times New Roman"/>
        </w:rPr>
        <w:lastRenderedPageBreak/>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NTN-Terrestrial Network CHO refers to mobility in both directions, i.e.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6DDF58C2" w:rsidR="00B36336" w:rsidRDefault="008747D0" w:rsidP="00086012">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6976F63C" w:rsidR="00B36336" w:rsidRDefault="008747D0" w:rsidP="00086012">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ListParagraph"/>
              <w:ind w:hanging="360"/>
            </w:pP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Heading2"/>
        <w:tabs>
          <w:tab w:val="left" w:pos="576"/>
        </w:tabs>
        <w:ind w:left="576" w:hanging="576"/>
        <w:rPr>
          <w:rFonts w:cs="Times New Roman"/>
        </w:rPr>
      </w:pPr>
      <w:r>
        <w:rPr>
          <w:rFonts w:cs="Times New Roman"/>
        </w:rPr>
        <w:lastRenderedPageBreak/>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Heading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multiple SMTCs in parallel (including offset, periodicity) per carrier and for a given set of cells depending on UE capabilities using propagation delay difference, feeder link delay as well as serving/neighbour satellite cell ephemeris</w:t>
      </w:r>
    </w:p>
    <w:p w14:paraId="3EAE698C"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t>Question 2.</w:t>
      </w:r>
      <w:r w:rsidR="005D2147">
        <w:rPr>
          <w:rFonts w:cs="Arial"/>
          <w:b/>
          <w:color w:val="000000"/>
        </w:rPr>
        <w:t>7</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62E0F52C" w:rsidR="00B36336" w:rsidRDefault="008747D0" w:rsidP="00BB78BA">
            <w:pPr>
              <w:rPr>
                <w:rFonts w:eastAsia="DengXian"/>
              </w:rPr>
            </w:pPr>
            <w:r>
              <w:rPr>
                <w:rFonts w:eastAsia="DengXian"/>
              </w:rPr>
              <w:t>ESA</w:t>
            </w:r>
          </w:p>
        </w:tc>
        <w:tc>
          <w:tcPr>
            <w:tcW w:w="2009" w:type="dxa"/>
            <w:shd w:val="clear" w:color="auto" w:fill="auto"/>
          </w:tcPr>
          <w:p w14:paraId="45856F98" w14:textId="7E74292E" w:rsidR="00B36336" w:rsidRDefault="008747D0" w:rsidP="00BB78BA">
            <w:pPr>
              <w:rPr>
                <w:rFonts w:eastAsia="DengXian"/>
              </w:rPr>
            </w:pPr>
            <w:r>
              <w:rPr>
                <w:rFonts w:eastAsia="DengXian"/>
              </w:rPr>
              <w:t>Agree</w:t>
            </w:r>
          </w:p>
        </w:tc>
        <w:tc>
          <w:tcPr>
            <w:tcW w:w="6210" w:type="dxa"/>
            <w:shd w:val="clear" w:color="auto" w:fill="auto"/>
          </w:tcPr>
          <w:p w14:paraId="2B16E11A" w14:textId="77777777" w:rsidR="00B36336" w:rsidRDefault="00B36336" w:rsidP="00BB78BA">
            <w:pPr>
              <w:rPr>
                <w:rFonts w:eastAsia="DengXian"/>
              </w:rPr>
            </w:pP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28576A2C" w14:textId="3B65BA61" w:rsidR="00B80023" w:rsidRDefault="00B36336" w:rsidP="00B80023">
      <w:pPr>
        <w:pStyle w:val="BodyText"/>
        <w:rPr>
          <w:rFonts w:eastAsia="DengXian"/>
        </w:rPr>
      </w:pPr>
      <w:r>
        <w:rPr>
          <w:rFonts w:eastAsia="DengXian"/>
        </w:rPr>
        <w:t>-</w:t>
      </w:r>
    </w:p>
    <w:p w14:paraId="48ABFA79" w14:textId="07740CD3" w:rsidR="00B36336" w:rsidRDefault="00B36336" w:rsidP="00B80023">
      <w:pPr>
        <w:pStyle w:val="BodyText"/>
        <w:rPr>
          <w:rFonts w:eastAsia="DengXian"/>
        </w:rPr>
      </w:pPr>
    </w:p>
    <w:p w14:paraId="0A1CB7CC" w14:textId="598E1804" w:rsidR="00B36336" w:rsidRDefault="00B36336" w:rsidP="00B80023">
      <w:pPr>
        <w:pStyle w:val="BodyText"/>
        <w:rPr>
          <w:rFonts w:eastAsia="DengXian"/>
        </w:rPr>
      </w:pPr>
    </w:p>
    <w:p w14:paraId="75CF7E85" w14:textId="3B5B1EC0" w:rsidR="005D2147" w:rsidRDefault="005D2147" w:rsidP="005D2147">
      <w:pPr>
        <w:pStyle w:val="Heading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BodyText"/>
        <w:rPr>
          <w:rFonts w:eastAsia="DengXian"/>
        </w:rPr>
      </w:pPr>
    </w:p>
    <w:p w14:paraId="72E20088"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Both hard and soft feeder link switch over are applicable to NTN.</w:t>
      </w:r>
    </w:p>
    <w:p w14:paraId="27A78DC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may result in transferring the established connection for the affected UEs between two gNBs.</w:t>
      </w:r>
    </w:p>
    <w:p w14:paraId="2F3DEDA2" w14:textId="77777777" w:rsidR="005D2147" w:rsidRPr="005D2147" w:rsidRDefault="005D2147" w:rsidP="005D2147">
      <w:pPr>
        <w:rPr>
          <w:color w:val="833C0B" w:themeColor="accent2" w:themeShade="80"/>
        </w:rPr>
      </w:pPr>
      <w:r w:rsidRPr="005D2147">
        <w:rPr>
          <w:color w:val="833C0B" w:themeColor="accent2" w:themeShade="80"/>
        </w:rPr>
        <w:lastRenderedPageBreak/>
        <w:t>For soft feeder link switch over, an NTN payload is able to connect to more than one NTN Gateway during a given period i.e.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For hard feeder link switch over, an NTN payload only connect to one NTN Gateway at any given time i.e. a radio link interruption may occur during the transition between the feeder links.</w:t>
      </w:r>
    </w:p>
    <w:p w14:paraId="1A7DE9B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The NTN Control function determines the point in time when the feeder link switch over between two gNBs is performed. The transfer of the affected UE(s)’ context between the two gNBs at feeder link switch over is performed by means of either NG based or Xn based handover, and it depends on the gNBs’ implementation and configuration information provided to the gNBs by the NTN Control function.</w:t>
      </w:r>
    </w:p>
    <w:p w14:paraId="5B5C9DCF" w14:textId="77777777" w:rsidR="005D2147" w:rsidRPr="005D2147" w:rsidRDefault="005D2147" w:rsidP="00B80023">
      <w:pPr>
        <w:pStyle w:val="BodyText"/>
        <w:rPr>
          <w:rFonts w:eastAsia="DengXian"/>
          <w:lang w:val="en-US"/>
        </w:rPr>
      </w:pPr>
    </w:p>
    <w:p w14:paraId="3C90DFD1" w14:textId="1AE109C6" w:rsidR="00E21D80" w:rsidRDefault="00E21D80">
      <w:pPr>
        <w:pStyle w:val="BodyText"/>
      </w:pPr>
    </w:p>
    <w:p w14:paraId="734B1E23" w14:textId="56ECC5B8" w:rsidR="005D2147" w:rsidRDefault="005D2147">
      <w:pPr>
        <w:pStyle w:val="BodyText"/>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0215CDD7" w:rsidR="005D2147" w:rsidRDefault="008747D0" w:rsidP="00086012">
            <w:pPr>
              <w:rPr>
                <w:rFonts w:eastAsia="DengXian"/>
              </w:rPr>
            </w:pPr>
            <w:r>
              <w:rPr>
                <w:rFonts w:eastAsia="DengXian"/>
              </w:rPr>
              <w:t>ESA</w:t>
            </w:r>
          </w:p>
        </w:tc>
        <w:tc>
          <w:tcPr>
            <w:tcW w:w="2009" w:type="dxa"/>
            <w:shd w:val="clear" w:color="auto" w:fill="auto"/>
          </w:tcPr>
          <w:p w14:paraId="3CE3539B" w14:textId="731A1A38" w:rsidR="005D2147" w:rsidRDefault="008747D0" w:rsidP="00086012">
            <w:pPr>
              <w:rPr>
                <w:rFonts w:eastAsia="DengXian"/>
              </w:rPr>
            </w:pPr>
            <w:r>
              <w:rPr>
                <w:rFonts w:eastAsia="DengXian"/>
              </w:rPr>
              <w:t>Agree</w:t>
            </w:r>
          </w:p>
        </w:tc>
        <w:tc>
          <w:tcPr>
            <w:tcW w:w="6210" w:type="dxa"/>
            <w:shd w:val="clear" w:color="auto" w:fill="auto"/>
          </w:tcPr>
          <w:p w14:paraId="780B22F1" w14:textId="77777777" w:rsidR="005D2147" w:rsidRDefault="005D2147" w:rsidP="00086012">
            <w:pPr>
              <w:rPr>
                <w:rFonts w:eastAsia="DengXian"/>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434B849B" w14:textId="77777777" w:rsidR="005D2147" w:rsidRDefault="005D2147" w:rsidP="005D2147"/>
    <w:p w14:paraId="432B1470" w14:textId="77777777" w:rsidR="005D2147" w:rsidRDefault="005D2147" w:rsidP="005D2147">
      <w:pPr>
        <w:pStyle w:val="BodyText"/>
        <w:rPr>
          <w:rFonts w:eastAsia="DengXian"/>
        </w:rPr>
      </w:pPr>
      <w:r>
        <w:rPr>
          <w:rFonts w:eastAsia="DengXian"/>
        </w:rPr>
        <w:t>-</w:t>
      </w:r>
    </w:p>
    <w:p w14:paraId="546A1715" w14:textId="1A2B1AF2" w:rsidR="005D2147" w:rsidRDefault="005D2147">
      <w:pPr>
        <w:pStyle w:val="BodyText"/>
      </w:pPr>
    </w:p>
    <w:p w14:paraId="02B57FDF" w14:textId="49A0AA73" w:rsidR="005D2147" w:rsidRDefault="005D2147">
      <w:pPr>
        <w:pStyle w:val="BodyText"/>
      </w:pPr>
    </w:p>
    <w:p w14:paraId="3D460AED" w14:textId="5DAF03C8" w:rsidR="005D2147" w:rsidRDefault="005D2147" w:rsidP="005D2147">
      <w:pPr>
        <w:pStyle w:val="Heading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BodyText"/>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89124B" w:rsidRDefault="005D2147" w:rsidP="005D2147">
      <w:pPr>
        <w:pStyle w:val="NO"/>
        <w:rPr>
          <w:noProof/>
          <w:color w:val="833C0B" w:themeColor="accent2" w:themeShade="80"/>
        </w:rPr>
      </w:pPr>
      <w:r w:rsidRPr="0089124B">
        <w:rPr>
          <w:noProof/>
          <w:color w:val="833C0B" w:themeColor="accent2" w:themeShade="80"/>
        </w:rPr>
        <w:t>NOTE:</w:t>
      </w:r>
      <w:r w:rsidRPr="0089124B">
        <w:rPr>
          <w:noProof/>
          <w:color w:val="833C0B" w:themeColor="accent2" w:themeShade="80"/>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89124B" w:rsidRDefault="005D2147" w:rsidP="005D2147">
      <w:pPr>
        <w:pStyle w:val="NO"/>
        <w:rPr>
          <w:noProof/>
          <w:color w:val="833C0B" w:themeColor="accent2" w:themeShade="80"/>
        </w:rPr>
      </w:pPr>
      <w:r w:rsidRPr="0089124B">
        <w:rPr>
          <w:noProof/>
          <w:color w:val="833C0B" w:themeColor="accent2" w:themeShade="80"/>
        </w:rPr>
        <w:t xml:space="preserve">NOTE: </w:t>
      </w:r>
      <w:r w:rsidRPr="0089124B">
        <w:rPr>
          <w:noProof/>
          <w:color w:val="833C0B" w:themeColor="accent2" w:themeShade="80"/>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BodyText"/>
        <w:rPr>
          <w:color w:val="833C0B" w:themeColor="accent2" w:themeShade="80"/>
        </w:rPr>
      </w:pPr>
      <w:r w:rsidRPr="0089124B">
        <w:rPr>
          <w:noProof/>
          <w:color w:val="833C0B" w:themeColor="accent2" w:themeShade="80"/>
        </w:rPr>
        <w:lastRenderedPageBreak/>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BodyText"/>
      </w:pPr>
    </w:p>
    <w:p w14:paraId="53098F6B" w14:textId="77777777" w:rsidR="005D2147" w:rsidRDefault="005D2147" w:rsidP="005D2147">
      <w:pPr>
        <w:pStyle w:val="BodyText"/>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44377AF3" w:rsidR="005D2147" w:rsidRDefault="008747D0" w:rsidP="00086012">
            <w:pPr>
              <w:rPr>
                <w:rFonts w:eastAsia="DengXian"/>
              </w:rPr>
            </w:pPr>
            <w:r>
              <w:rPr>
                <w:rFonts w:eastAsia="DengXian"/>
              </w:rPr>
              <w:t>ESA</w:t>
            </w:r>
          </w:p>
        </w:tc>
        <w:tc>
          <w:tcPr>
            <w:tcW w:w="2009" w:type="dxa"/>
            <w:shd w:val="clear" w:color="auto" w:fill="auto"/>
          </w:tcPr>
          <w:p w14:paraId="7A4AB202" w14:textId="43B98E7D" w:rsidR="005D2147" w:rsidRDefault="008747D0" w:rsidP="00086012">
            <w:pPr>
              <w:rPr>
                <w:rFonts w:eastAsia="DengXian"/>
              </w:rPr>
            </w:pPr>
            <w:r>
              <w:rPr>
                <w:rFonts w:eastAsia="DengXian"/>
              </w:rPr>
              <w:t>Agree</w:t>
            </w:r>
          </w:p>
        </w:tc>
        <w:tc>
          <w:tcPr>
            <w:tcW w:w="6210" w:type="dxa"/>
            <w:shd w:val="clear" w:color="auto" w:fill="auto"/>
          </w:tcPr>
          <w:p w14:paraId="1E9C01CC" w14:textId="77777777" w:rsidR="005D2147" w:rsidRDefault="005D2147" w:rsidP="00086012">
            <w:pPr>
              <w:rPr>
                <w:rFonts w:eastAsia="DengXian"/>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0A165BE3" w14:textId="77777777" w:rsidR="005D2147" w:rsidRDefault="005D2147" w:rsidP="005D2147">
      <w:pPr>
        <w:pStyle w:val="BodyText"/>
        <w:rPr>
          <w:rFonts w:eastAsia="DengXian"/>
        </w:rPr>
      </w:pPr>
      <w:r>
        <w:rPr>
          <w:rFonts w:eastAsia="DengXian"/>
        </w:rPr>
        <w:t>-</w:t>
      </w:r>
    </w:p>
    <w:p w14:paraId="33B7E002" w14:textId="49F218C0" w:rsidR="005D2147" w:rsidRDefault="005D2147">
      <w:pPr>
        <w:pStyle w:val="BodyText"/>
      </w:pPr>
    </w:p>
    <w:p w14:paraId="67AC4AED" w14:textId="68848593" w:rsidR="0089124B" w:rsidRDefault="0089124B">
      <w:pPr>
        <w:pStyle w:val="BodyText"/>
      </w:pPr>
    </w:p>
    <w:p w14:paraId="5C1C0A75" w14:textId="79AA07BB" w:rsidR="0089124B" w:rsidRDefault="0089124B" w:rsidP="0089124B">
      <w:pPr>
        <w:pStyle w:val="Heading2"/>
        <w:tabs>
          <w:tab w:val="left" w:pos="576"/>
        </w:tabs>
        <w:ind w:left="576" w:hanging="576"/>
        <w:rPr>
          <w:rFonts w:cs="Times New Roman"/>
        </w:rPr>
      </w:pPr>
      <w:r>
        <w:rPr>
          <w:rFonts w:cs="Times New Roman"/>
        </w:rPr>
        <w:t xml:space="preserve">2.10 Chapter 16.x.7 </w:t>
      </w:r>
      <w:r>
        <w:t>AMF (</w:t>
      </w:r>
      <w:r w:rsidRPr="00283577">
        <w:t>Re</w:t>
      </w:r>
      <w:r>
        <w:t>-)S</w:t>
      </w:r>
      <w:r w:rsidRPr="00283577">
        <w:t xml:space="preserve">election </w:t>
      </w:r>
      <w:r w:rsidRPr="00744B7B">
        <w:t>by gNB</w:t>
      </w:r>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BodyText"/>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The gNB implements the NAS Node Selection Function specified in TS 38.410 [16].</w:t>
      </w:r>
    </w:p>
    <w:p w14:paraId="5CA32BF8" w14:textId="77777777" w:rsidR="0089124B" w:rsidRPr="0089124B" w:rsidRDefault="0089124B" w:rsidP="0089124B">
      <w:pPr>
        <w:pStyle w:val="BodyText"/>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the gNB is configured to ensure that the UE is using an AMF that serves the country in which the UE is located.</w:t>
      </w:r>
    </w:p>
    <w:p w14:paraId="5683F862" w14:textId="18825FD5" w:rsidR="0089124B" w:rsidRPr="0089124B" w:rsidRDefault="0089124B" w:rsidP="0089124B">
      <w:pPr>
        <w:pStyle w:val="BodyText"/>
        <w:rPr>
          <w:color w:val="833C0B" w:themeColor="accent2" w:themeShade="80"/>
        </w:rPr>
      </w:pPr>
      <w:r w:rsidRPr="0089124B">
        <w:rPr>
          <w:color w:val="833C0B" w:themeColor="accent2" w:themeShade="80"/>
        </w:rPr>
        <w:t>If the gNB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1FDC9DFF" w14:textId="77777777" w:rsidR="0089124B" w:rsidRDefault="0089124B" w:rsidP="0089124B">
      <w:pPr>
        <w:pStyle w:val="BodyText"/>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0E716C65" w:rsidR="0089124B" w:rsidRDefault="008747D0" w:rsidP="00086012">
            <w:pPr>
              <w:rPr>
                <w:rFonts w:eastAsia="DengXian"/>
              </w:rPr>
            </w:pPr>
            <w:r>
              <w:rPr>
                <w:rFonts w:eastAsia="DengXian"/>
              </w:rPr>
              <w:t>ESA</w:t>
            </w:r>
          </w:p>
        </w:tc>
        <w:tc>
          <w:tcPr>
            <w:tcW w:w="2009" w:type="dxa"/>
            <w:shd w:val="clear" w:color="auto" w:fill="auto"/>
          </w:tcPr>
          <w:p w14:paraId="682B0F94" w14:textId="2841279B" w:rsidR="0089124B" w:rsidRDefault="008747D0" w:rsidP="00086012">
            <w:pPr>
              <w:rPr>
                <w:rFonts w:eastAsia="DengXian"/>
              </w:rPr>
            </w:pPr>
            <w:r>
              <w:rPr>
                <w:rFonts w:eastAsia="DengXian"/>
              </w:rPr>
              <w:t>Agree</w:t>
            </w:r>
          </w:p>
        </w:tc>
        <w:tc>
          <w:tcPr>
            <w:tcW w:w="6210" w:type="dxa"/>
            <w:shd w:val="clear" w:color="auto" w:fill="auto"/>
          </w:tcPr>
          <w:p w14:paraId="57019CB2" w14:textId="77777777" w:rsidR="0089124B" w:rsidRDefault="0089124B" w:rsidP="00086012">
            <w:pPr>
              <w:rPr>
                <w:rFonts w:eastAsia="DengXian"/>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56FE77A9" w14:textId="77777777" w:rsidR="0089124B" w:rsidRDefault="0089124B" w:rsidP="0089124B">
      <w:pPr>
        <w:pStyle w:val="BodyText"/>
        <w:rPr>
          <w:rFonts w:eastAsia="DengXian"/>
        </w:rPr>
      </w:pPr>
      <w:r>
        <w:rPr>
          <w:rFonts w:eastAsia="DengXian"/>
        </w:rPr>
        <w:t>-</w:t>
      </w:r>
    </w:p>
    <w:p w14:paraId="3F055A54" w14:textId="461E4820" w:rsidR="0089124B" w:rsidRDefault="0089124B">
      <w:pPr>
        <w:pStyle w:val="BodyText"/>
      </w:pPr>
    </w:p>
    <w:p w14:paraId="08911308" w14:textId="16D2F0B8" w:rsidR="0089124B" w:rsidRPr="0089124B" w:rsidRDefault="0089124B" w:rsidP="0089124B">
      <w:pPr>
        <w:pStyle w:val="Heading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BodyText"/>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The following NTN related parameters shall be provided by O&amp;M to the gNB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lastRenderedPageBreak/>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gNB;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Position;</w:t>
      </w:r>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Velocity;</w:t>
      </w:r>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Semi-major axis;</w:t>
      </w:r>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Eccentricity;</w:t>
      </w:r>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Argument of periapsis;</w:t>
      </w:r>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Longitude of ascending node;</w:t>
      </w:r>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Inclination;</w:t>
      </w:r>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The explicit epoch time associated to ephemeris data;</w:t>
      </w:r>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NTN-Gateways;</w:t>
      </w:r>
    </w:p>
    <w:p w14:paraId="3B511278" w14:textId="77777777" w:rsidR="0089124B" w:rsidRPr="0089124B" w:rsidRDefault="0089124B" w:rsidP="0089124B">
      <w:pPr>
        <w:pStyle w:val="NO"/>
        <w:rPr>
          <w:color w:val="833C0B" w:themeColor="accent2" w:themeShade="80"/>
        </w:rPr>
      </w:pPr>
      <w:r w:rsidRPr="0089124B">
        <w:rPr>
          <w:color w:val="833C0B" w:themeColor="accent2" w:themeShade="80"/>
        </w:rPr>
        <w:t>NOTE:</w:t>
      </w:r>
      <w:r w:rsidRPr="0089124B">
        <w:rPr>
          <w:color w:val="833C0B" w:themeColor="accent2" w:themeShade="80"/>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Additional information to enable gNB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The NTN related parameters provided by O&amp;M to the gNB may depend on the type of supported service links e.g. earth fixed beams, quasi earth fixed beams, earth moving beams, etc.</w:t>
      </w:r>
    </w:p>
    <w:p w14:paraId="743185B6" w14:textId="77777777" w:rsidR="0089124B" w:rsidRDefault="0089124B" w:rsidP="0089124B">
      <w:pPr>
        <w:pStyle w:val="BodyText"/>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471247D1" w:rsidR="0089124B" w:rsidRDefault="008747D0" w:rsidP="00086012">
            <w:pPr>
              <w:rPr>
                <w:rFonts w:eastAsia="DengXian"/>
              </w:rPr>
            </w:pPr>
            <w:r>
              <w:rPr>
                <w:rFonts w:eastAsia="DengXian"/>
              </w:rPr>
              <w:t>ESA</w:t>
            </w:r>
          </w:p>
        </w:tc>
        <w:tc>
          <w:tcPr>
            <w:tcW w:w="2009" w:type="dxa"/>
            <w:shd w:val="clear" w:color="auto" w:fill="auto"/>
          </w:tcPr>
          <w:p w14:paraId="358B1885" w14:textId="16C8D360" w:rsidR="0089124B" w:rsidRDefault="008747D0" w:rsidP="00086012">
            <w:pPr>
              <w:rPr>
                <w:rFonts w:eastAsia="DengXian"/>
              </w:rPr>
            </w:pPr>
            <w:r>
              <w:rPr>
                <w:rFonts w:eastAsia="DengXian"/>
              </w:rPr>
              <w:t>Agree</w:t>
            </w:r>
          </w:p>
        </w:tc>
        <w:tc>
          <w:tcPr>
            <w:tcW w:w="6210" w:type="dxa"/>
            <w:shd w:val="clear" w:color="auto" w:fill="auto"/>
          </w:tcPr>
          <w:p w14:paraId="3438840E" w14:textId="77777777" w:rsidR="0089124B" w:rsidRDefault="0089124B" w:rsidP="00086012">
            <w:pPr>
              <w:rPr>
                <w:rFonts w:eastAsia="DengXian"/>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5C36463" w14:textId="77777777" w:rsidR="0089124B" w:rsidRDefault="0089124B" w:rsidP="0089124B">
      <w:pPr>
        <w:pStyle w:val="BodyText"/>
        <w:rPr>
          <w:rFonts w:eastAsia="DengXian"/>
        </w:rPr>
      </w:pPr>
      <w:r>
        <w:rPr>
          <w:rFonts w:eastAsia="DengXian"/>
        </w:rPr>
        <w:t>-</w:t>
      </w:r>
    </w:p>
    <w:p w14:paraId="12C1D93B" w14:textId="4D3D6228" w:rsidR="0089124B" w:rsidRDefault="0089124B">
      <w:pPr>
        <w:pStyle w:val="BodyText"/>
      </w:pPr>
    </w:p>
    <w:p w14:paraId="46EB6BA0" w14:textId="6C7A6A9F" w:rsidR="0089124B" w:rsidRDefault="0089124B">
      <w:pPr>
        <w:pStyle w:val="BodyText"/>
      </w:pPr>
    </w:p>
    <w:p w14:paraId="5F86FE3C" w14:textId="722A50A7" w:rsidR="0089124B" w:rsidRPr="0089124B" w:rsidRDefault="0089124B" w:rsidP="0089124B">
      <w:pPr>
        <w:pStyle w:val="Heading2"/>
        <w:tabs>
          <w:tab w:val="left" w:pos="576"/>
        </w:tabs>
        <w:ind w:left="576" w:hanging="576"/>
        <w:rPr>
          <w:rFonts w:cs="Times New Roman"/>
          <w:lang w:val="fr-FR"/>
        </w:rPr>
      </w:pPr>
      <w:r w:rsidRPr="0089124B">
        <w:rPr>
          <w:rFonts w:cs="Times New Roman"/>
          <w:lang w:val="fr-FR"/>
        </w:rPr>
        <w:t xml:space="preserve">2.12 Chapter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r>
        <w:rPr>
          <w:i/>
        </w:rPr>
        <w:t>recall here under the text as outcomes of the post RAN2#116-bis-e email discussion without ENs</w:t>
      </w:r>
      <w:r w:rsidRPr="00B80023">
        <w:rPr>
          <w:i/>
        </w:rPr>
        <w:t>:</w:t>
      </w:r>
    </w:p>
    <w:p w14:paraId="5F7B859D" w14:textId="1917466C" w:rsidR="0089124B" w:rsidRDefault="0089124B" w:rsidP="0089124B">
      <w:pPr>
        <w:pStyle w:val="BodyText"/>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lastRenderedPageBreak/>
        <w:t>After AS security is established, gNB can obtain a GNSS-based location information from the UE using existing signalling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Periodic location reporting can be configured by gNB to obtain UE location update of mobile UEs in RRC_CONNECTED</w:t>
      </w:r>
    </w:p>
    <w:p w14:paraId="6CDFABF4" w14:textId="77777777" w:rsidR="0089124B" w:rsidRDefault="0089124B" w:rsidP="0089124B"/>
    <w:p w14:paraId="2CF5677D" w14:textId="77777777" w:rsidR="0089124B" w:rsidRDefault="0089124B" w:rsidP="0089124B">
      <w:pPr>
        <w:pStyle w:val="BodyText"/>
        <w:rPr>
          <w:rFonts w:eastAsia="DengXian"/>
        </w:rPr>
      </w:pPr>
    </w:p>
    <w:p w14:paraId="59245B1D" w14:textId="77777777" w:rsidR="0089124B" w:rsidRDefault="0089124B" w:rsidP="0089124B">
      <w:pPr>
        <w:pStyle w:val="BodyText"/>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3F99B6E8" w:rsidR="0089124B" w:rsidRDefault="008747D0" w:rsidP="00086012">
            <w:pPr>
              <w:rPr>
                <w:rFonts w:eastAsia="DengXian"/>
              </w:rPr>
            </w:pPr>
            <w:r>
              <w:rPr>
                <w:rFonts w:eastAsia="DengXian"/>
              </w:rPr>
              <w:t>ESA</w:t>
            </w:r>
          </w:p>
        </w:tc>
        <w:tc>
          <w:tcPr>
            <w:tcW w:w="2009" w:type="dxa"/>
            <w:shd w:val="clear" w:color="auto" w:fill="auto"/>
          </w:tcPr>
          <w:p w14:paraId="477AB45A" w14:textId="001E81FB" w:rsidR="0089124B" w:rsidRDefault="008747D0" w:rsidP="00086012">
            <w:pPr>
              <w:rPr>
                <w:rFonts w:eastAsia="DengXian"/>
              </w:rPr>
            </w:pPr>
            <w:r>
              <w:rPr>
                <w:rFonts w:eastAsia="DengXian"/>
              </w:rPr>
              <w:t>Agree</w:t>
            </w:r>
          </w:p>
        </w:tc>
        <w:tc>
          <w:tcPr>
            <w:tcW w:w="6210" w:type="dxa"/>
            <w:shd w:val="clear" w:color="auto" w:fill="auto"/>
          </w:tcPr>
          <w:p w14:paraId="4965B870" w14:textId="77777777" w:rsidR="0089124B" w:rsidRDefault="0089124B" w:rsidP="00086012">
            <w:pPr>
              <w:rPr>
                <w:rFonts w:eastAsia="DengXian"/>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2295A7EA" w14:textId="77777777" w:rsidR="0089124B" w:rsidRDefault="0089124B" w:rsidP="0089124B"/>
    <w:p w14:paraId="625787FC" w14:textId="77777777" w:rsidR="0089124B" w:rsidRDefault="0089124B" w:rsidP="0089124B">
      <w:pPr>
        <w:pStyle w:val="BodyText"/>
        <w:rPr>
          <w:rFonts w:eastAsia="DengXian"/>
        </w:rPr>
      </w:pPr>
      <w:r>
        <w:rPr>
          <w:rFonts w:eastAsia="DengXian"/>
        </w:rPr>
        <w:t>-</w:t>
      </w:r>
    </w:p>
    <w:p w14:paraId="2F5934FF" w14:textId="71E89BD1" w:rsidR="0089124B" w:rsidRDefault="0089124B">
      <w:pPr>
        <w:pStyle w:val="BodyText"/>
      </w:pPr>
    </w:p>
    <w:p w14:paraId="454718DB" w14:textId="6602FF5E" w:rsidR="00086012" w:rsidRPr="00086012" w:rsidRDefault="00086012" w:rsidP="00086012">
      <w:pPr>
        <w:pStyle w:val="Heading2"/>
        <w:tabs>
          <w:tab w:val="left" w:pos="576"/>
        </w:tabs>
        <w:ind w:left="576" w:hanging="576"/>
        <w:rPr>
          <w:rFonts w:cs="Times New Roman"/>
          <w:lang w:val="en-US"/>
        </w:rPr>
      </w:pPr>
      <w:r w:rsidRPr="00086012">
        <w:rPr>
          <w:rFonts w:cs="Times New Roman"/>
          <w:lang w:val="en-US"/>
        </w:rPr>
        <w:t>2.1</w:t>
      </w:r>
      <w:r>
        <w:rPr>
          <w:rFonts w:cs="Times New Roman"/>
          <w:lang w:val="en-US"/>
        </w:rPr>
        <w:t>3</w:t>
      </w:r>
      <w:r w:rsidRPr="00086012">
        <w:rPr>
          <w:rFonts w:cs="Times New Roman"/>
          <w:lang w:val="en-US"/>
        </w:rPr>
        <w:t xml:space="preserve"> Annex B.x</w:t>
      </w:r>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BodyText"/>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The following figure illustrates an example implementation of an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7" type="#_x0000_t75" style="width:480.6pt;height:180.65pt" o:ole="">
            <v:imagedata r:id="rId13" o:title=""/>
          </v:shape>
          <o:OLEObject Type="Embed" ProgID="Visio.Drawing.11" ShapeID="_x0000_i1027" DrawAspect="Content" ObjectID="_1707294920"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The gNB depicted in Figure B-1 may be subdivided into non-NTN infrastructure gNB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lastRenderedPageBreak/>
        <w:t>The NTN Service Link provisioning System maps the NR-Uu radio protocol over radio resources of the NTN infrastructure (e.g. beams, channels, Tx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control function controls the spaceborne (or airborne) vehicles as well as the radio resources of the NTN infrastructure (NTN payload(s) &amp; NTN Gateway(s)). It provides control data, e.g. Ephemeris, to the non-NTN infrastructure gNB functions of the gNB.</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Provision of NTN control data to the gNB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NR-Uu protocol between the NTN Service Link provisioning system and the non-NTN infrastructure gNB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gNB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Cell identifier (NG and Uu) mapped to the beam;</w:t>
      </w:r>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Cell’s reference location (e.g.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The Cell identifier (NG and Uu) and time window mapped to a beam;</w:t>
      </w:r>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Cell’s/beam’s reference location (e.g. cell’s center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time window of the successive switch overs (feeder link, service link);</w:t>
      </w:r>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NTN-Gateways;</w:t>
      </w:r>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The Uu Cell identifier mapped to a beam and mapping information to fixed geographical areas reported on NG, including information about the beams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Its elevation wrt NTN-payload;</w:t>
      </w:r>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NTN-Gateways/gNBs;</w:t>
      </w:r>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BodyText"/>
        <w:rPr>
          <w:rFonts w:eastAsia="DengXian"/>
        </w:rPr>
      </w:pPr>
    </w:p>
    <w:p w14:paraId="47167E27" w14:textId="77777777" w:rsidR="00086012" w:rsidRDefault="00086012" w:rsidP="00086012">
      <w:pPr>
        <w:pStyle w:val="BodyText"/>
      </w:pPr>
    </w:p>
    <w:p w14:paraId="44F27B74" w14:textId="3BCAE486" w:rsidR="00086012" w:rsidRDefault="00086012" w:rsidP="00086012">
      <w:pPr>
        <w:rPr>
          <w:rFonts w:cs="Arial"/>
          <w:b/>
          <w:color w:val="000000"/>
        </w:rPr>
      </w:pPr>
      <w:r>
        <w:rPr>
          <w:rFonts w:cs="Arial"/>
          <w:b/>
          <w:color w:val="000000"/>
        </w:rPr>
        <w:t>Question 2.13: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618521C2" w:rsidR="00086012" w:rsidRDefault="008747D0" w:rsidP="00086012">
            <w:pPr>
              <w:rPr>
                <w:rFonts w:eastAsia="DengXian"/>
              </w:rPr>
            </w:pPr>
            <w:r>
              <w:rPr>
                <w:rFonts w:eastAsia="DengXian"/>
              </w:rPr>
              <w:t>ESA</w:t>
            </w:r>
          </w:p>
        </w:tc>
        <w:tc>
          <w:tcPr>
            <w:tcW w:w="2009" w:type="dxa"/>
            <w:shd w:val="clear" w:color="auto" w:fill="auto"/>
          </w:tcPr>
          <w:p w14:paraId="77C6E78B" w14:textId="405C77CA" w:rsidR="00086012" w:rsidRDefault="008747D0" w:rsidP="00086012">
            <w:pPr>
              <w:rPr>
                <w:rFonts w:eastAsia="DengXian"/>
              </w:rPr>
            </w:pPr>
            <w:r>
              <w:rPr>
                <w:rFonts w:eastAsia="DengXian"/>
              </w:rPr>
              <w:t>Agree</w:t>
            </w:r>
          </w:p>
        </w:tc>
        <w:tc>
          <w:tcPr>
            <w:tcW w:w="6210" w:type="dxa"/>
            <w:shd w:val="clear" w:color="auto" w:fill="auto"/>
          </w:tcPr>
          <w:p w14:paraId="24ADB609" w14:textId="77777777" w:rsidR="00086012" w:rsidRDefault="00086012" w:rsidP="00086012">
            <w:pPr>
              <w:rPr>
                <w:rFonts w:eastAsia="DengXian"/>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33E2E29D" w14:textId="77777777" w:rsidR="00086012" w:rsidRDefault="00086012" w:rsidP="00086012">
      <w:pPr>
        <w:pStyle w:val="BodyText"/>
        <w:rPr>
          <w:rFonts w:eastAsia="DengXian"/>
        </w:rPr>
      </w:pPr>
      <w:r>
        <w:rPr>
          <w:rFonts w:eastAsia="DengXian"/>
        </w:rPr>
        <w:t>-</w:t>
      </w:r>
    </w:p>
    <w:p w14:paraId="03AEA5A1" w14:textId="77777777" w:rsidR="00086012" w:rsidRDefault="00086012">
      <w:pPr>
        <w:pStyle w:val="BodyText"/>
      </w:pPr>
    </w:p>
    <w:p w14:paraId="576656CF" w14:textId="77777777" w:rsidR="005D2147" w:rsidRDefault="005D2147">
      <w:pPr>
        <w:pStyle w:val="BodyText"/>
      </w:pPr>
    </w:p>
    <w:p w14:paraId="2DD03096" w14:textId="77777777" w:rsidR="00E21D80" w:rsidRDefault="00E21D80">
      <w:pPr>
        <w:pStyle w:val="BodyText"/>
      </w:pPr>
    </w:p>
    <w:p w14:paraId="26E4A384" w14:textId="5F8D33EB" w:rsidR="00E21D80" w:rsidRDefault="00086012">
      <w:pPr>
        <w:pStyle w:val="Heading1"/>
      </w:pPr>
      <w:r>
        <w:lastRenderedPageBreak/>
        <w:t>3</w:t>
      </w:r>
      <w:r w:rsidR="003B50B9">
        <w:t>. Summary and Proposals</w:t>
      </w:r>
    </w:p>
    <w:p w14:paraId="2C61BB32" w14:textId="77777777" w:rsidR="00E21D80" w:rsidRDefault="003B50B9">
      <w:pPr>
        <w:pStyle w:val="BodyText"/>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BodyText"/>
      </w:pPr>
    </w:p>
    <w:p w14:paraId="7B854072" w14:textId="33743ECA" w:rsidR="00E21D80" w:rsidRDefault="00A07260">
      <w:pPr>
        <w:pStyle w:val="BodyText"/>
      </w:pPr>
      <w:r>
        <w:t>Based on the feedbacks, the proposed modifications are implemented in the draft CR</w:t>
      </w: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394344"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394344"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264498B"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541F3676"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s</w:t>
            </w:r>
            <w:bookmarkStart w:id="21" w:name="_GoBack"/>
            <w:bookmarkEnd w:id="21"/>
            <w:r>
              <w:rPr>
                <w:rFonts w:ascii="Calibri" w:eastAsia="DengXian" w:hAnsi="Calibri" w:cs="Calibri"/>
                <w:sz w:val="22"/>
                <w:szCs w:val="22"/>
                <w:lang w:val="it-IT"/>
              </w:rPr>
              <w:t>tefano.cioni@esa.int</w:t>
            </w:r>
          </w:p>
        </w:tc>
      </w:tr>
      <w:tr w:rsidR="00E21D80" w:rsidRPr="00394344"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7777777" w:rsidR="00E21D80" w:rsidRDefault="00E21D80">
            <w:pPr>
              <w:spacing w:after="0"/>
              <w:jc w:val="center"/>
              <w:rPr>
                <w:rFonts w:ascii="Calibri" w:eastAsia="DengXian" w:hAnsi="Calibri" w:cs="Calibri"/>
                <w:sz w:val="22"/>
                <w:szCs w:val="22"/>
                <w:lang w:val="it-IT"/>
              </w:rPr>
            </w:pPr>
          </w:p>
        </w:tc>
      </w:tr>
      <w:tr w:rsidR="00E21D80" w:rsidRPr="00394344"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77777777" w:rsidR="00E21D80" w:rsidRDefault="00E21D80">
            <w:pPr>
              <w:spacing w:after="0"/>
              <w:jc w:val="center"/>
              <w:rPr>
                <w:rFonts w:ascii="Calibri" w:eastAsia="Malgun Gothic" w:hAnsi="Calibri" w:cs="Calibri"/>
                <w:sz w:val="22"/>
                <w:szCs w:val="22"/>
                <w:lang w:val="it-IT" w:eastAsia="ko-KR"/>
              </w:rPr>
            </w:pPr>
          </w:p>
        </w:tc>
      </w:tr>
      <w:tr w:rsidR="00E21D80" w:rsidRPr="00394344"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Default="00E21D80">
            <w:pPr>
              <w:spacing w:after="0"/>
              <w:jc w:val="center"/>
              <w:rPr>
                <w:rFonts w:ascii="Calibri" w:eastAsia="MS Mincho" w:hAnsi="Calibri" w:cs="Calibri"/>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394344"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509B" w14:textId="77777777" w:rsidR="006047AB" w:rsidRDefault="006047AB">
      <w:pPr>
        <w:spacing w:after="0" w:line="240" w:lineRule="auto"/>
      </w:pPr>
      <w:r>
        <w:separator/>
      </w:r>
    </w:p>
  </w:endnote>
  <w:endnote w:type="continuationSeparator" w:id="0">
    <w:p w14:paraId="40F0EB95" w14:textId="77777777" w:rsidR="006047AB" w:rsidRDefault="0060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242" w14:textId="7729AF63" w:rsidR="00086012" w:rsidRDefault="0008601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747D0">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47D0">
      <w:rPr>
        <w:rStyle w:val="PageNumber"/>
        <w:noProof/>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AC29" w14:textId="77777777" w:rsidR="006047AB" w:rsidRDefault="006047AB">
      <w:pPr>
        <w:spacing w:after="0" w:line="240" w:lineRule="auto"/>
      </w:pPr>
      <w:r>
        <w:separator/>
      </w:r>
    </w:p>
  </w:footnote>
  <w:footnote w:type="continuationSeparator" w:id="0">
    <w:p w14:paraId="38576F02" w14:textId="77777777" w:rsidR="006047AB" w:rsidRDefault="00604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25CC" w14:textId="77777777" w:rsidR="00086012" w:rsidRDefault="0008601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6"/>
  </w:num>
  <w:num w:numId="3">
    <w:abstractNumId w:val="4"/>
  </w:num>
  <w:num w:numId="4">
    <w:abstractNumId w:val="8"/>
  </w:num>
  <w:num w:numId="5">
    <w:abstractNumId w:val="27"/>
  </w:num>
  <w:num w:numId="6">
    <w:abstractNumId w:val="20"/>
  </w:num>
  <w:num w:numId="7">
    <w:abstractNumId w:val="21"/>
  </w:num>
  <w:num w:numId="8">
    <w:abstractNumId w:val="14"/>
  </w:num>
  <w:num w:numId="9">
    <w:abstractNumId w:val="25"/>
  </w:num>
  <w:num w:numId="10">
    <w:abstractNumId w:val="24"/>
  </w:num>
  <w:num w:numId="11">
    <w:abstractNumId w:val="15"/>
  </w:num>
  <w:num w:numId="12">
    <w:abstractNumId w:val="6"/>
  </w:num>
  <w:num w:numId="13">
    <w:abstractNumId w:val="11"/>
  </w:num>
  <w:num w:numId="14">
    <w:abstractNumId w:val="17"/>
  </w:num>
  <w:num w:numId="15">
    <w:abstractNumId w:val="1"/>
  </w:num>
  <w:num w:numId="16">
    <w:abstractNumId w:val="12"/>
  </w:num>
  <w:num w:numId="17">
    <w:abstractNumId w:val="9"/>
  </w:num>
  <w:num w:numId="18">
    <w:abstractNumId w:val="26"/>
  </w:num>
  <w:num w:numId="19">
    <w:abstractNumId w:val="19"/>
  </w:num>
  <w:num w:numId="20">
    <w:abstractNumId w:val="18"/>
  </w:num>
  <w:num w:numId="21">
    <w:abstractNumId w:val="10"/>
  </w:num>
  <w:num w:numId="22">
    <w:abstractNumId w:val="7"/>
  </w:num>
  <w:num w:numId="23">
    <w:abstractNumId w:val="13"/>
  </w:num>
  <w:num w:numId="24">
    <w:abstractNumId w:val="23"/>
  </w:num>
  <w:num w:numId="25">
    <w:abstractNumId w:val="0"/>
  </w:num>
  <w:num w:numId="26">
    <w:abstractNumId w:val="2"/>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6A1"/>
    <w:rsid w:val="006C692C"/>
    <w:rsid w:val="006C6949"/>
    <w:rsid w:val="006C72A6"/>
    <w:rsid w:val="006C7522"/>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01F"/>
    <w:rsid w:val="00A45B74"/>
    <w:rsid w:val="00A46150"/>
    <w:rsid w:val="00A462A2"/>
    <w:rsid w:val="00A51904"/>
    <w:rsid w:val="00A520B5"/>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___1.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F4C5E-DCFB-461E-A978-81F07AFA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15</Pages>
  <Words>3697</Words>
  <Characters>21077</Characters>
  <Application>Microsoft Office Word</Application>
  <DocSecurity>0</DocSecurity>
  <Lines>175</Lines>
  <Paragraphs>49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OPPO</vt:lpstr>
      <vt:lpstr>OPPO</vt:lpstr>
      <vt:lpstr>OPPO</vt:lpstr>
    </vt:vector>
  </TitlesOfParts>
  <Company>Microsoft</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Stefano Cioni</cp:lastModifiedBy>
  <cp:revision>2</cp:revision>
  <cp:lastPrinted>2008-01-31T00:09:00Z</cp:lastPrinted>
  <dcterms:created xsi:type="dcterms:W3CDTF">2022-02-25T10:48:00Z</dcterms:created>
  <dcterms:modified xsi:type="dcterms:W3CDTF">2022-02-25T10:48:00Z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(2)empZO8XCSMdgAhB4DYsEQmYxvAB56HH8ANNbhUa4m/0HvHfFLIRxopYndp5dBE6+5/UdiXgL
z3VRAy/oSNOYGwMFp+r5ZlFOjhxG04+XWR9zHF3AVuZ4BUMCesBOS7zwoXaVYPY7FJzAHn3s
rvFeegpHUvM9lJPne3VJacvhXgPxQvy+y961Uo57y3+dPTnJfwx+BDm5Ps7SBcuzvm1cM2JT
mOpMuZpI2CTMbgtVLT</vt:lpwstr>
  </property>
  <property fmtid="{D5CDD505-2E9C-101B-9397-08002B2CF9AE}" pid="4" name="_2015_ms_pID_7253431">
    <vt:lpwstr>RIqLP3Zd/GLe6mPBp0pE1K2k+WJ4XZw1tGGoXYKqFu00nMn3iisvxk
l60ZWaQhJTZLe88LoSNKYm7jh3b/6+WIIhnIw2RueIJp/N9kXDOCrFpOvBWbsPDUOthog4VG
QBK4TvyQb5z90d5JDSJw4P6DjB4a6NyzNwwv3nliGsprSGiOz1KvbtM+weNwwvkAbQjBei33
I/1LMoNQCtZ6TN6d</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ies>
</file>